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B3A6B"/>
          <w:sz w:val="52"/>
          <w:szCs w:val="52"/>
        </w:rPr>
        <w:t xml:space="preserve">CREDZO</w:t>
      </w:r>
    </w:p>
    <w:p>
      <w:pPr>
        <w:spacing w:after="80" w:before="0"/>
        <w:jc w:val="center"/>
      </w:pPr>
      <w:r>
        <w:rPr>
          <w:rFonts w:ascii="Arial" w:cs="Arial" w:eastAsia="Arial" w:hAnsi="Arial"/>
          <w:color w:val="2E75B6"/>
          <w:sz w:val="36"/>
          <w:szCs w:val="36"/>
        </w:rPr>
        <w:t xml:space="preserve">Instant UPI Credit Line</w:t>
      </w:r>
    </w:p>
    <w:p>
      <w:pPr>
        <w:spacing w:after="40" w:before="0"/>
        <w:jc w:val="center"/>
      </w:pPr>
      <w:r>
        <w:rPr>
          <w:rFonts w:ascii="Arial" w:cs="Arial" w:eastAsia="Arial" w:hAnsi="Arial"/>
          <w:color w:val="555555"/>
          <w:sz w:val="28"/>
          <w:szCs w:val="28"/>
        </w:rPr>
        <w:t xml:space="preserve">UX Research Intelligence Report</w:t>
      </w:r>
    </w:p>
    <w:p>
      <w:pPr>
        <w:spacing w:after="400" w:before="0"/>
        <w:jc w:val="center"/>
      </w:pPr>
      <w:r>
        <w:rPr>
          <w:rFonts w:ascii="Arial" w:cs="Arial" w:eastAsia="Arial" w:hAnsi="Arial"/>
          <w:color w:val="999999"/>
          <w:sz w:val="20"/>
          <w:szCs w:val="20"/>
        </w:rPr>
        <w:t xml:space="preserve">Agent: FinTech Research Analyst  |  May 2026</w:t>
      </w:r>
    </w:p>
    <w:p>
      <w:pPr>
        <w:pBdr>
          <w:bottom w:val="single" w:color="2E75B6" w:sz="4" w:space="1"/>
        </w:pBdr>
        <w:spacing w:after="200" w:before="200"/>
      </w:pPr>
      <w:r>
        <w:t xml:space="preserve"/>
      </w:r>
    </w:p>
    <w:p>
      <w:pPr>
        <w:pStyle w:val="Heading1"/>
        <w:spacing w:after="200" w:before="400"/>
      </w:pPr>
      <w:r>
        <w:rPr>
          <w:rFonts w:ascii="Arial" w:cs="Arial" w:eastAsia="Arial" w:hAnsi="Arial"/>
          <w:b/>
          <w:bCs/>
          <w:color w:val="1B3A6B"/>
          <w:sz w:val="32"/>
          <w:szCs w:val="32"/>
        </w:rPr>
        <w:t xml:space="preserve">Executive Research Summary</w:t>
      </w:r>
    </w:p>
    <w:p>
      <w:pPr>
        <w:spacing w:after="80" w:before="80"/>
      </w:pPr>
      <w:r>
        <w:rPr>
          <w:rFonts w:ascii="Arial" w:cs="Arial" w:eastAsia="Arial" w:hAnsi="Arial"/>
          <w:color w:val="333333"/>
          <w:sz w:val="22"/>
          <w:szCs w:val="22"/>
        </w:rPr>
        <w:t xml:space="preserve">This intelligence report synthesizes primary qualitative research, behavioral analytics, app store reviews, and support ticket data to define the core UX challenges and emotional terrain users navigate when accessing an AI-powered UPI credit line on mobile. All findings are prioritized for downstream design, strategy, persona, and compliance agents.</w:t>
      </w:r>
    </w:p>
    <w:p>
      <w:r>
        <w:br w:type="page"/>
      </w:r>
    </w:p>
    <w:p>
      <w:pPr>
        <w:pStyle w:val="Heading1"/>
        <w:spacing w:after="200" w:before="400"/>
      </w:pPr>
      <w:r>
        <w:rPr>
          <w:rFonts w:ascii="Arial" w:cs="Arial" w:eastAsia="Arial" w:hAnsi="Arial"/>
          <w:b/>
          <w:bCs/>
          <w:color w:val="1B3A6B"/>
          <w:sz w:val="32"/>
          <w:szCs w:val="32"/>
        </w:rPr>
        <w:t xml:space="preserve">1. Behavioral Insights</w:t>
      </w:r>
    </w:p>
    <w:p>
      <w:pPr>
        <w:pStyle w:val="Heading2"/>
        <w:spacing w:after="150" w:before="300"/>
      </w:pPr>
      <w:r>
        <w:rPr>
          <w:rFonts w:ascii="Arial" w:cs="Arial" w:eastAsia="Arial" w:hAnsi="Arial"/>
          <w:b/>
          <w:bCs/>
          <w:color w:val="2E75B6"/>
          <w:sz w:val="26"/>
          <w:szCs w:val="26"/>
        </w:rPr>
        <w:t xml:space="preserve">1.1 Emergency-Driven Credit Behavior</w:t>
      </w:r>
    </w:p>
    <w:p>
      <w:pPr>
        <w:spacing w:after="80" w:before="80"/>
      </w:pPr>
      <w:r>
        <w:rPr>
          <w:rFonts w:ascii="Arial" w:cs="Arial" w:eastAsia="Arial" w:hAnsi="Arial"/>
          <w:color w:val="333333"/>
          <w:sz w:val="22"/>
          <w:szCs w:val="22"/>
        </w:rPr>
        <w:t xml:space="preserve">Users approach UPI credit products primarily under financial stress — they are not browsing casually. The dominant trigger is immediate, real-world urgency: a broken vehicle, a medical expense, a bill deadline. This creates a psychological state of heightened anxiety before the app is even opened. Any onboarding friction encountered in this state is felt acutely, and trust damage during this window is difficult to recover.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180"/>
              <w:bottom w:type="dxa" w:w="120"/>
              <w:right w:type="dxa" w:w="180"/>
            </w:tcMar>
          </w:tcPr>
          <w:p>
            <w:r>
              <w:rPr>
                <w:rFonts w:ascii="Arial" w:cs="Arial" w:eastAsia="Arial" w:hAnsi="Arial"/>
                <w:b/>
                <w:bCs/>
                <w:color w:val="1B3A6B"/>
                <w:sz w:val="22"/>
                <w:szCs w:val="22"/>
              </w:rPr>
              <w:t xml:space="preserve">Key Insight: </w:t>
            </w:r>
            <w:r>
              <w:rPr>
                <w:rFonts w:ascii="Arial" w:cs="Arial" w:eastAsia="Arial" w:hAnsi="Arial"/>
                <w:color w:val="333333"/>
                <w:sz w:val="22"/>
                <w:szCs w:val="22"/>
              </w:rPr>
              <w:t xml:space="preserve">Users in emergency need mode have zero tolerance for friction. Every extra step amplifies their stress and erodes trust in the product.</w:t>
            </w:r>
          </w:p>
        </w:tc>
      </w:tr>
    </w:tbl>
    <w:p>
      <w:pPr>
        <w:spacing w:before="160"/>
      </w:pPr>
    </w:p>
    <w:p>
      <w:pPr>
        <w:pStyle w:val="Heading2"/>
        <w:spacing w:after="150" w:before="300"/>
      </w:pPr>
      <w:r>
        <w:rPr>
          <w:rFonts w:ascii="Arial" w:cs="Arial" w:eastAsia="Arial" w:hAnsi="Arial"/>
          <w:b/>
          <w:bCs/>
          <w:color w:val="2E75B6"/>
          <w:sz w:val="26"/>
          <w:szCs w:val="26"/>
        </w:rPr>
        <w:t xml:space="preserve">1.2 UPI Familiarity as Trust Anchor</w:t>
      </w:r>
    </w:p>
    <w:p>
      <w:pPr>
        <w:spacing w:after="80" w:before="80"/>
      </w:pPr>
      <w:r>
        <w:rPr>
          <w:rFonts w:ascii="Arial" w:cs="Arial" w:eastAsia="Arial" w:hAnsi="Arial"/>
          <w:color w:val="333333"/>
          <w:sz w:val="22"/>
          <w:szCs w:val="22"/>
        </w:rPr>
        <w:t xml:space="preserve">All research participants were daily UPI users (Google Pay, PhonePe, BHIM). This is a critical asset: users bring an existing trust framework for UPI-based transactions. The product must actively connect itself to this familiar trust scaffold. UPI brand associations — speed, reliability, government-backed feel — should be leveraged explicitly in the onboarding narrative.</w:t>
      </w:r>
    </w:p>
    <w:p>
      <w:pPr>
        <w:pStyle w:val="Heading2"/>
        <w:spacing w:after="150" w:before="300"/>
      </w:pPr>
      <w:r>
        <w:rPr>
          <w:rFonts w:ascii="Arial" w:cs="Arial" w:eastAsia="Arial" w:hAnsi="Arial"/>
          <w:b/>
          <w:bCs/>
          <w:color w:val="2E75B6"/>
          <w:sz w:val="26"/>
          <w:szCs w:val="26"/>
        </w:rPr>
        <w:t xml:space="preserve">1.3 Cognitive Overload During Onboarding</w:t>
      </w:r>
    </w:p>
    <w:p>
      <w:pPr>
        <w:spacing w:after="80" w:before="80"/>
      </w:pPr>
      <w:r>
        <w:rPr>
          <w:rFonts w:ascii="Arial" w:cs="Arial" w:eastAsia="Arial" w:hAnsi="Arial"/>
          <w:color w:val="333333"/>
          <w:sz w:val="22"/>
          <w:szCs w:val="22"/>
        </w:rPr>
        <w:t xml:space="preserve">The analytics funnel reveals a catastrophic 69% drop between app install and UPI activation. The PAN upload screen alone produces a 38% rage-click rate — the single highest point of frustration in the entire flow. Users describe the experience as 'too many screens,' 'felt like filling a bank form,' and 'confusing Aadhaar step.' Cognitive load is the primary conversion killer.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Funnel Alert: </w:t>
            </w:r>
            <w:r>
              <w:rPr>
                <w:rFonts w:ascii="Arial" w:cs="Arial" w:eastAsia="Arial" w:hAnsi="Arial"/>
                <w:color w:val="333333"/>
                <w:sz w:val="22"/>
                <w:szCs w:val="22"/>
              </w:rPr>
              <w:t xml:space="preserve">100% install → 91% mobile verify → 58% PAN upload → 49% Aadhaar → 37% eligibility → 31% UPI activation. The product loses nearly 7 in 10 users before they ever see their credit limit.</w:t>
            </w:r>
          </w:p>
        </w:tc>
      </w:tr>
    </w:tbl>
    <w:p>
      <w:pPr>
        <w:spacing w:before="160"/>
      </w:pPr>
    </w:p>
    <w:p>
      <w:pPr>
        <w:pStyle w:val="Heading2"/>
        <w:spacing w:after="150" w:before="300"/>
      </w:pPr>
      <w:r>
        <w:rPr>
          <w:rFonts w:ascii="Arial" w:cs="Arial" w:eastAsia="Arial" w:hAnsi="Arial"/>
          <w:b/>
          <w:bCs/>
          <w:color w:val="2E75B6"/>
          <w:sz w:val="26"/>
          <w:szCs w:val="26"/>
        </w:rPr>
        <w:t xml:space="preserve">1.4 Permission Distrust</w:t>
      </w:r>
    </w:p>
    <w:p>
      <w:pPr>
        <w:spacing w:after="80" w:before="80"/>
      </w:pPr>
      <w:r>
        <w:rPr>
          <w:rFonts w:ascii="Arial" w:cs="Arial" w:eastAsia="Arial" w:hAnsi="Arial"/>
          <w:color w:val="333333"/>
          <w:sz w:val="22"/>
          <w:szCs w:val="22"/>
        </w:rPr>
        <w:t xml:space="preserve">Multiple participants expressed discomfort when prompted for device permissions during onboarding. Contacts and location access were flagged as suspicious, particularly among users who have read about lending app data abuse in India. App reviews confirm this: 'Too many permissions requested — didn't feel safe.' This reflects a broader Indian digital lending trust crisis. Permissions must be requested contextually, with clear rationale, not as an upfront bundle.</w:t>
      </w:r>
    </w:p>
    <w:p>
      <w:r>
        <w:br w:type="page"/>
      </w:r>
    </w:p>
    <w:p>
      <w:pPr>
        <w:pStyle w:val="Heading1"/>
        <w:spacing w:after="200" w:before="400"/>
      </w:pPr>
      <w:r>
        <w:rPr>
          <w:rFonts w:ascii="Arial" w:cs="Arial" w:eastAsia="Arial" w:hAnsi="Arial"/>
          <w:b/>
          <w:bCs/>
          <w:color w:val="1B3A6B"/>
          <w:sz w:val="32"/>
          <w:szCs w:val="32"/>
        </w:rPr>
        <w:t xml:space="preserve">2. Emotional Patterns</w:t>
      </w:r>
    </w:p>
    <w:p>
      <w:pPr>
        <w:pStyle w:val="Heading2"/>
        <w:spacing w:after="150" w:before="300"/>
      </w:pPr>
      <w:r>
        <w:rPr>
          <w:rFonts w:ascii="Arial" w:cs="Arial" w:eastAsia="Arial" w:hAnsi="Arial"/>
          <w:b/>
          <w:bCs/>
          <w:color w:val="2E75B6"/>
          <w:sz w:val="26"/>
          <w:szCs w:val="26"/>
        </w:rPr>
        <w:t xml:space="preserve">2.1 The Borrowing Anxiety Curve</w:t>
      </w:r>
    </w:p>
    <w:p>
      <w:pPr>
        <w:spacing w:after="80" w:before="80"/>
      </w:pPr>
      <w:r>
        <w:rPr>
          <w:rFonts w:ascii="Arial" w:cs="Arial" w:eastAsia="Arial" w:hAnsi="Arial"/>
          <w:color w:val="333333"/>
          <w:sz w:val="22"/>
          <w:szCs w:val="22"/>
        </w:rPr>
        <w:t xml:space="preserve">Research participants exhibited a consistent emotional trajectory during credit product use. This curve begins with reluctant interest (need-driven curiosity), transitions into nervous anticipation (will I qualify?), peaks in anxiety at KYC and approval stages, then either descends into relief (approved) or frustration/shame (rejected or confused). The UX must actively manage each phase of this curve with the appropriate emotional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60"/>
        <w:gridCol w:w="270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40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Design Implication</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Pre-application</w:t>
            </w:r>
          </w:p>
        </w:tc>
        <w:tc>
          <w:tcPr>
            <w:tcW w:type="dxa" w:w="4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Users feel reluctant but urgent. Shame around needing credit is present.</w:t>
            </w:r>
          </w:p>
        </w:tc>
        <w:tc>
          <w:tcPr>
            <w:tcW w:type="dxa" w:w="2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Lead with empowerment language, not loan urgency.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KYC Stage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Highest anxiety point. Users fear data misuse, OCR failures cause rage.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AI-guided document capture with live feedback reduces abandonment.</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Approval Wait</w:t>
            </w:r>
          </w:p>
        </w:tc>
        <w:tc>
          <w:tcPr>
            <w:tcW w:type="dxa" w:w="4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Users describe the wait as 'nerve-wracking' even if it's under 60 seconds.</w:t>
            </w:r>
          </w:p>
        </w:tc>
        <w:tc>
          <w:tcPr>
            <w:tcW w:type="dxa" w:w="2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Animated progress with micro-confidence signals transforms the wait.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Post-Approval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Relief is followed immediately by confusion about repayment terms.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Approval screen must immediately surface repayment clarity.</w:t>
            </w:r>
          </w:p>
        </w:tc>
      </w:tr>
      <w:tr>
        <w:tc>
          <w:tcPr>
            <w:tcW w:type="dxa" w:w="26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Repayment Phase</w:t>
            </w:r>
          </w:p>
        </w:tc>
        <w:tc>
          <w:tcPr>
            <w:tcW w:type="dxa" w:w="40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Users feel stressed by EMI reminders that feel threatening.</w:t>
            </w:r>
          </w:p>
        </w:tc>
        <w:tc>
          <w:tcPr>
            <w:tcW w:type="dxa" w:w="27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Reminders must feel supportive, not punitive.</w:t>
            </w:r>
          </w:p>
        </w:tc>
      </w:tr>
    </w:tbl>
    <w:p>
      <w:pPr>
        <w:spacing w:before="160"/>
      </w:pPr>
    </w:p>
    <w:p>
      <w:pPr>
        <w:pStyle w:val="Heading2"/>
        <w:spacing w:after="150" w:before="300"/>
      </w:pPr>
      <w:r>
        <w:rPr>
          <w:rFonts w:ascii="Arial" w:cs="Arial" w:eastAsia="Arial" w:hAnsi="Arial"/>
          <w:b/>
          <w:bCs/>
          <w:color w:val="2E75B6"/>
          <w:sz w:val="26"/>
          <w:szCs w:val="26"/>
        </w:rPr>
        <w:t xml:space="preserve">2.2 First-Time Credit User Vulnerability</w:t>
      </w:r>
    </w:p>
    <w:p>
      <w:pPr>
        <w:spacing w:after="80" w:before="80"/>
      </w:pPr>
      <w:r>
        <w:rPr>
          <w:rFonts w:ascii="Arial" w:cs="Arial" w:eastAsia="Arial" w:hAnsi="Arial"/>
          <w:color w:val="333333"/>
          <w:sz w:val="22"/>
          <w:szCs w:val="22"/>
        </w:rPr>
        <w:t xml:space="preserve">A significant user segment consists of first-time formal credit users — individuals who have never taken a digital loan before. For this group, the experience carries weight beyond the financial transaction. It represents a significant trust event. Any opacity, unexplained rejection, or confusing terminology can permanently damage their willingness to use digital credit products. The product has an outsized responsibility to guide, not just process.</w:t>
      </w:r>
    </w:p>
    <w:p>
      <w:r>
        <w:br w:type="page"/>
      </w:r>
    </w:p>
    <w:p>
      <w:pPr>
        <w:pStyle w:val="Heading1"/>
        <w:spacing w:after="200" w:before="400"/>
      </w:pPr>
      <w:r>
        <w:rPr>
          <w:rFonts w:ascii="Arial" w:cs="Arial" w:eastAsia="Arial" w:hAnsi="Arial"/>
          <w:b/>
          <w:bCs/>
          <w:color w:val="1B3A6B"/>
          <w:sz w:val="32"/>
          <w:szCs w:val="32"/>
        </w:rPr>
        <w:t xml:space="preserve">3. Trust Concerns</w:t>
      </w:r>
    </w:p>
    <w:p>
      <w:pPr>
        <w:pStyle w:val="Heading2"/>
        <w:spacing w:after="150" w:before="300"/>
      </w:pPr>
      <w:r>
        <w:rPr>
          <w:rFonts w:ascii="Arial" w:cs="Arial" w:eastAsia="Arial" w:hAnsi="Arial"/>
          <w:b/>
          <w:bCs/>
          <w:color w:val="2E75B6"/>
          <w:sz w:val="26"/>
          <w:szCs w:val="26"/>
        </w:rPr>
        <w:t xml:space="preserve">3.1 Primary Trust Blockers</w:t>
      </w:r>
    </w:p>
    <w:p>
      <w:pPr>
        <w:pStyle w:val="ListParagraph"/>
        <w:numPr>
          <w:ilvl w:val="0"/>
          <w:numId w:val="2"/>
        </w:numPr>
        <w:spacing w:after="60" w:before="60"/>
      </w:pPr>
      <w:r>
        <w:rPr>
          <w:rFonts w:ascii="Arial" w:cs="Arial" w:eastAsia="Arial" w:hAnsi="Arial"/>
          <w:b/>
          <w:bCs/>
          <w:color w:val="1B3A6B"/>
          <w:sz w:val="22"/>
          <w:szCs w:val="22"/>
        </w:rPr>
        <w:t xml:space="preserve">Fear of deception:</w:t>
      </w:r>
      <w:r>
        <w:rPr>
          <w:rFonts w:ascii="Arial" w:cs="Arial" w:eastAsia="Arial" w:hAnsi="Arial"/>
          <w:color w:val="333333"/>
          <w:sz w:val="22"/>
          <w:szCs w:val="22"/>
        </w:rPr>
        <w:t xml:space="preserve"> Hidden fees and charges not disclosed upfront.</w:t>
      </w:r>
    </w:p>
    <w:p>
      <w:pPr>
        <w:pStyle w:val="ListParagraph"/>
        <w:numPr>
          <w:ilvl w:val="0"/>
          <w:numId w:val="2"/>
        </w:numPr>
        <w:spacing w:after="60" w:before="60"/>
      </w:pPr>
      <w:r>
        <w:rPr>
          <w:rFonts w:ascii="Arial" w:cs="Arial" w:eastAsia="Arial" w:hAnsi="Arial"/>
          <w:b/>
          <w:bCs/>
          <w:color w:val="1B3A6B"/>
          <w:sz w:val="22"/>
          <w:szCs w:val="22"/>
        </w:rPr>
        <w:t xml:space="preserve">Data overreach:</w:t>
      </w:r>
      <w:r>
        <w:rPr>
          <w:rFonts w:ascii="Arial" w:cs="Arial" w:eastAsia="Arial" w:hAnsi="Arial"/>
          <w:color w:val="333333"/>
          <w:sz w:val="22"/>
          <w:szCs w:val="22"/>
        </w:rPr>
        <w:t xml:space="preserve"> Unnecessary device permissions creating surveillance anxiety.</w:t>
      </w:r>
    </w:p>
    <w:p>
      <w:pPr>
        <w:pStyle w:val="ListParagraph"/>
        <w:numPr>
          <w:ilvl w:val="0"/>
          <w:numId w:val="2"/>
        </w:numPr>
        <w:spacing w:after="60" w:before="60"/>
      </w:pPr>
      <w:r>
        <w:rPr>
          <w:rFonts w:ascii="Arial" w:cs="Arial" w:eastAsia="Arial" w:hAnsi="Arial"/>
          <w:b/>
          <w:bCs/>
          <w:color w:val="1B3A6B"/>
          <w:sz w:val="22"/>
          <w:szCs w:val="22"/>
        </w:rPr>
        <w:t xml:space="preserve">Technology distrust:</w:t>
      </w:r>
      <w:r>
        <w:rPr>
          <w:rFonts w:ascii="Arial" w:cs="Arial" w:eastAsia="Arial" w:hAnsi="Arial"/>
          <w:color w:val="333333"/>
          <w:sz w:val="22"/>
          <w:szCs w:val="22"/>
        </w:rPr>
        <w:t xml:space="preserve"> OCR and document capture failures with no guidance.</w:t>
      </w:r>
    </w:p>
    <w:p>
      <w:pPr>
        <w:pStyle w:val="ListParagraph"/>
        <w:numPr>
          <w:ilvl w:val="0"/>
          <w:numId w:val="2"/>
        </w:numPr>
        <w:spacing w:after="60" w:before="60"/>
      </w:pPr>
      <w:r>
        <w:rPr>
          <w:rFonts w:ascii="Arial" w:cs="Arial" w:eastAsia="Arial" w:hAnsi="Arial"/>
          <w:b/>
          <w:bCs/>
          <w:color w:val="1B3A6B"/>
          <w:sz w:val="22"/>
          <w:szCs w:val="22"/>
        </w:rPr>
        <w:t xml:space="preserve">Rejection opacity:</w:t>
      </w:r>
      <w:r>
        <w:rPr>
          <w:rFonts w:ascii="Arial" w:cs="Arial" w:eastAsia="Arial" w:hAnsi="Arial"/>
          <w:color w:val="333333"/>
          <w:sz w:val="22"/>
          <w:szCs w:val="22"/>
        </w:rPr>
        <w:t xml:space="preserve"> Post-rejection silence — no explanation, no path forward.</w:t>
      </w:r>
    </w:p>
    <w:p>
      <w:pPr>
        <w:pStyle w:val="ListParagraph"/>
        <w:numPr>
          <w:ilvl w:val="0"/>
          <w:numId w:val="2"/>
        </w:numPr>
        <w:spacing w:after="60" w:before="60"/>
      </w:pPr>
      <w:r>
        <w:rPr>
          <w:rFonts w:ascii="Arial" w:cs="Arial" w:eastAsia="Arial" w:hAnsi="Arial"/>
          <w:b/>
          <w:bCs/>
          <w:color w:val="1B3A6B"/>
          <w:sz w:val="22"/>
          <w:szCs w:val="22"/>
        </w:rPr>
        <w:t xml:space="preserve">Financial opacity:</w:t>
      </w:r>
      <w:r>
        <w:rPr>
          <w:rFonts w:ascii="Arial" w:cs="Arial" w:eastAsia="Arial" w:hAnsi="Arial"/>
          <w:color w:val="333333"/>
          <w:sz w:val="22"/>
          <w:szCs w:val="22"/>
        </w:rPr>
        <w:t xml:space="preserve"> Dense repayment tables that feel designed to obscure real costs.</w:t>
      </w:r>
    </w:p>
    <w:p>
      <w:pPr>
        <w:spacing w:before="80"/>
      </w:pPr>
    </w:p>
    <w:p>
      <w:pPr>
        <w:pStyle w:val="Heading2"/>
        <w:spacing w:after="150" w:before="300"/>
      </w:pPr>
      <w:r>
        <w:rPr>
          <w:rFonts w:ascii="Arial" w:cs="Arial" w:eastAsia="Arial" w:hAnsi="Arial"/>
          <w:b/>
          <w:bCs/>
          <w:color w:val="2E75B6"/>
          <w:sz w:val="26"/>
          <w:szCs w:val="26"/>
        </w:rPr>
        <w:t xml:space="preserve">3.2 Trust Enablers Identified</w:t>
      </w:r>
    </w:p>
    <w:p>
      <w:pPr>
        <w:pStyle w:val="ListParagraph"/>
        <w:numPr>
          <w:ilvl w:val="0"/>
          <w:numId w:val="2"/>
        </w:numPr>
        <w:spacing w:after="60" w:before="60"/>
      </w:pPr>
      <w:r>
        <w:rPr>
          <w:rFonts w:ascii="Arial" w:cs="Arial" w:eastAsia="Arial" w:hAnsi="Arial"/>
          <w:b/>
          <w:bCs/>
          <w:color w:val="1B3A6B"/>
          <w:sz w:val="22"/>
          <w:szCs w:val="22"/>
        </w:rPr>
        <w:t xml:space="preserve">Transparent cost display:</w:t>
      </w:r>
      <w:r>
        <w:rPr>
          <w:rFonts w:ascii="Arial" w:cs="Arial" w:eastAsia="Arial" w:hAnsi="Arial"/>
          <w:color w:val="333333"/>
          <w:sz w:val="22"/>
          <w:szCs w:val="22"/>
        </w:rPr>
        <w:t xml:space="preserve"> Clear, human-language repayment breakdown before commitment.</w:t>
      </w:r>
    </w:p>
    <w:p>
      <w:pPr>
        <w:pStyle w:val="ListParagraph"/>
        <w:numPr>
          <w:ilvl w:val="0"/>
          <w:numId w:val="2"/>
        </w:numPr>
        <w:spacing w:after="60" w:before="60"/>
      </w:pPr>
      <w:r>
        <w:rPr>
          <w:rFonts w:ascii="Arial" w:cs="Arial" w:eastAsia="Arial" w:hAnsi="Arial"/>
          <w:b/>
          <w:bCs/>
          <w:color w:val="1B3A6B"/>
          <w:sz w:val="22"/>
          <w:szCs w:val="22"/>
        </w:rPr>
        <w:t xml:space="preserve">Visible progress:</w:t>
      </w:r>
      <w:r>
        <w:rPr>
          <w:rFonts w:ascii="Arial" w:cs="Arial" w:eastAsia="Arial" w:hAnsi="Arial"/>
          <w:color w:val="333333"/>
          <w:sz w:val="22"/>
          <w:szCs w:val="22"/>
        </w:rPr>
        <w:t xml:space="preserve"> Progress indicators during onboarding reduce perceived length.</w:t>
      </w:r>
    </w:p>
    <w:p>
      <w:pPr>
        <w:pStyle w:val="ListParagraph"/>
        <w:numPr>
          <w:ilvl w:val="0"/>
          <w:numId w:val="2"/>
        </w:numPr>
        <w:spacing w:after="60" w:before="60"/>
      </w:pPr>
      <w:r>
        <w:rPr>
          <w:rFonts w:ascii="Arial" w:cs="Arial" w:eastAsia="Arial" w:hAnsi="Arial"/>
          <w:b/>
          <w:bCs/>
          <w:color w:val="1B3A6B"/>
          <w:sz w:val="22"/>
          <w:szCs w:val="22"/>
        </w:rPr>
        <w:t xml:space="preserve">Familiar channels:</w:t>
      </w:r>
      <w:r>
        <w:rPr>
          <w:rFonts w:ascii="Arial" w:cs="Arial" w:eastAsia="Arial" w:hAnsi="Arial"/>
          <w:color w:val="333333"/>
          <w:sz w:val="22"/>
          <w:szCs w:val="22"/>
        </w:rPr>
        <w:t xml:space="preserve"> WhatsApp-based repayment reminders feel familiar and non-threatening.</w:t>
      </w:r>
    </w:p>
    <w:p>
      <w:pPr>
        <w:pStyle w:val="ListParagraph"/>
        <w:numPr>
          <w:ilvl w:val="0"/>
          <w:numId w:val="2"/>
        </w:numPr>
        <w:spacing w:after="60" w:before="60"/>
      </w:pPr>
      <w:r>
        <w:rPr>
          <w:rFonts w:ascii="Arial" w:cs="Arial" w:eastAsia="Arial" w:hAnsi="Arial"/>
          <w:b/>
          <w:bCs/>
          <w:color w:val="1B3A6B"/>
          <w:sz w:val="22"/>
          <w:szCs w:val="22"/>
        </w:rPr>
        <w:t xml:space="preserve">Biometric-first auth:</w:t>
      </w:r>
      <w:r>
        <w:rPr>
          <w:rFonts w:ascii="Arial" w:cs="Arial" w:eastAsia="Arial" w:hAnsi="Arial"/>
          <w:color w:val="333333"/>
          <w:sz w:val="22"/>
          <w:szCs w:val="22"/>
        </w:rPr>
        <w:t xml:space="preserve"> Biometric login removes password anxiety.</w:t>
      </w:r>
    </w:p>
    <w:p>
      <w:pPr>
        <w:pStyle w:val="ListParagraph"/>
        <w:numPr>
          <w:ilvl w:val="0"/>
          <w:numId w:val="2"/>
        </w:numPr>
        <w:spacing w:after="60" w:before="60"/>
      </w:pPr>
      <w:r>
        <w:rPr>
          <w:rFonts w:ascii="Arial" w:cs="Arial" w:eastAsia="Arial" w:hAnsi="Arial"/>
          <w:b/>
          <w:bCs/>
          <w:color w:val="1B3A6B"/>
          <w:sz w:val="22"/>
          <w:szCs w:val="22"/>
        </w:rPr>
        <w:t xml:space="preserve">Language inclusivity:</w:t>
      </w:r>
      <w:r>
        <w:rPr>
          <w:rFonts w:ascii="Arial" w:cs="Arial" w:eastAsia="Arial" w:hAnsi="Arial"/>
          <w:color w:val="333333"/>
          <w:sz w:val="22"/>
          <w:szCs w:val="22"/>
        </w:rPr>
        <w:t xml:space="preserve"> Tamil and regional language support signals cultural respect.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B3A6B"/>
                <w:sz w:val="22"/>
                <w:szCs w:val="22"/>
              </w:rPr>
              <w:t xml:space="preserve">Trust Principle: </w:t>
            </w:r>
            <w:r>
              <w:rPr>
                <w:rFonts w:ascii="Arial" w:cs="Arial" w:eastAsia="Arial" w:hAnsi="Arial"/>
                <w:color w:val="333333"/>
                <w:sz w:val="22"/>
                <w:szCs w:val="22"/>
              </w:rPr>
              <w:t xml:space="preserve">Users do not need the cheapest credit — they need the most trustworthy credit experience. Trust is the primary conversion driver, not interest rate.</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4. Friction Points</w:t>
      </w:r>
    </w:p>
    <w:p>
      <w:pPr>
        <w:pStyle w:val="Heading2"/>
        <w:spacing w:after="150" w:before="300"/>
      </w:pPr>
      <w:r>
        <w:rPr>
          <w:rFonts w:ascii="Arial" w:cs="Arial" w:eastAsia="Arial" w:hAnsi="Arial"/>
          <w:b/>
          <w:bCs/>
          <w:color w:val="2E75B6"/>
          <w:sz w:val="26"/>
          <w:szCs w:val="26"/>
        </w:rPr>
        <w:t xml:space="preserve">4.1 Critical Friction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Screen / Stage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Observed Behavior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PAN Upload</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3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38% rage-click rate, camera freeze reported, repeated upload attempts</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AI-guided OCR with live success feedback, retry with tips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Aadhaar Verification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confused by OTP + UIDAI flow, Kumar abandoned here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Step-by-step inline guidance, AI chat support available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Permission Requests</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Hesitation and abandonment at contacts/location dialog</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Contextual permission requests with plain-language 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Repayment Screen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cannot understand EMI table, ask for support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repayment timeline replacing dense table</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Eligibility Display</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Users reach this screen anxious; 63% never see it</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color w:val="333333"/>
                <w:sz w:val="20"/>
                <w:szCs w:val="20"/>
              </w:rPr>
              <w:t xml:space="preserve">Surface eligibility estimate earlier in flow to reduce anxiety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Onboarding 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expect &lt; 2 min; actual flow exceeds 5+ screens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Progressive disclosure; show minimum required steps first</w:t>
            </w:r>
          </w:p>
        </w:tc>
      </w:tr>
    </w:tbl>
    <w:p>
      <w:pPr>
        <w:spacing w:before="160"/>
      </w:pPr>
    </w:p>
    <w:p>
      <w:r>
        <w:br w:type="page"/>
      </w:r>
    </w:p>
    <w:p>
      <w:pPr>
        <w:pStyle w:val="Heading1"/>
        <w:spacing w:after="200" w:before="400"/>
      </w:pPr>
      <w:r>
        <w:rPr>
          <w:rFonts w:ascii="Arial" w:cs="Arial" w:eastAsia="Arial" w:hAnsi="Arial"/>
          <w:b/>
          <w:bCs/>
          <w:color w:val="1B3A6B"/>
          <w:sz w:val="32"/>
          <w:szCs w:val="32"/>
        </w:rPr>
        <w:t xml:space="preserve">5. UX Opportunities</w:t>
      </w:r>
    </w:p>
    <w:p>
      <w:pPr>
        <w:pStyle w:val="Heading2"/>
        <w:spacing w:after="150" w:before="300"/>
      </w:pPr>
      <w:r>
        <w:rPr>
          <w:rFonts w:ascii="Arial" w:cs="Arial" w:eastAsia="Arial" w:hAnsi="Arial"/>
          <w:b/>
          <w:bCs/>
          <w:color w:val="2E75B6"/>
          <w:sz w:val="26"/>
          <w:szCs w:val="26"/>
        </w:rPr>
        <w:t xml:space="preserve">5.1 High-Impact Design Opportunities</w:t>
      </w:r>
    </w:p>
    <w:p>
      <w:pPr>
        <w:pStyle w:val="ListParagraph"/>
        <w:numPr>
          <w:ilvl w:val="0"/>
          <w:numId w:val="2"/>
        </w:numPr>
        <w:spacing w:after="60" w:before="60"/>
      </w:pPr>
      <w:r>
        <w:rPr>
          <w:rFonts w:ascii="Arial" w:cs="Arial" w:eastAsia="Arial" w:hAnsi="Arial"/>
          <w:b/>
          <w:bCs/>
          <w:color w:val="1B3A6B"/>
          <w:sz w:val="22"/>
          <w:szCs w:val="22"/>
        </w:rPr>
        <w:t xml:space="preserve">Early Approval Signal:</w:t>
      </w:r>
      <w:r>
        <w:rPr>
          <w:rFonts w:ascii="Arial" w:cs="Arial" w:eastAsia="Arial" w:hAnsi="Arial"/>
          <w:color w:val="333333"/>
          <w:sz w:val="22"/>
          <w:szCs w:val="22"/>
        </w:rPr>
        <w:t xml:space="preserve"> Show a soft eligibility estimate before full KYC to reduce abandonment anxiety.</w:t>
      </w:r>
    </w:p>
    <w:p>
      <w:pPr>
        <w:pStyle w:val="ListParagraph"/>
        <w:numPr>
          <w:ilvl w:val="0"/>
          <w:numId w:val="2"/>
        </w:numPr>
        <w:spacing w:after="60" w:before="60"/>
      </w:pPr>
      <w:r>
        <w:rPr>
          <w:rFonts w:ascii="Arial" w:cs="Arial" w:eastAsia="Arial" w:hAnsi="Arial"/>
          <w:b/>
          <w:bCs/>
          <w:color w:val="1B3A6B"/>
          <w:sz w:val="22"/>
          <w:szCs w:val="22"/>
        </w:rPr>
        <w:t xml:space="preserve">AI-Guided KYC:</w:t>
      </w:r>
      <w:r>
        <w:rPr>
          <w:rFonts w:ascii="Arial" w:cs="Arial" w:eastAsia="Arial" w:hAnsi="Arial"/>
          <w:color w:val="333333"/>
          <w:sz w:val="22"/>
          <w:szCs w:val="22"/>
        </w:rPr>
        <w:t xml:space="preserve"> Replace form-heavy KYC with camera-guided, AI-assisted document capture.</w:t>
      </w:r>
    </w:p>
    <w:p>
      <w:pPr>
        <w:pStyle w:val="ListParagraph"/>
        <w:numPr>
          <w:ilvl w:val="0"/>
          <w:numId w:val="2"/>
        </w:numPr>
        <w:spacing w:after="60" w:before="60"/>
      </w:pPr>
      <w:r>
        <w:rPr>
          <w:rFonts w:ascii="Arial" w:cs="Arial" w:eastAsia="Arial" w:hAnsi="Arial"/>
          <w:b/>
          <w:bCs/>
          <w:color w:val="1B3A6B"/>
          <w:sz w:val="22"/>
          <w:szCs w:val="22"/>
        </w:rPr>
        <w:t xml:space="preserve">Conversational Repayment:</w:t>
      </w:r>
      <w:r>
        <w:rPr>
          <w:rFonts w:ascii="Arial" w:cs="Arial" w:eastAsia="Arial" w:hAnsi="Arial"/>
          <w:color w:val="333333"/>
          <w:sz w:val="22"/>
          <w:szCs w:val="22"/>
        </w:rPr>
        <w:t xml:space="preserve"> Replace EMI tables with a conversational repayment summary that feels human.</w:t>
      </w:r>
    </w:p>
    <w:p>
      <w:pPr>
        <w:pStyle w:val="ListParagraph"/>
        <w:numPr>
          <w:ilvl w:val="0"/>
          <w:numId w:val="2"/>
        </w:numPr>
        <w:spacing w:after="60" w:before="60"/>
      </w:pPr>
      <w:r>
        <w:rPr>
          <w:rFonts w:ascii="Arial" w:cs="Arial" w:eastAsia="Arial" w:hAnsi="Arial"/>
          <w:b/>
          <w:bCs/>
          <w:color w:val="1B3A6B"/>
          <w:sz w:val="22"/>
          <w:szCs w:val="22"/>
        </w:rPr>
        <w:t xml:space="preserve">WhatsApp-First Reminders:</w:t>
      </w:r>
      <w:r>
        <w:rPr>
          <w:rFonts w:ascii="Arial" w:cs="Arial" w:eastAsia="Arial" w:hAnsi="Arial"/>
          <w:color w:val="333333"/>
          <w:sz w:val="22"/>
          <w:szCs w:val="22"/>
        </w:rPr>
        <w:t xml:space="preserve"> Use WhatsApp as the primary repayment reminder channel.</w:t>
      </w:r>
    </w:p>
    <w:p>
      <w:pPr>
        <w:pStyle w:val="ListParagraph"/>
        <w:numPr>
          <w:ilvl w:val="0"/>
          <w:numId w:val="2"/>
        </w:numPr>
        <w:spacing w:after="60" w:before="60"/>
      </w:pPr>
      <w:r>
        <w:rPr>
          <w:rFonts w:ascii="Arial" w:cs="Arial" w:eastAsia="Arial" w:hAnsi="Arial"/>
          <w:b/>
          <w:bCs/>
          <w:color w:val="1B3A6B"/>
          <w:sz w:val="22"/>
          <w:szCs w:val="22"/>
        </w:rPr>
        <w:t xml:space="preserve">Multilingual Trust:</w:t>
      </w:r>
      <w:r>
        <w:rPr>
          <w:rFonts w:ascii="Arial" w:cs="Arial" w:eastAsia="Arial" w:hAnsi="Arial"/>
          <w:color w:val="333333"/>
          <w:sz w:val="22"/>
          <w:szCs w:val="22"/>
        </w:rPr>
        <w:t xml:space="preserve"> Support Tamil, Hindi, and Telugu alongside English at all critical screens.</w:t>
      </w:r>
    </w:p>
    <w:p>
      <w:pPr>
        <w:pStyle w:val="ListParagraph"/>
        <w:numPr>
          <w:ilvl w:val="0"/>
          <w:numId w:val="2"/>
        </w:numPr>
        <w:spacing w:after="60" w:before="60"/>
      </w:pPr>
      <w:r>
        <w:rPr>
          <w:rFonts w:ascii="Arial" w:cs="Arial" w:eastAsia="Arial" w:hAnsi="Arial"/>
          <w:b/>
          <w:bCs/>
          <w:color w:val="1B3A6B"/>
          <w:sz w:val="22"/>
          <w:szCs w:val="22"/>
        </w:rPr>
        <w:t xml:space="preserve">Biometric-Default Auth:</w:t>
      </w:r>
      <w:r>
        <w:rPr>
          <w:rFonts w:ascii="Arial" w:cs="Arial" w:eastAsia="Arial" w:hAnsi="Arial"/>
          <w:color w:val="333333"/>
          <w:sz w:val="22"/>
          <w:szCs w:val="22"/>
        </w:rPr>
        <w:t xml:space="preserve"> Implement biometric login as default, removing password cognitive load.</w:t>
      </w:r>
    </w:p>
    <w:p>
      <w:pPr>
        <w:pStyle w:val="ListParagraph"/>
        <w:numPr>
          <w:ilvl w:val="0"/>
          <w:numId w:val="2"/>
        </w:numPr>
        <w:spacing w:after="60" w:before="60"/>
      </w:pPr>
      <w:r>
        <w:rPr>
          <w:rFonts w:ascii="Arial" w:cs="Arial" w:eastAsia="Arial" w:hAnsi="Arial"/>
          <w:b/>
          <w:bCs/>
          <w:color w:val="1B3A6B"/>
          <w:sz w:val="22"/>
          <w:szCs w:val="22"/>
        </w:rPr>
        <w:t xml:space="preserve">Contextual Permissions:</w:t>
      </w:r>
      <w:r>
        <w:rPr>
          <w:rFonts w:ascii="Arial" w:cs="Arial" w:eastAsia="Arial" w:hAnsi="Arial"/>
          <w:color w:val="333333"/>
          <w:sz w:val="22"/>
          <w:szCs w:val="22"/>
        </w:rPr>
        <w:t xml:space="preserve"> Show only the permissions needed for the current step, not all permissions upfront.</w:t>
      </w:r>
    </w:p>
    <w:p>
      <w:pPr>
        <w:pStyle w:val="ListParagraph"/>
        <w:numPr>
          <w:ilvl w:val="0"/>
          <w:numId w:val="2"/>
        </w:numPr>
        <w:spacing w:after="60" w:before="60"/>
      </w:pPr>
      <w:r>
        <w:rPr>
          <w:rFonts w:ascii="Arial" w:cs="Arial" w:eastAsia="Arial" w:hAnsi="Arial"/>
          <w:b/>
          <w:bCs/>
          <w:color w:val="1B3A6B"/>
          <w:sz w:val="22"/>
          <w:szCs w:val="22"/>
        </w:rPr>
        <w:t xml:space="preserve">AI Companion Layer:</w:t>
      </w:r>
      <w:r>
        <w:rPr>
          <w:rFonts w:ascii="Arial" w:cs="Arial" w:eastAsia="Arial" w:hAnsi="Arial"/>
          <w:color w:val="333333"/>
          <w:sz w:val="22"/>
          <w:szCs w:val="22"/>
        </w:rPr>
        <w:t xml:space="preserve"> Deploy an AI financial guide character that speaks in plain, calm, empathetic language.</w:t>
      </w:r>
    </w:p>
    <w:p>
      <w:pPr>
        <w:spacing w:before="80"/>
      </w:pPr>
    </w:p>
    <w:p>
      <w:pPr>
        <w:pStyle w:val="Heading2"/>
        <w:spacing w:after="150" w:before="300"/>
      </w:pPr>
      <w:r>
        <w:rPr>
          <w:rFonts w:ascii="Arial" w:cs="Arial" w:eastAsia="Arial" w:hAnsi="Arial"/>
          <w:b/>
          <w:bCs/>
          <w:color w:val="2E75B6"/>
          <w:sz w:val="26"/>
          <w:szCs w:val="26"/>
        </w:rPr>
        <w:t xml:space="preserve">5.2 Analytics-Informed Priorities</w:t>
      </w:r>
    </w:p>
    <w:p>
      <w:pPr>
        <w:spacing w:after="80" w:before="80"/>
      </w:pPr>
      <w:r>
        <w:rPr>
          <w:rFonts w:ascii="Arial" w:cs="Arial" w:eastAsia="Arial" w:hAnsi="Arial"/>
          <w:color w:val="333333"/>
          <w:sz w:val="22"/>
          <w:szCs w:val="22"/>
        </w:rPr>
        <w:t xml:space="preserve">The funnel analysis indicates the most valuable intervention points are: (1) the PAN upload screen, which should be redesigned first given its 38% rage-click rate; (2) the Aadhaar verification step where a massive volume drop occurs; (3) the eligibility display, which should be surfaced earlier in the flow to reduce the anxiety of investing time in a product that may not approve them. Addressing these three points would likely recover 20-30% of drop-off volume.</w:t>
      </w:r>
    </w:p>
    <w:p>
      <w:r>
        <w:br w:type="page"/>
      </w:r>
    </w:p>
    <w:p>
      <w:pPr>
        <w:pStyle w:val="Heading1"/>
        <w:spacing w:after="200" w:before="400"/>
      </w:pPr>
      <w:r>
        <w:rPr>
          <w:rFonts w:ascii="Arial" w:cs="Arial" w:eastAsia="Arial" w:hAnsi="Arial"/>
          <w:b/>
          <w:bCs/>
          <w:color w:val="1B3A6B"/>
          <w:sz w:val="32"/>
          <w:szCs w:val="32"/>
        </w:rPr>
        <w:t xml:space="preserve">6. Design Implications Summary</w:t>
      </w:r>
    </w:p>
    <w:p>
      <w:pPr>
        <w:spacing w:after="80" w:before="80"/>
      </w:pPr>
      <w:r>
        <w:rPr>
          <w:rFonts w:ascii="Arial" w:cs="Arial" w:eastAsia="Arial" w:hAnsi="Arial"/>
          <w:color w:val="333333"/>
          <w:sz w:val="22"/>
          <w:szCs w:val="22"/>
        </w:rPr>
        <w:t xml:space="preserve">The following principles emerge directly from this research and must be honored across all downstream design decisions: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C" w:val="clear"/>
            <w:tcMar>
              <w:top w:type="dxa" w:w="120"/>
              <w:left w:type="dxa" w:w="180"/>
              <w:bottom w:type="dxa" w:w="120"/>
              <w:right w:type="dxa" w:w="180"/>
            </w:tcMar>
          </w:tcPr>
          <w:p>
            <w:r>
              <w:rPr>
                <w:rFonts w:ascii="Arial" w:cs="Arial" w:eastAsia="Arial" w:hAnsi="Arial"/>
                <w:b/>
                <w:bCs/>
                <w:color w:val="1B3A6B"/>
                <w:sz w:val="22"/>
                <w:szCs w:val="22"/>
              </w:rPr>
              <w:t xml:space="preserve">PRINCIPLE 1 — Lead With Eligibility: </w:t>
            </w:r>
            <w:r>
              <w:rPr>
                <w:rFonts w:ascii="Arial" w:cs="Arial" w:eastAsia="Arial" w:hAnsi="Arial"/>
                <w:color w:val="333333"/>
                <w:sz w:val="22"/>
                <w:szCs w:val="22"/>
              </w:rPr>
              <w:t xml:space="preserve">Show users an estimated credit range before asking them to complete KYC. This transforms the emotional framing from 'prove yourself' to 'here is what is available for you.'</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color w:val="1B3A6B"/>
                <w:sz w:val="22"/>
                <w:szCs w:val="22"/>
              </w:rPr>
              <w:t xml:space="preserve">PRINCIPLE 2 — AI Guides, Not Forms: </w:t>
            </w:r>
            <w:r>
              <w:rPr>
                <w:rFonts w:ascii="Arial" w:cs="Arial" w:eastAsia="Arial" w:hAnsi="Arial"/>
                <w:color w:val="333333"/>
                <w:sz w:val="22"/>
                <w:szCs w:val="22"/>
              </w:rPr>
              <w:t xml:space="preserve">Replace every form-style input screen with an AI-guided conversational interaction. The product should feel like a knowledgeable friend, not a bureaucratic system.</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r>
              <w:rPr>
                <w:rFonts w:ascii="Arial" w:cs="Arial" w:eastAsia="Arial" w:hAnsi="Arial"/>
                <w:b/>
                <w:bCs/>
                <w:color w:val="1B3A6B"/>
                <w:sz w:val="22"/>
                <w:szCs w:val="22"/>
              </w:rPr>
              <w:t xml:space="preserve">PRINCIPLE 3 — Transparency Before Commitment: </w:t>
            </w:r>
            <w:r>
              <w:rPr>
                <w:rFonts w:ascii="Arial" w:cs="Arial" w:eastAsia="Arial" w:hAnsi="Arial"/>
                <w:color w:val="333333"/>
                <w:sz w:val="22"/>
                <w:szCs w:val="22"/>
              </w:rPr>
              <w:t xml:space="preserve">Full repayment transparency — in plain language — must appear before the user commits to any credit draw. No surprises after activation.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r>
              <w:rPr>
                <w:rFonts w:ascii="Arial" w:cs="Arial" w:eastAsia="Arial" w:hAnsi="Arial"/>
                <w:b/>
                <w:bCs/>
                <w:color w:val="1B3A6B"/>
                <w:sz w:val="22"/>
                <w:szCs w:val="22"/>
              </w:rPr>
              <w:t xml:space="preserve">PRINCIPLE 4 — Emotional Awareness Throughout: </w:t>
            </w:r>
            <w:r>
              <w:rPr>
                <w:rFonts w:ascii="Arial" w:cs="Arial" w:eastAsia="Arial" w:hAnsi="Arial"/>
                <w:color w:val="333333"/>
                <w:sz w:val="22"/>
                <w:szCs w:val="22"/>
              </w:rPr>
              <w:t xml:space="preserve">The product must recognize and respond to the emotional state of the user. Anxious users need reassurance. Confused users need guidance. Rejected users need dignity and a clear path forward.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80"/>
              <w:bottom w:type="dxa" w:w="120"/>
              <w:right w:type="dxa" w:w="180"/>
            </w:tcMar>
          </w:tcPr>
          <w:p>
            <w:r>
              <w:rPr>
                <w:rFonts w:ascii="Arial" w:cs="Arial" w:eastAsia="Arial" w:hAnsi="Arial"/>
                <w:b/>
                <w:bCs/>
                <w:color w:val="1B3A6B"/>
                <w:sz w:val="22"/>
                <w:szCs w:val="22"/>
              </w:rPr>
              <w:t xml:space="preserve">PRINCIPLE 5 — Trust Is Infrastructure: </w:t>
            </w:r>
            <w:r>
              <w:rPr>
                <w:rFonts w:ascii="Arial" w:cs="Arial" w:eastAsia="Arial" w:hAnsi="Arial"/>
                <w:color w:val="333333"/>
                <w:sz w:val="22"/>
                <w:szCs w:val="22"/>
              </w:rPr>
              <w:t xml:space="preserve">Trust communication is not a screen or a feature — it is the substrate of the entire experience. Every interaction must reinforce it: language, permissions, disclosures, support access, and visual design.</w:t>
            </w:r>
          </w:p>
        </w:tc>
      </w:tr>
    </w:tbl>
    <w:p>
      <w:pPr>
        <w:spacing w:before="160"/>
      </w:pPr>
    </w:p>
    <w:p>
      <w:pPr>
        <w:pBdr>
          <w:bottom w:val="single" w:color="2E75B6" w:sz="4" w:space="1"/>
        </w:pBdr>
        <w:spacing w:after="200" w:before="200"/>
      </w:pPr>
      <w:r>
        <w:t xml:space="preserve"/>
      </w:r>
    </w:p>
    <w:p>
      <w:pPr>
        <w:spacing w:after="40" w:before="200"/>
        <w:jc w:val="center"/>
      </w:pPr>
      <w:r>
        <w:rPr>
          <w:rFonts w:ascii="Arial" w:cs="Arial" w:eastAsia="Arial" w:hAnsi="Arial"/>
          <w:color w:val="999999"/>
          <w:sz w:val="18"/>
          <w:szCs w:val="18"/>
        </w:rPr>
        <w:t xml:space="preserve">Document prepared by: FinTech Research Analyst Agent</w:t>
      </w:r>
    </w:p>
    <w:p>
      <w:pPr>
        <w:jc w:val="center"/>
      </w:pPr>
      <w:r>
        <w:rPr>
          <w:rFonts w:ascii="Arial" w:cs="Arial" w:eastAsia="Arial" w:hAnsi="Arial"/>
          <w:color w:val="999999"/>
          <w:sz w:val="18"/>
          <w:szCs w:val="18"/>
        </w:rPr>
        <w:t xml:space="preserve">CredZo AI UX Workspace  |  Optimized for: UX Strategy, Persona, Journey &amp; Synthesizer Agents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Confidential — CredZo AI UX Workspace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B3A6B"/>
        <w:sz w:val="20"/>
        <w:szCs w:val="20"/>
      </w:rPr>
      <w:t xml:space="preserve">CredZo — Instant UPI Credit Line</w:t>
    </w:r>
    <w:r>
      <w:rPr>
        <w:rFonts w:ascii="Arial" w:cs="Arial" w:eastAsia="Arial" w:hAnsi="Arial"/>
        <w:color w:val="888888"/>
        <w:sz w:val="20"/>
        <w:szCs w:val="20"/>
      </w:rPr>
      <w:t xml:space="preserve">     |     UX Research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5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2026-05-11T06:44:44.762Z</dcterms:created>
  <dcterms:modified xsi:type="dcterms:W3CDTF">2026-05-11T06:44:44.762Z</dcterms:modified>
</cp:coreProperties>
</file>

<file path=docProps/custom.xml><?xml version="1.0" encoding="utf-8"?>
<Properties xmlns="http://schemas.openxmlformats.org/officeDocument/2006/custom-properties" xmlns:vt="http://schemas.openxmlformats.org/officeDocument/2006/docPropsVTypes"/>
</file>