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B3A6B"/>
          <w:sz w:val="52"/>
          <w:szCs w:val="52"/>
        </w:rPr>
        <w:t xml:space="preserve">CREDZO</w:t>
      </w:r>
    </w:p>
    <w:p>
      <w:pPr>
        <w:spacing w:after="80" w:before="0"/>
        <w:jc w:val="center"/>
      </w:pPr>
      <w:r>
        <w:rPr>
          <w:rFonts w:ascii="Arial" w:cs="Arial" w:eastAsia="Arial" w:hAnsi="Arial"/>
          <w:color w:val="2E75B6"/>
          <w:sz w:val="36"/>
          <w:szCs w:val="36"/>
        </w:rPr>
        <w:t xml:space="preserve">Instant UPI Credit Line</w:t>
      </w:r>
    </w:p>
    <w:p>
      <w:pPr>
        <w:spacing w:after="40" w:before="0"/>
        <w:jc w:val="center"/>
      </w:pPr>
      <w:r>
        <w:rPr>
          <w:rFonts w:ascii="Arial" w:cs="Arial" w:eastAsia="Arial" w:hAnsi="Arial"/>
          <w:color w:val="555555"/>
          <w:sz w:val="28"/>
          <w:szCs w:val="28"/>
        </w:rPr>
        <w:t xml:space="preserve">Compliance-Aware UX Guidance</w:t>
      </w:r>
    </w:p>
    <w:p>
      <w:pPr>
        <w:spacing w:after="400" w:before="0"/>
        <w:jc w:val="center"/>
      </w:pPr>
      <w:r>
        <w:rPr>
          <w:rFonts w:ascii="Arial" w:cs="Arial" w:eastAsia="Arial" w:hAnsi="Arial"/>
          <w:color w:val="999999"/>
          <w:sz w:val="20"/>
          <w:szCs w:val="20"/>
        </w:rPr>
        <w:t xml:space="preserve">Agent: FinTech Compliance Reviewer  |  May 2026</w:t>
      </w:r>
    </w:p>
    <w:p>
      <w:pPr>
        <w:pBdr>
          <w:bottom w:val="single" w:color="2E75B6" w:sz="4" w:space="1"/>
        </w:pBdr>
        <w:spacing w:after="200" w:before="200"/>
      </w:pPr>
      <w:r>
        <w:t xml:space="preserve"/>
      </w:r>
    </w:p>
    <w:p>
      <w:pPr>
        <w:pStyle w:val="Heading1"/>
        <w:spacing w:after="200" w:before="400"/>
      </w:pPr>
      <w:r>
        <w:rPr>
          <w:rFonts w:ascii="Arial" w:cs="Arial" w:eastAsia="Arial" w:hAnsi="Arial"/>
          <w:b/>
          <w:bCs/>
          <w:color w:val="1B3A6B"/>
          <w:sz w:val="32"/>
          <w:szCs w:val="32"/>
        </w:rPr>
        <w:t xml:space="preserve">Compliance Review Scope</w:t>
      </w:r>
    </w:p>
    <w:p>
      <w:pPr>
        <w:spacing w:after="80" w:before="80"/>
      </w:pPr>
      <w:r>
        <w:rPr>
          <w:rFonts w:ascii="Arial" w:cs="Arial" w:eastAsia="Arial" w:hAnsi="Arial"/>
          <w:color w:val="333333"/>
          <w:sz w:val="22"/>
          <w:szCs w:val="22"/>
        </w:rPr>
        <w:t xml:space="preserve">This document provides compliance-aware UX guidance for the CredZo Instant UPI Credit Line, reviewed against the UX strategy and journey intelligence produced by prior agents. The review addresses four dimensions: RBI regulatory alignment, DPDP (Digital Personal Data Protection) Act obligations, responsible lending UX standards, and dark pattern prevention.</w:t>
      </w:r>
    </w:p>
    <w:p>
      <w:pPr>
        <w:spacing w:after="80" w:before="80"/>
      </w:pPr>
      <w:r>
        <w:rPr>
          <w:rFonts w:ascii="Arial" w:cs="Arial" w:eastAsia="Arial" w:hAnsi="Arial"/>
          <w:color w:val="333333"/>
          <w:sz w:val="22"/>
          <w:szCs w:val="22"/>
        </w:rPr>
        <w:t xml:space="preserve">This document is not a legal opinion. It is a UX compliance guidance framework for the CredZo design team, providing actionable direction for building a responsible, compliant, and trust-worthy fintech product. Legal counsel review is required before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180"/>
              <w:bottom w:type="dxa" w:w="120"/>
              <w:right w:type="dxa" w:w="180"/>
            </w:tcMar>
          </w:tcPr>
          <w:p>
            <w:r>
              <w:rPr>
                <w:rFonts w:ascii="Arial" w:cs="Arial" w:eastAsia="Arial" w:hAnsi="Arial"/>
                <w:b/>
                <w:bCs/>
                <w:color w:val="1B3A6B"/>
                <w:sz w:val="22"/>
                <w:szCs w:val="22"/>
              </w:rPr>
              <w:t xml:space="preserve">Scope Note: </w:t>
            </w:r>
            <w:r>
              <w:rPr>
                <w:rFonts w:ascii="Arial" w:cs="Arial" w:eastAsia="Arial" w:hAnsi="Arial"/>
                <w:color w:val="333333"/>
                <w:sz w:val="22"/>
                <w:szCs w:val="22"/>
              </w:rPr>
              <w:t xml:space="preserve">This review covers the UX layer only — interaction design, consent flows, disclosure visibility, microcopy, and behavioral patterns. Backend risk models, interest rate calculations, and credit bureau integrations are out of scope.</w:t>
            </w:r>
          </w:p>
        </w:tc>
      </w:tr>
    </w:tbl>
    <w:p>
      <w:pPr>
        <w:spacing w:before="160"/>
      </w:pPr>
    </w:p>
    <w:p>
      <w:r>
        <w:br w:type="page"/>
      </w:r>
    </w:p>
    <w:p>
      <w:pPr>
        <w:pStyle w:val="Heading1"/>
        <w:spacing w:after="200" w:before="400"/>
      </w:pPr>
      <w:r>
        <w:rPr>
          <w:rFonts w:ascii="Arial" w:cs="Arial" w:eastAsia="Arial" w:hAnsi="Arial"/>
          <w:b/>
          <w:bCs/>
          <w:color w:val="1B3A6B"/>
          <w:sz w:val="32"/>
          <w:szCs w:val="32"/>
        </w:rPr>
        <w:t xml:space="preserve">1. Prohibited UX Patterns</w:t>
      </w:r>
    </w:p>
    <w:p>
      <w:pPr>
        <w:pStyle w:val="Heading2"/>
        <w:spacing w:after="140" w:before="280"/>
      </w:pPr>
      <w:r>
        <w:rPr>
          <w:rFonts w:ascii="Arial" w:cs="Arial" w:eastAsia="Arial" w:hAnsi="Arial"/>
          <w:b/>
          <w:bCs/>
          <w:color w:val="2E75B6"/>
          <w:sz w:val="26"/>
          <w:szCs w:val="26"/>
        </w:rPr>
        <w:t xml:space="preserve">1.1 Dark Patterns: Absolute Prohibitions</w:t>
      </w:r>
    </w:p>
    <w:p>
      <w:pPr>
        <w:spacing w:after="80" w:before="80"/>
      </w:pPr>
      <w:r>
        <w:rPr>
          <w:rFonts w:ascii="Arial" w:cs="Arial" w:eastAsia="Arial" w:hAnsi="Arial"/>
          <w:color w:val="333333"/>
          <w:sz w:val="22"/>
          <w:szCs w:val="22"/>
        </w:rPr>
        <w:t xml:space="preserve">The following UX patterns are explicitly prohibited in the CredZo product. Any implementation of these patterns constitutes a compliance violation and a trust breach with users. These prohibitions apply across all flows: onboarding, credit draw, repayment, and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CEC" w:val="clear"/>
            <w:tcMar>
              <w:top w:type="dxa" w:w="120"/>
              <w:left w:type="dxa" w:w="180"/>
              <w:bottom w:type="dxa" w:w="120"/>
              <w:right w:type="dxa" w:w="180"/>
            </w:tcMar>
          </w:tcPr>
          <w:p>
            <w:r>
              <w:rPr>
                <w:rFonts w:ascii="Arial" w:cs="Arial" w:eastAsia="Arial" w:hAnsi="Arial"/>
                <w:b/>
                <w:bCs/>
                <w:color w:val="1B3A6B"/>
                <w:sz w:val="22"/>
                <w:szCs w:val="22"/>
              </w:rPr>
              <w:t xml:space="preserve">PROHIBITED — Pre-checked Consent Boxes: </w:t>
            </w:r>
            <w:r>
              <w:rPr>
                <w:rFonts w:ascii="Arial" w:cs="Arial" w:eastAsia="Arial" w:hAnsi="Arial"/>
                <w:color w:val="333333"/>
                <w:sz w:val="22"/>
                <w:szCs w:val="22"/>
              </w:rPr>
              <w:t xml:space="preserve">Any checkbox related to marketing communications, data sharing, insurance bundling, or credit bureau consent must default to unchecked. Pre-checked consent violates both DPDP Act requirements and RBI digital lending guidelines.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CEC" w:val="clear"/>
            <w:tcMar>
              <w:top w:type="dxa" w:w="120"/>
              <w:left w:type="dxa" w:w="180"/>
              <w:bottom w:type="dxa" w:w="120"/>
              <w:right w:type="dxa" w:w="180"/>
            </w:tcMar>
          </w:tcPr>
          <w:p>
            <w:r>
              <w:rPr>
                <w:rFonts w:ascii="Arial" w:cs="Arial" w:eastAsia="Arial" w:hAnsi="Arial"/>
                <w:b/>
                <w:bCs/>
                <w:color w:val="1B3A6B"/>
                <w:sz w:val="22"/>
                <w:szCs w:val="22"/>
              </w:rPr>
              <w:t xml:space="preserve">PROHIBITED — Artificial Urgency Mechanics: </w:t>
            </w:r>
            <w:r>
              <w:rPr>
                <w:rFonts w:ascii="Arial" w:cs="Arial" w:eastAsia="Arial" w:hAnsi="Arial"/>
                <w:color w:val="333333"/>
                <w:sz w:val="22"/>
                <w:szCs w:val="22"/>
              </w:rPr>
              <w:t xml:space="preserve">Countdown timers on credit offers, limited-time limit displays, or messaging like 'Your offer expires in 10 minutes' constitute manipulative UX. RBI digital lending guidelines explicitly flag aggressive nudges as non-compliant.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CEC" w:val="clear"/>
            <w:tcMar>
              <w:top w:type="dxa" w:w="120"/>
              <w:left w:type="dxa" w:w="180"/>
              <w:bottom w:type="dxa" w:w="120"/>
              <w:right w:type="dxa" w:w="180"/>
            </w:tcMar>
          </w:tcPr>
          <w:p>
            <w:r>
              <w:rPr>
                <w:rFonts w:ascii="Arial" w:cs="Arial" w:eastAsia="Arial" w:hAnsi="Arial"/>
                <w:b/>
                <w:bCs/>
                <w:color w:val="1B3A6B"/>
                <w:sz w:val="22"/>
                <w:szCs w:val="22"/>
              </w:rPr>
              <w:t xml:space="preserve">PROHIBITED — Hidden Costs: </w:t>
            </w:r>
            <w:r>
              <w:rPr>
                <w:rFonts w:ascii="Arial" w:cs="Arial" w:eastAsia="Arial" w:hAnsi="Arial"/>
                <w:color w:val="333333"/>
                <w:sz w:val="22"/>
                <w:szCs w:val="22"/>
              </w:rPr>
              <w:t xml:space="preserve">Any interest rate, processing fee, late payment charge, or penalty must be displayed clearly before the user commits to a credit draw. Burying these in T&amp;C text that requires scrolling past a CTA is a prohibited pattern.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CEC" w:val="clear"/>
            <w:tcMar>
              <w:top w:type="dxa" w:w="120"/>
              <w:left w:type="dxa" w:w="180"/>
              <w:bottom w:type="dxa" w:w="120"/>
              <w:right w:type="dxa" w:w="180"/>
            </w:tcMar>
          </w:tcPr>
          <w:p>
            <w:r>
              <w:rPr>
                <w:rFonts w:ascii="Arial" w:cs="Arial" w:eastAsia="Arial" w:hAnsi="Arial"/>
                <w:b/>
                <w:bCs/>
                <w:color w:val="1B3A6B"/>
                <w:sz w:val="22"/>
                <w:szCs w:val="22"/>
              </w:rPr>
              <w:t xml:space="preserve">PROHIBITED — Asymmetric Exit Design: </w:t>
            </w:r>
            <w:r>
              <w:rPr>
                <w:rFonts w:ascii="Arial" w:cs="Arial" w:eastAsia="Arial" w:hAnsi="Arial"/>
                <w:color w:val="333333"/>
                <w:sz w:val="22"/>
                <w:szCs w:val="22"/>
              </w:rPr>
              <w:t xml:space="preserve">The path to decline or exit a credit offer must be as visually prominent as the path to accept. Making the 'No thanks' button smaller, lighter, or harder to find than the 'Accept' button constitutes a prohibited dark pattern.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CEC" w:val="clear"/>
            <w:tcMar>
              <w:top w:type="dxa" w:w="120"/>
              <w:left w:type="dxa" w:w="180"/>
              <w:bottom w:type="dxa" w:w="120"/>
              <w:right w:type="dxa" w:w="180"/>
            </w:tcMar>
          </w:tcPr>
          <w:p>
            <w:r>
              <w:rPr>
                <w:rFonts w:ascii="Arial" w:cs="Arial" w:eastAsia="Arial" w:hAnsi="Arial"/>
                <w:b/>
                <w:bCs/>
                <w:color w:val="1B3A6B"/>
                <w:sz w:val="22"/>
                <w:szCs w:val="22"/>
              </w:rPr>
              <w:t xml:space="preserve">PROHIBITED — Shame-Based Collection Language: </w:t>
            </w:r>
            <w:r>
              <w:rPr>
                <w:rFonts w:ascii="Arial" w:cs="Arial" w:eastAsia="Arial" w:hAnsi="Arial"/>
                <w:color w:val="333333"/>
                <w:sz w:val="22"/>
                <w:szCs w:val="22"/>
              </w:rPr>
              <w:t xml:space="preserve">Any microcopy that uses shame, threat, or fear to drive repayment compliance is prohibited. This includes language like 'Your account is at risk,' 'You may face legal action,' or 'Your credit score will be destroyed.' Repayment communications must be factual and supportive.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CEC" w:val="clear"/>
            <w:tcMar>
              <w:top w:type="dxa" w:w="120"/>
              <w:left w:type="dxa" w:w="180"/>
              <w:bottom w:type="dxa" w:w="120"/>
              <w:right w:type="dxa" w:w="180"/>
            </w:tcMar>
          </w:tcPr>
          <w:p>
            <w:r>
              <w:rPr>
                <w:rFonts w:ascii="Arial" w:cs="Arial" w:eastAsia="Arial" w:hAnsi="Arial"/>
                <w:b/>
                <w:bCs/>
                <w:color w:val="1B3A6B"/>
                <w:sz w:val="22"/>
                <w:szCs w:val="22"/>
              </w:rPr>
              <w:t xml:space="preserve">PROHIBITED — Bundled Permission Requests: </w:t>
            </w:r>
            <w:r>
              <w:rPr>
                <w:rFonts w:ascii="Arial" w:cs="Arial" w:eastAsia="Arial" w:hAnsi="Arial"/>
                <w:color w:val="333333"/>
                <w:sz w:val="22"/>
                <w:szCs w:val="22"/>
              </w:rPr>
              <w:t xml:space="preserve">Requesting all device permissions as a single pre-onboarding bundle is prohibited. DPDP Act requires purpose-specific data requests at the point of use. Each permission must be contextually requested with a plain-language explanation.</w:t>
            </w:r>
          </w:p>
        </w:tc>
      </w:tr>
    </w:tbl>
    <w:p>
      <w:pPr>
        <w:spacing w:before="160"/>
      </w:pPr>
    </w:p>
    <w:p>
      <w:r>
        <w:br w:type="page"/>
      </w:r>
    </w:p>
    <w:p>
      <w:pPr>
        <w:pStyle w:val="Heading1"/>
        <w:spacing w:after="200" w:before="400"/>
      </w:pPr>
      <w:r>
        <w:rPr>
          <w:rFonts w:ascii="Arial" w:cs="Arial" w:eastAsia="Arial" w:hAnsi="Arial"/>
          <w:b/>
          <w:bCs/>
          <w:color w:val="1B3A6B"/>
          <w:sz w:val="32"/>
          <w:szCs w:val="32"/>
        </w:rPr>
        <w:t xml:space="preserve">2. Disclosure Requirements</w:t>
      </w:r>
    </w:p>
    <w:p>
      <w:pPr>
        <w:pStyle w:val="Heading2"/>
        <w:spacing w:after="140" w:before="280"/>
      </w:pPr>
      <w:r>
        <w:rPr>
          <w:rFonts w:ascii="Arial" w:cs="Arial" w:eastAsia="Arial" w:hAnsi="Arial"/>
          <w:b/>
          <w:bCs/>
          <w:color w:val="2E75B6"/>
          <w:sz w:val="26"/>
          <w:szCs w:val="26"/>
        </w:rPr>
        <w:t xml:space="preserve">2.1 Mandatory Disclosure Architecture</w:t>
      </w:r>
    </w:p>
    <w:p>
      <w:pPr>
        <w:spacing w:after="80" w:before="80"/>
      </w:pPr>
      <w:r>
        <w:rPr>
          <w:rFonts w:ascii="Arial" w:cs="Arial" w:eastAsia="Arial" w:hAnsi="Arial"/>
          <w:color w:val="333333"/>
          <w:sz w:val="22"/>
          <w:szCs w:val="22"/>
        </w:rPr>
        <w:t xml:space="preserve">The following disclosures are required by RBI Digital Lending Guidelines (2022) and must be implemented as specific UX elements within the CredZo product. Each disclosure must be in plain, readable language — not in fine print embedded in scrollable T&amp;C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UX Pattern / Feature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Compliance Status</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Required UX Action</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333333"/>
                <w:sz w:val="20"/>
                <w:szCs w:val="20"/>
              </w:rPr>
              <w:t xml:space="preserve">Annual Percentage Rate (APR) display</w:t>
            </w:r>
          </w:p>
        </w:tc>
        <w:tc>
          <w:tcPr>
            <w:tcW w:type="dxa" w:w="1800"/>
            <w:tcBorders>
              <w:top w:val="single" w:color="CCCCCC" w:sz="1"/>
              <w:left w:val="single" w:color="CCCCCC" w:sz="1"/>
              <w:bottom w:val="single" w:color="CCCCCC" w:sz="1"/>
              <w:right w:val="single" w:color="CCCCCC" w:sz="1"/>
            </w:tcBorders>
            <w:shd w:fill="FFECEC" w:val="clear"/>
            <w:tcMar>
              <w:top w:type="dxa" w:w="80"/>
              <w:left w:type="dxa" w:w="120"/>
              <w:bottom w:type="dxa" w:w="80"/>
              <w:right w:type="dxa" w:w="120"/>
            </w:tcMar>
          </w:tcPr>
          <w:p>
            <w:r>
              <w:rPr>
                <w:rFonts w:ascii="Arial" w:cs="Arial" w:eastAsia="Arial" w:hAnsi="Arial"/>
                <w:b/>
                <w:bCs/>
                <w:color w:val="C62828"/>
                <w:sz w:val="20"/>
                <w:szCs w:val="20"/>
              </w:rPr>
              <w:t xml:space="preserve">REQUIRED</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333333"/>
                <w:sz w:val="20"/>
                <w:szCs w:val="20"/>
              </w:rPr>
              <w:t xml:space="preserve">Display APR prominently on eligibility and credit draw screens. Must be visible without scrolling. Minimum font: 14sp.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cost of credit at draw time</w:t>
            </w:r>
          </w:p>
        </w:tc>
        <w:tc>
          <w:tcPr>
            <w:tcW w:type="dxa" w:w="1800"/>
            <w:tcBorders>
              <w:top w:val="single" w:color="CCCCCC" w:sz="1"/>
              <w:left w:val="single" w:color="CCCCCC" w:sz="1"/>
              <w:bottom w:val="single" w:color="CCCCCC" w:sz="1"/>
              <w:right w:val="single" w:color="CCCCCC" w:sz="1"/>
            </w:tcBorders>
            <w:shd w:fill="FFECEC" w:val="clear"/>
            <w:tcMar>
              <w:top w:type="dxa" w:w="80"/>
              <w:left w:type="dxa" w:w="120"/>
              <w:bottom w:type="dxa" w:w="80"/>
              <w:right w:type="dxa" w:w="120"/>
            </w:tcMar>
          </w:tcPr>
          <w:p>
            <w:r>
              <w:rPr>
                <w:rFonts w:ascii="Arial" w:cs="Arial" w:eastAsia="Arial" w:hAnsi="Arial"/>
                <w:b/>
                <w:bCs/>
                <w:color w:val="C62828"/>
                <w:sz w:val="20"/>
                <w:szCs w:val="20"/>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Before credit draw confirmation, display exact total cost: principal + interest + all fees for the full repayment period.</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333333"/>
                <w:sz w:val="20"/>
                <w:szCs w:val="20"/>
              </w:rPr>
              <w:t xml:space="preserve">Key Fact Statement (KFS)</w:t>
            </w:r>
          </w:p>
        </w:tc>
        <w:tc>
          <w:tcPr>
            <w:tcW w:type="dxa" w:w="1800"/>
            <w:tcBorders>
              <w:top w:val="single" w:color="CCCCCC" w:sz="1"/>
              <w:left w:val="single" w:color="CCCCCC" w:sz="1"/>
              <w:bottom w:val="single" w:color="CCCCCC" w:sz="1"/>
              <w:right w:val="single" w:color="CCCCCC" w:sz="1"/>
            </w:tcBorders>
            <w:shd w:fill="FFECEC" w:val="clear"/>
            <w:tcMar>
              <w:top w:type="dxa" w:w="80"/>
              <w:left w:type="dxa" w:w="120"/>
              <w:bottom w:type="dxa" w:w="80"/>
              <w:right w:type="dxa" w:w="120"/>
            </w:tcMar>
          </w:tcPr>
          <w:p>
            <w:r>
              <w:rPr>
                <w:rFonts w:ascii="Arial" w:cs="Arial" w:eastAsia="Arial" w:hAnsi="Arial"/>
                <w:b/>
                <w:bCs/>
                <w:color w:val="C62828"/>
                <w:sz w:val="20"/>
                <w:szCs w:val="20"/>
              </w:rPr>
              <w:t xml:space="preserve">REQUIRED</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333333"/>
                <w:sz w:val="20"/>
                <w:szCs w:val="20"/>
              </w:rPr>
              <w:t xml:space="preserve">RBI requires a Key Fact Statement before loan disbursement. Design this as a clean, one-page summary screen — not a PDF download.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Cooling-off period disclosure</w:t>
            </w:r>
          </w:p>
        </w:tc>
        <w:tc>
          <w:tcPr>
            <w:tcW w:type="dxa" w:w="1800"/>
            <w:tcBorders>
              <w:top w:val="single" w:color="CCCCCC" w:sz="1"/>
              <w:left w:val="single" w:color="CCCCCC" w:sz="1"/>
              <w:bottom w:val="single" w:color="CCCCCC" w:sz="1"/>
              <w:right w:val="single" w:color="CCCCCC" w:sz="1"/>
            </w:tcBorders>
            <w:shd w:fill="FFECEC" w:val="clear"/>
            <w:tcMar>
              <w:top w:type="dxa" w:w="80"/>
              <w:left w:type="dxa" w:w="120"/>
              <w:bottom w:type="dxa" w:w="80"/>
              <w:right w:type="dxa" w:w="120"/>
            </w:tcMar>
          </w:tcPr>
          <w:p>
            <w:r>
              <w:rPr>
                <w:rFonts w:ascii="Arial" w:cs="Arial" w:eastAsia="Arial" w:hAnsi="Arial"/>
                <w:b/>
                <w:bCs/>
                <w:color w:val="C62828"/>
                <w:sz w:val="20"/>
                <w:szCs w:val="20"/>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Users must be informed of their right to cancel within the cooling-off period. Display on post-draw confirmation screen.</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333333"/>
                <w:sz w:val="20"/>
                <w:szCs w:val="20"/>
              </w:rPr>
              <w:t xml:space="preserve">NBFC/lender identity disclosure</w:t>
            </w:r>
          </w:p>
        </w:tc>
        <w:tc>
          <w:tcPr>
            <w:tcW w:type="dxa" w:w="1800"/>
            <w:tcBorders>
              <w:top w:val="single" w:color="CCCCCC" w:sz="1"/>
              <w:left w:val="single" w:color="CCCCCC" w:sz="1"/>
              <w:bottom w:val="single" w:color="CCCCCC" w:sz="1"/>
              <w:right w:val="single" w:color="CCCCCC" w:sz="1"/>
            </w:tcBorders>
            <w:shd w:fill="FFECEC" w:val="clear"/>
            <w:tcMar>
              <w:top w:type="dxa" w:w="80"/>
              <w:left w:type="dxa" w:w="120"/>
              <w:bottom w:type="dxa" w:w="80"/>
              <w:right w:type="dxa" w:w="120"/>
            </w:tcMar>
          </w:tcPr>
          <w:p>
            <w:r>
              <w:rPr>
                <w:rFonts w:ascii="Arial" w:cs="Arial" w:eastAsia="Arial" w:hAnsi="Arial"/>
                <w:b/>
                <w:bCs/>
                <w:color w:val="C62828"/>
                <w:sz w:val="20"/>
                <w:szCs w:val="20"/>
              </w:rPr>
              <w:t xml:space="preserve">REQUIRED</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registered NBFC / bank partner name and RBI registration number must appear on the home screen and onboarding flow.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Grievance redressal mechanism</w:t>
            </w:r>
          </w:p>
        </w:tc>
        <w:tc>
          <w:tcPr>
            <w:tcW w:type="dxa" w:w="1800"/>
            <w:tcBorders>
              <w:top w:val="single" w:color="CCCCCC" w:sz="1"/>
              <w:left w:val="single" w:color="CCCCCC" w:sz="1"/>
              <w:bottom w:val="single" w:color="CCCCCC" w:sz="1"/>
              <w:right w:val="single" w:color="CCCCCC" w:sz="1"/>
            </w:tcBorders>
            <w:shd w:fill="FFECEC" w:val="clear"/>
            <w:tcMar>
              <w:top w:type="dxa" w:w="80"/>
              <w:left w:type="dxa" w:w="120"/>
              <w:bottom w:type="dxa" w:w="80"/>
              <w:right w:type="dxa" w:w="120"/>
            </w:tcMar>
          </w:tcPr>
          <w:p>
            <w:r>
              <w:rPr>
                <w:rFonts w:ascii="Arial" w:cs="Arial" w:eastAsia="Arial" w:hAnsi="Arial"/>
                <w:b/>
                <w:bCs/>
                <w:color w:val="C62828"/>
                <w:sz w:val="20"/>
                <w:szCs w:val="20"/>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Complaint process and contact details must be visible in app, not only on website. One-tap from any screen is recommended.</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333333"/>
                <w:sz w:val="20"/>
                <w:szCs w:val="20"/>
              </w:rPr>
              <w:t xml:space="preserve">Credit bureau reporting disclosure</w:t>
            </w:r>
          </w:p>
        </w:tc>
        <w:tc>
          <w:tcPr>
            <w:tcW w:type="dxa" w:w="1800"/>
            <w:tcBorders>
              <w:top w:val="single" w:color="CCCCCC" w:sz="1"/>
              <w:left w:val="single" w:color="CCCCCC" w:sz="1"/>
              <w:bottom w:val="single" w:color="CCCCCC" w:sz="1"/>
              <w:right w:val="single" w:color="CCCCCC" w:sz="1"/>
            </w:tcBorders>
            <w:shd w:fill="FFECEC" w:val="clear"/>
            <w:tcMar>
              <w:top w:type="dxa" w:w="80"/>
              <w:left w:type="dxa" w:w="120"/>
              <w:bottom w:type="dxa" w:w="80"/>
              <w:right w:type="dxa" w:w="120"/>
            </w:tcMar>
          </w:tcPr>
          <w:p>
            <w:r>
              <w:rPr>
                <w:rFonts w:ascii="Arial" w:cs="Arial" w:eastAsia="Arial" w:hAnsi="Arial"/>
                <w:b/>
                <w:bCs/>
                <w:color w:val="C62828"/>
                <w:sz w:val="20"/>
                <w:szCs w:val="20"/>
              </w:rPr>
              <w:t xml:space="preserve">REQUIRED</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Users must be informed that repayment behavior will be reported to credit bureaus, before they draw credit.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processing consent</w:t>
            </w:r>
          </w:p>
        </w:tc>
        <w:tc>
          <w:tcPr>
            <w:tcW w:type="dxa" w:w="1800"/>
            <w:tcBorders>
              <w:top w:val="single" w:color="CCCCCC" w:sz="1"/>
              <w:left w:val="single" w:color="CCCCCC" w:sz="1"/>
              <w:bottom w:val="single" w:color="CCCCCC" w:sz="1"/>
              <w:right w:val="single" w:color="CCCCCC" w:sz="1"/>
            </w:tcBorders>
            <w:shd w:fill="FFECEC" w:val="clear"/>
            <w:tcMar>
              <w:top w:type="dxa" w:w="80"/>
              <w:left w:type="dxa" w:w="120"/>
              <w:bottom w:type="dxa" w:w="80"/>
              <w:right w:type="dxa" w:w="120"/>
            </w:tcMar>
          </w:tcPr>
          <w:p>
            <w:r>
              <w:rPr>
                <w:rFonts w:ascii="Arial" w:cs="Arial" w:eastAsia="Arial" w:hAnsi="Arial"/>
                <w:b/>
                <w:bCs/>
                <w:color w:val="C62828"/>
                <w:sz w:val="20"/>
                <w:szCs w:val="20"/>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DPDP Act requires specific, informed, revocable consent for each data processing purpose. Granular consent UI required.</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Repayment schedule visibility</w:t>
            </w:r>
          </w:p>
        </w:tc>
        <w:tc>
          <w:tcPr>
            <w:tcW w:type="dxa" w:w="18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r>
              <w:rPr>
                <w:rFonts w:ascii="Arial" w:cs="Arial" w:eastAsia="Arial" w:hAnsi="Arial"/>
                <w:b/>
                <w:bCs/>
                <w:color w:val="E65100"/>
                <w:sz w:val="20"/>
                <w:szCs w:val="20"/>
              </w:rPr>
              <w:t xml:space="preserve">RECOMMENDED</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repayment schedule (all due dates, amounts, penalties) should be accessible from the home dashboard at all times.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Late payment fee visibility</w:t>
            </w:r>
          </w:p>
        </w:tc>
        <w:tc>
          <w:tcPr>
            <w:tcW w:type="dxa" w:w="1800"/>
            <w:tcBorders>
              <w:top w:val="single" w:color="CCCCCC" w:sz="1"/>
              <w:left w:val="single" w:color="CCCCCC" w:sz="1"/>
              <w:bottom w:val="single" w:color="CCCCCC" w:sz="1"/>
              <w:right w:val="single" w:color="CCCCCC" w:sz="1"/>
            </w:tcBorders>
            <w:shd w:fill="FFECEC" w:val="clear"/>
            <w:tcMar>
              <w:top w:type="dxa" w:w="80"/>
              <w:left w:type="dxa" w:w="120"/>
              <w:bottom w:type="dxa" w:w="80"/>
              <w:right w:type="dxa" w:w="120"/>
            </w:tcMar>
          </w:tcPr>
          <w:p>
            <w:r>
              <w:rPr>
                <w:rFonts w:ascii="Arial" w:cs="Arial" w:eastAsia="Arial" w:hAnsi="Arial"/>
                <w:b/>
                <w:bCs/>
                <w:color w:val="C62828"/>
                <w:sz w:val="20"/>
                <w:szCs w:val="20"/>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Late payment charges must be shown before credit draw — not only in T&amp;C. Display with example: 'If you pay 7 days late, you will be charged ₹X.'</w:t>
            </w:r>
          </w:p>
        </w:tc>
      </w:tr>
    </w:tbl>
    <w:p>
      <w:pPr>
        <w:spacing w:before="160"/>
      </w:pPr>
    </w:p>
    <w:p>
      <w:r>
        <w:br w:type="page"/>
      </w:r>
    </w:p>
    <w:p>
      <w:pPr>
        <w:pStyle w:val="Heading1"/>
        <w:spacing w:after="200" w:before="400"/>
      </w:pPr>
      <w:r>
        <w:rPr>
          <w:rFonts w:ascii="Arial" w:cs="Arial" w:eastAsia="Arial" w:hAnsi="Arial"/>
          <w:b/>
          <w:bCs/>
          <w:color w:val="1B3A6B"/>
          <w:sz w:val="32"/>
          <w:szCs w:val="32"/>
        </w:rPr>
        <w:t xml:space="preserve">3. Consent UX Architecture</w:t>
      </w:r>
    </w:p>
    <w:p>
      <w:pPr>
        <w:pStyle w:val="Heading2"/>
        <w:spacing w:after="140" w:before="280"/>
      </w:pPr>
      <w:r>
        <w:rPr>
          <w:rFonts w:ascii="Arial" w:cs="Arial" w:eastAsia="Arial" w:hAnsi="Arial"/>
          <w:b/>
          <w:bCs/>
          <w:color w:val="2E75B6"/>
          <w:sz w:val="26"/>
          <w:szCs w:val="26"/>
        </w:rPr>
        <w:t xml:space="preserve">3.1 DPDP Act Compliance Requirements</w:t>
      </w:r>
    </w:p>
    <w:p>
      <w:pPr>
        <w:spacing w:after="80" w:before="80"/>
      </w:pPr>
      <w:r>
        <w:rPr>
          <w:rFonts w:ascii="Arial" w:cs="Arial" w:eastAsia="Arial" w:hAnsi="Arial"/>
          <w:color w:val="333333"/>
          <w:sz w:val="22"/>
          <w:szCs w:val="22"/>
        </w:rPr>
        <w:t xml:space="preserve">The Digital Personal Data Protection Act 2023 (DPDP Act) introduces significant obligations for data processing consent in Indian digital products. The CredZo consent architecture must be redesigned to meet these requirements across all data collection touchpoints.</w:t>
      </w:r>
    </w:p>
    <w:p>
      <w:pPr>
        <w:pStyle w:val="Heading2"/>
        <w:spacing w:after="140" w:before="280"/>
      </w:pPr>
      <w:r>
        <w:rPr>
          <w:rFonts w:ascii="Arial" w:cs="Arial" w:eastAsia="Arial" w:hAnsi="Arial"/>
          <w:b/>
          <w:bCs/>
          <w:color w:val="2E75B6"/>
          <w:sz w:val="26"/>
          <w:szCs w:val="26"/>
        </w:rPr>
        <w:t xml:space="preserve">3.2 Required Consent Design Standards</w:t>
      </w:r>
    </w:p>
    <w:p>
      <w:pPr>
        <w:pStyle w:val="ListParagraph"/>
        <w:numPr>
          <w:ilvl w:val="0"/>
          <w:numId w:val="2"/>
        </w:numPr>
        <w:spacing w:after="60" w:before="60"/>
      </w:pPr>
      <w:r>
        <w:rPr>
          <w:rFonts w:ascii="Arial" w:cs="Arial" w:eastAsia="Arial" w:hAnsi="Arial"/>
          <w:b/>
          <w:bCs/>
          <w:color w:val="1B3A6B"/>
          <w:sz w:val="22"/>
          <w:szCs w:val="22"/>
        </w:rPr>
        <w:t xml:space="preserve">Purpose specificity: </w:t>
      </w:r>
      <w:r>
        <w:rPr>
          <w:rFonts w:ascii="Arial" w:cs="Arial" w:eastAsia="Arial" w:hAnsi="Arial"/>
          <w:color w:val="333333"/>
          <w:sz w:val="22"/>
          <w:szCs w:val="22"/>
        </w:rPr>
        <w:t xml:space="preserve">Each consent request must state the specific purpose in plain language (not legal boilerplate).</w:t>
      </w:r>
    </w:p>
    <w:p>
      <w:pPr>
        <w:pStyle w:val="ListParagraph"/>
        <w:numPr>
          <w:ilvl w:val="0"/>
          <w:numId w:val="2"/>
        </w:numPr>
        <w:spacing w:after="60" w:before="60"/>
      </w:pPr>
      <w:r>
        <w:rPr>
          <w:rFonts w:ascii="Arial" w:cs="Arial" w:eastAsia="Arial" w:hAnsi="Arial"/>
          <w:b/>
          <w:bCs/>
          <w:color w:val="1B3A6B"/>
          <w:sz w:val="22"/>
          <w:szCs w:val="22"/>
        </w:rPr>
        <w:t xml:space="preserve">Free consent: </w:t>
      </w:r>
      <w:r>
        <w:rPr>
          <w:rFonts w:ascii="Arial" w:cs="Arial" w:eastAsia="Arial" w:hAnsi="Arial"/>
          <w:color w:val="333333"/>
          <w:sz w:val="22"/>
          <w:szCs w:val="22"/>
        </w:rPr>
        <w:t xml:space="preserve">Consent must be freely given — no bundling of data consent with service access.</w:t>
      </w:r>
    </w:p>
    <w:p>
      <w:pPr>
        <w:pStyle w:val="ListParagraph"/>
        <w:numPr>
          <w:ilvl w:val="0"/>
          <w:numId w:val="2"/>
        </w:numPr>
        <w:spacing w:after="60" w:before="60"/>
      </w:pPr>
      <w:r>
        <w:rPr>
          <w:rFonts w:ascii="Arial" w:cs="Arial" w:eastAsia="Arial" w:hAnsi="Arial"/>
          <w:b/>
          <w:bCs/>
          <w:color w:val="1B3A6B"/>
          <w:sz w:val="22"/>
          <w:szCs w:val="22"/>
        </w:rPr>
        <w:t xml:space="preserve">Revocability: </w:t>
      </w:r>
      <w:r>
        <w:rPr>
          <w:rFonts w:ascii="Arial" w:cs="Arial" w:eastAsia="Arial" w:hAnsi="Arial"/>
          <w:color w:val="333333"/>
          <w:sz w:val="22"/>
          <w:szCs w:val="22"/>
        </w:rPr>
        <w:t xml:space="preserve">Users must be able to withdraw consent for individual data uses without losing core service.</w:t>
      </w:r>
    </w:p>
    <w:p>
      <w:pPr>
        <w:pStyle w:val="ListParagraph"/>
        <w:numPr>
          <w:ilvl w:val="0"/>
          <w:numId w:val="2"/>
        </w:numPr>
        <w:spacing w:after="60" w:before="60"/>
      </w:pPr>
      <w:r>
        <w:rPr>
          <w:rFonts w:ascii="Arial" w:cs="Arial" w:eastAsia="Arial" w:hAnsi="Arial"/>
          <w:b/>
          <w:bCs/>
          <w:color w:val="1B3A6B"/>
          <w:sz w:val="22"/>
          <w:szCs w:val="22"/>
        </w:rPr>
        <w:t xml:space="preserve">No default consent: </w:t>
      </w:r>
      <w:r>
        <w:rPr>
          <w:rFonts w:ascii="Arial" w:cs="Arial" w:eastAsia="Arial" w:hAnsi="Arial"/>
          <w:color w:val="333333"/>
          <w:sz w:val="22"/>
          <w:szCs w:val="22"/>
        </w:rPr>
        <w:t xml:space="preserve">No consent by default, pre-ticking, or inactivity — each consent requires explicit user action.</w:t>
      </w:r>
    </w:p>
    <w:p>
      <w:pPr>
        <w:pStyle w:val="ListParagraph"/>
        <w:numPr>
          <w:ilvl w:val="0"/>
          <w:numId w:val="2"/>
        </w:numPr>
        <w:spacing w:after="60" w:before="60"/>
      </w:pPr>
      <w:r>
        <w:rPr>
          <w:rFonts w:ascii="Arial" w:cs="Arial" w:eastAsia="Arial" w:hAnsi="Arial"/>
          <w:b/>
          <w:bCs/>
          <w:color w:val="1B3A6B"/>
          <w:sz w:val="22"/>
          <w:szCs w:val="22"/>
        </w:rPr>
        <w:t xml:space="preserve">Consent transparency: </w:t>
      </w:r>
      <w:r>
        <w:rPr>
          <w:rFonts w:ascii="Arial" w:cs="Arial" w:eastAsia="Arial" w:hAnsi="Arial"/>
          <w:color w:val="333333"/>
          <w:sz w:val="22"/>
          <w:szCs w:val="22"/>
        </w:rPr>
        <w:t xml:space="preserve">Consent records must be accessible to users: what data, what purpose, when consented.</w:t>
      </w:r>
    </w:p>
    <w:p>
      <w:pPr>
        <w:spacing w:before="80"/>
      </w:pPr>
    </w:p>
    <w:p>
      <w:pPr>
        <w:pStyle w:val="Heading2"/>
        <w:spacing w:after="140" w:before="280"/>
      </w:pPr>
      <w:r>
        <w:rPr>
          <w:rFonts w:ascii="Arial" w:cs="Arial" w:eastAsia="Arial" w:hAnsi="Arial"/>
          <w:b/>
          <w:bCs/>
          <w:color w:val="2E75B6"/>
          <w:sz w:val="26"/>
          <w:szCs w:val="26"/>
        </w:rPr>
        <w:t xml:space="preserve">3.3 Consent UX Design Pattern</w:t>
      </w:r>
    </w:p>
    <w:p>
      <w:pPr>
        <w:spacing w:after="80" w:before="80"/>
      </w:pPr>
      <w:r>
        <w:rPr>
          <w:rFonts w:ascii="Arial" w:cs="Arial" w:eastAsia="Arial" w:hAnsi="Arial"/>
          <w:color w:val="333333"/>
          <w:sz w:val="22"/>
          <w:szCs w:val="22"/>
        </w:rPr>
        <w:t xml:space="preserve">Implement a tiered consent model in CredZo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180"/>
              <w:bottom w:type="dxa" w:w="120"/>
              <w:right w:type="dxa" w:w="180"/>
            </w:tcMar>
          </w:tcPr>
          <w:p>
            <w:r>
              <w:rPr>
                <w:rFonts w:ascii="Arial" w:cs="Arial" w:eastAsia="Arial" w:hAnsi="Arial"/>
                <w:b/>
                <w:bCs/>
                <w:color w:val="1B3A6B"/>
                <w:sz w:val="22"/>
                <w:szCs w:val="22"/>
              </w:rPr>
              <w:t xml:space="preserve">TIER 1 — Essential Consent: </w:t>
            </w:r>
            <w:r>
              <w:rPr>
                <w:rFonts w:ascii="Arial" w:cs="Arial" w:eastAsia="Arial" w:hAnsi="Arial"/>
                <w:color w:val="333333"/>
                <w:sz w:val="22"/>
                <w:szCs w:val="22"/>
              </w:rPr>
              <w:t xml:space="preserve">Data strictly required for credit assessment and disbursement. This tier may be required for service access but must be clearly separated from optional tiers. Plain language: 'We need your PAN and Aadhaar to verify your identity and assess your credit eligibility.'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color w:val="1B3A6B"/>
                <w:sz w:val="22"/>
                <w:szCs w:val="22"/>
              </w:rPr>
              <w:t xml:space="preserve">TIER 2 — Service Enhancement Consent: </w:t>
            </w:r>
            <w:r>
              <w:rPr>
                <w:rFonts w:ascii="Arial" w:cs="Arial" w:eastAsia="Arial" w:hAnsi="Arial"/>
                <w:color w:val="333333"/>
                <w:sz w:val="22"/>
                <w:szCs w:val="22"/>
              </w:rPr>
              <w:t xml:space="preserve">Data that improves the experience but is not essential. Examples: spending pattern analysis, financial health insights. Must be opt-in only. Plain language: 'You can share bank statement data to get a higher credit limit — this is optional.'</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b/>
                <w:bCs/>
                <w:color w:val="1B3A6B"/>
                <w:sz w:val="22"/>
                <w:szCs w:val="22"/>
              </w:rPr>
              <w:t xml:space="preserve">TIER 3 — Marketing Consent: </w:t>
            </w:r>
            <w:r>
              <w:rPr>
                <w:rFonts w:ascii="Arial" w:cs="Arial" w:eastAsia="Arial" w:hAnsi="Arial"/>
                <w:color w:val="333333"/>
                <w:sz w:val="22"/>
                <w:szCs w:val="22"/>
              </w:rPr>
              <w:t xml:space="preserve">Any data use for marketing, product recommendations, or third-party sharing. Entirely optional. Must be the last consent tier, never bundled with essential consents. Default: unchecked.</w:t>
            </w:r>
          </w:p>
        </w:tc>
      </w:tr>
    </w:tbl>
    <w:p>
      <w:pPr>
        <w:spacing w:before="160"/>
      </w:pPr>
    </w:p>
    <w:p>
      <w:r>
        <w:br w:type="page"/>
      </w:r>
    </w:p>
    <w:p>
      <w:pPr>
        <w:pStyle w:val="Heading1"/>
        <w:spacing w:after="200" w:before="400"/>
      </w:pPr>
      <w:r>
        <w:rPr>
          <w:rFonts w:ascii="Arial" w:cs="Arial" w:eastAsia="Arial" w:hAnsi="Arial"/>
          <w:b/>
          <w:bCs/>
          <w:color w:val="1B3A6B"/>
          <w:sz w:val="32"/>
          <w:szCs w:val="32"/>
        </w:rPr>
        <w:t xml:space="preserve">4. Responsible Lending UX Standards</w:t>
      </w:r>
    </w:p>
    <w:p>
      <w:pPr>
        <w:pStyle w:val="Heading2"/>
        <w:spacing w:after="140" w:before="280"/>
      </w:pPr>
      <w:r>
        <w:rPr>
          <w:rFonts w:ascii="Arial" w:cs="Arial" w:eastAsia="Arial" w:hAnsi="Arial"/>
          <w:b/>
          <w:bCs/>
          <w:color w:val="2E75B6"/>
          <w:sz w:val="26"/>
          <w:szCs w:val="26"/>
        </w:rPr>
        <w:t xml:space="preserve">4.1 Ethical AI Guidance Principles</w:t>
      </w:r>
    </w:p>
    <w:p>
      <w:pPr>
        <w:spacing w:after="80" w:before="80"/>
      </w:pPr>
      <w:r>
        <w:rPr>
          <w:rFonts w:ascii="Arial" w:cs="Arial" w:eastAsia="Arial" w:hAnsi="Arial"/>
          <w:color w:val="333333"/>
          <w:sz w:val="22"/>
          <w:szCs w:val="22"/>
        </w:rPr>
        <w:t xml:space="preserve">CredZo's AI companion layer carries significant ethical responsibility. An AI that guides financially vulnerable users toward credit decisions must operate under strict ethical guardrails. The following principles govern all AI-generated guidance in the product:</w:t>
      </w:r>
    </w:p>
    <w:p>
      <w:pPr>
        <w:pStyle w:val="ListParagraph"/>
        <w:numPr>
          <w:ilvl w:val="0"/>
          <w:numId w:val="2"/>
        </w:numPr>
        <w:spacing w:after="60" w:before="60"/>
      </w:pPr>
      <w:r>
        <w:rPr>
          <w:rFonts w:ascii="Arial" w:cs="Arial" w:eastAsia="Arial" w:hAnsi="Arial"/>
          <w:b/>
          <w:bCs/>
          <w:color w:val="1B3A6B"/>
          <w:sz w:val="22"/>
          <w:szCs w:val="22"/>
        </w:rPr>
        <w:t xml:space="preserve">No upselling in vulnerability: </w:t>
      </w:r>
      <w:r>
        <w:rPr>
          <w:rFonts w:ascii="Arial" w:cs="Arial" w:eastAsia="Arial" w:hAnsi="Arial"/>
          <w:color w:val="333333"/>
          <w:sz w:val="22"/>
          <w:szCs w:val="22"/>
        </w:rPr>
        <w:t xml:space="preserve">The AI must never recommend a credit draw amount higher than what the user stated they need.</w:t>
      </w:r>
    </w:p>
    <w:p>
      <w:pPr>
        <w:pStyle w:val="ListParagraph"/>
        <w:numPr>
          <w:ilvl w:val="0"/>
          <w:numId w:val="2"/>
        </w:numPr>
        <w:spacing w:after="60" w:before="60"/>
      </w:pPr>
      <w:r>
        <w:rPr>
          <w:rFonts w:ascii="Arial" w:cs="Arial" w:eastAsia="Arial" w:hAnsi="Arial"/>
          <w:b/>
          <w:bCs/>
          <w:color w:val="1B3A6B"/>
          <w:sz w:val="22"/>
          <w:szCs w:val="22"/>
        </w:rPr>
        <w:t xml:space="preserve">Affordability awareness: </w:t>
      </w:r>
      <w:r>
        <w:rPr>
          <w:rFonts w:ascii="Arial" w:cs="Arial" w:eastAsia="Arial" w:hAnsi="Arial"/>
          <w:color w:val="333333"/>
          <w:sz w:val="22"/>
          <w:szCs w:val="22"/>
        </w:rPr>
        <w:t xml:space="preserve">The AI must provide affordability context: 'Based on your repayment history, this draw is within a comfortable range.'</w:t>
      </w:r>
    </w:p>
    <w:p>
      <w:pPr>
        <w:pStyle w:val="ListParagraph"/>
        <w:numPr>
          <w:ilvl w:val="0"/>
          <w:numId w:val="2"/>
        </w:numPr>
        <w:spacing w:after="60" w:before="60"/>
      </w:pPr>
      <w:r>
        <w:rPr>
          <w:rFonts w:ascii="Arial" w:cs="Arial" w:eastAsia="Arial" w:hAnsi="Arial"/>
          <w:b/>
          <w:bCs/>
          <w:color w:val="1B3A6B"/>
          <w:sz w:val="22"/>
          <w:szCs w:val="22"/>
        </w:rPr>
        <w:t xml:space="preserve">Cost accuracy: </w:t>
      </w:r>
      <w:r>
        <w:rPr>
          <w:rFonts w:ascii="Arial" w:cs="Arial" w:eastAsia="Arial" w:hAnsi="Arial"/>
          <w:color w:val="333333"/>
          <w:sz w:val="22"/>
          <w:szCs w:val="22"/>
        </w:rPr>
        <w:t xml:space="preserve">The AI must present accurate, non-misleading descriptions of credit costs — no optimistic framing.</w:t>
      </w:r>
    </w:p>
    <w:p>
      <w:pPr>
        <w:pStyle w:val="ListParagraph"/>
        <w:numPr>
          <w:ilvl w:val="0"/>
          <w:numId w:val="2"/>
        </w:numPr>
        <w:spacing w:after="60" w:before="60"/>
      </w:pPr>
      <w:r>
        <w:rPr>
          <w:rFonts w:ascii="Arial" w:cs="Arial" w:eastAsia="Arial" w:hAnsi="Arial"/>
          <w:b/>
          <w:bCs/>
          <w:color w:val="1B3A6B"/>
          <w:sz w:val="22"/>
          <w:szCs w:val="22"/>
        </w:rPr>
        <w:t xml:space="preserve">AI identity transparency: </w:t>
      </w:r>
      <w:r>
        <w:rPr>
          <w:rFonts w:ascii="Arial" w:cs="Arial" w:eastAsia="Arial" w:hAnsi="Arial"/>
          <w:color w:val="333333"/>
          <w:sz w:val="22"/>
          <w:szCs w:val="22"/>
        </w:rPr>
        <w:t xml:space="preserve">The AI must disclose its AI nature to users who ask. No pretending to be a human agent.</w:t>
      </w:r>
    </w:p>
    <w:p>
      <w:pPr>
        <w:pStyle w:val="ListParagraph"/>
        <w:numPr>
          <w:ilvl w:val="0"/>
          <w:numId w:val="2"/>
        </w:numPr>
        <w:spacing w:after="60" w:before="60"/>
      </w:pPr>
      <w:r>
        <w:rPr>
          <w:rFonts w:ascii="Arial" w:cs="Arial" w:eastAsia="Arial" w:hAnsi="Arial"/>
          <w:b/>
          <w:bCs/>
          <w:color w:val="1B3A6B"/>
          <w:sz w:val="22"/>
          <w:szCs w:val="22"/>
        </w:rPr>
        <w:t xml:space="preserve">No psychological manipulation: </w:t>
      </w:r>
      <w:r>
        <w:rPr>
          <w:rFonts w:ascii="Arial" w:cs="Arial" w:eastAsia="Arial" w:hAnsi="Arial"/>
          <w:color w:val="333333"/>
          <w:sz w:val="22"/>
          <w:szCs w:val="22"/>
        </w:rPr>
        <w:t xml:space="preserve">The AI must not use persuasive psychological techniques to close a credit draw.</w:t>
      </w:r>
    </w:p>
    <w:p>
      <w:pPr>
        <w:spacing w:before="80"/>
      </w:pPr>
    </w:p>
    <w:p>
      <w:pPr>
        <w:pStyle w:val="Heading2"/>
        <w:spacing w:after="140" w:before="280"/>
      </w:pPr>
      <w:r>
        <w:rPr>
          <w:rFonts w:ascii="Arial" w:cs="Arial" w:eastAsia="Arial" w:hAnsi="Arial"/>
          <w:b/>
          <w:bCs/>
          <w:color w:val="2E75B6"/>
          <w:sz w:val="26"/>
          <w:szCs w:val="26"/>
        </w:rPr>
        <w:t xml:space="preserve">4.2 Rejection Flow Compliance</w:t>
      </w:r>
    </w:p>
    <w:p>
      <w:pPr>
        <w:spacing w:after="80" w:before="80"/>
      </w:pPr>
      <w:r>
        <w:rPr>
          <w:rFonts w:ascii="Arial" w:cs="Arial" w:eastAsia="Arial" w:hAnsi="Arial"/>
          <w:color w:val="333333"/>
          <w:sz w:val="22"/>
          <w:szCs w:val="22"/>
        </w:rPr>
        <w:t xml:space="preserve">Rejection experiences are a high-compliance-risk touchpoint. Poor rejection UX has generated the majority of consumer complaints in the Indian digital lending sector. CredZo's rejection flow must meet the following standards:</w:t>
      </w:r>
    </w:p>
    <w:p>
      <w:pPr>
        <w:pStyle w:val="ListParagraph"/>
        <w:numPr>
          <w:ilvl w:val="0"/>
          <w:numId w:val="2"/>
        </w:numPr>
        <w:spacing w:after="60" w:before="60"/>
      </w:pPr>
      <w:r>
        <w:rPr>
          <w:rFonts w:ascii="Arial" w:cs="Arial" w:eastAsia="Arial" w:hAnsi="Arial"/>
          <w:b/>
          <w:bCs/>
          <w:color w:val="1B3A6B"/>
          <w:sz w:val="22"/>
          <w:szCs w:val="22"/>
        </w:rPr>
        <w:t xml:space="preserve">Reason disclosure: </w:t>
      </w:r>
      <w:r>
        <w:rPr>
          <w:rFonts w:ascii="Arial" w:cs="Arial" w:eastAsia="Arial" w:hAnsi="Arial"/>
          <w:color w:val="333333"/>
          <w:sz w:val="22"/>
          <w:szCs w:val="22"/>
        </w:rPr>
        <w:t xml:space="preserve">Must state the reason for rejection in clear, non-technical terms.</w:t>
      </w:r>
    </w:p>
    <w:p>
      <w:pPr>
        <w:pStyle w:val="ListParagraph"/>
        <w:numPr>
          <w:ilvl w:val="0"/>
          <w:numId w:val="2"/>
        </w:numPr>
        <w:spacing w:after="60" w:before="60"/>
      </w:pPr>
      <w:r>
        <w:rPr>
          <w:rFonts w:ascii="Arial" w:cs="Arial" w:eastAsia="Arial" w:hAnsi="Arial"/>
          <w:b/>
          <w:bCs/>
          <w:color w:val="1B3A6B"/>
          <w:sz w:val="22"/>
          <w:szCs w:val="22"/>
        </w:rPr>
        <w:t xml:space="preserve">Dignity protection: </w:t>
      </w:r>
      <w:r>
        <w:rPr>
          <w:rFonts w:ascii="Arial" w:cs="Arial" w:eastAsia="Arial" w:hAnsi="Arial"/>
          <w:color w:val="333333"/>
          <w:sz w:val="22"/>
          <w:szCs w:val="22"/>
        </w:rPr>
        <w:t xml:space="preserve">Must not use shame or blame language toward the user.</w:t>
      </w:r>
    </w:p>
    <w:p>
      <w:pPr>
        <w:pStyle w:val="ListParagraph"/>
        <w:numPr>
          <w:ilvl w:val="0"/>
          <w:numId w:val="2"/>
        </w:numPr>
        <w:spacing w:after="60" w:before="60"/>
      </w:pPr>
      <w:r>
        <w:rPr>
          <w:rFonts w:ascii="Arial" w:cs="Arial" w:eastAsia="Arial" w:hAnsi="Arial"/>
          <w:b/>
          <w:bCs/>
          <w:color w:val="1B3A6B"/>
          <w:sz w:val="22"/>
          <w:szCs w:val="22"/>
        </w:rPr>
        <w:t xml:space="preserve">Path forward: </w:t>
      </w:r>
      <w:r>
        <w:rPr>
          <w:rFonts w:ascii="Arial" w:cs="Arial" w:eastAsia="Arial" w:hAnsi="Arial"/>
          <w:color w:val="333333"/>
          <w:sz w:val="22"/>
          <w:szCs w:val="22"/>
        </w:rPr>
        <w:t xml:space="preserve">Must provide at least one constructive next step (credit score improvement, reapplication timeline).</w:t>
      </w:r>
    </w:p>
    <w:p>
      <w:pPr>
        <w:pStyle w:val="ListParagraph"/>
        <w:numPr>
          <w:ilvl w:val="0"/>
          <w:numId w:val="2"/>
        </w:numPr>
        <w:spacing w:after="60" w:before="60"/>
      </w:pPr>
      <w:r>
        <w:rPr>
          <w:rFonts w:ascii="Arial" w:cs="Arial" w:eastAsia="Arial" w:hAnsi="Arial"/>
          <w:b/>
          <w:bCs/>
          <w:color w:val="1B3A6B"/>
          <w:sz w:val="22"/>
          <w:szCs w:val="22"/>
        </w:rPr>
        <w:t xml:space="preserve">Alternatives disclosure: </w:t>
      </w:r>
      <w:r>
        <w:rPr>
          <w:rFonts w:ascii="Arial" w:cs="Arial" w:eastAsia="Arial" w:hAnsi="Arial"/>
          <w:color w:val="333333"/>
          <w:sz w:val="22"/>
          <w:szCs w:val="22"/>
        </w:rPr>
        <w:t xml:space="preserve">Must offer alternative products if available (lower limit, secured credit option).</w:t>
      </w:r>
    </w:p>
    <w:p>
      <w:pPr>
        <w:pStyle w:val="ListParagraph"/>
        <w:numPr>
          <w:ilvl w:val="0"/>
          <w:numId w:val="2"/>
        </w:numPr>
        <w:spacing w:after="60" w:before="60"/>
      </w:pPr>
      <w:r>
        <w:rPr>
          <w:rFonts w:ascii="Arial" w:cs="Arial" w:eastAsia="Arial" w:hAnsi="Arial"/>
          <w:b/>
          <w:bCs/>
          <w:color w:val="1B3A6B"/>
          <w:sz w:val="22"/>
          <w:szCs w:val="22"/>
        </w:rPr>
        <w:t xml:space="preserve">Dispute access: </w:t>
      </w:r>
      <w:r>
        <w:rPr>
          <w:rFonts w:ascii="Arial" w:cs="Arial" w:eastAsia="Arial" w:hAnsi="Arial"/>
          <w:color w:val="333333"/>
          <w:sz w:val="22"/>
          <w:szCs w:val="22"/>
        </w:rPr>
        <w:t xml:space="preserve">Must provide grievance redressal contact for disputed rejections.</w:t>
      </w:r>
    </w:p>
    <w:p>
      <w:pPr>
        <w:spacing w:before="80"/>
      </w:pPr>
    </w:p>
    <w:p>
      <w:pPr>
        <w:pStyle w:val="Heading2"/>
        <w:spacing w:after="140" w:before="280"/>
      </w:pPr>
      <w:r>
        <w:rPr>
          <w:rFonts w:ascii="Arial" w:cs="Arial" w:eastAsia="Arial" w:hAnsi="Arial"/>
          <w:b/>
          <w:bCs/>
          <w:color w:val="2E75B6"/>
          <w:sz w:val="26"/>
          <w:szCs w:val="26"/>
        </w:rPr>
        <w:t xml:space="preserve">4.3 Repayment Communication Standards</w:t>
      </w:r>
    </w:p>
    <w:p>
      <w:pPr>
        <w:spacing w:after="80" w:before="80"/>
      </w:pPr>
      <w:r>
        <w:rPr>
          <w:rFonts w:ascii="Arial" w:cs="Arial" w:eastAsia="Arial" w:hAnsi="Arial"/>
          <w:color w:val="333333"/>
          <w:sz w:val="22"/>
          <w:szCs w:val="22"/>
        </w:rPr>
        <w:t xml:space="preserve">All repayment communications — in-app, SMS, or WhatsApp — must adhere to the following standards derived from RBI's Fair Practices Code and FLDG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CEC" w:val="clear"/>
            <w:tcMar>
              <w:top w:type="dxa" w:w="120"/>
              <w:left w:type="dxa" w:w="180"/>
              <w:bottom w:type="dxa" w:w="120"/>
              <w:right w:type="dxa" w:w="180"/>
            </w:tcMar>
          </w:tcPr>
          <w:p>
            <w:r>
              <w:rPr>
                <w:rFonts w:ascii="Arial" w:cs="Arial" w:eastAsia="Arial" w:hAnsi="Arial"/>
                <w:b/>
                <w:bCs/>
                <w:color w:val="1B3A6B"/>
                <w:sz w:val="22"/>
                <w:szCs w:val="22"/>
              </w:rPr>
              <w:t xml:space="preserve">REQUIRED: </w:t>
            </w:r>
            <w:r>
              <w:rPr>
                <w:rFonts w:ascii="Arial" w:cs="Arial" w:eastAsia="Arial" w:hAnsi="Arial"/>
                <w:color w:val="333333"/>
                <w:sz w:val="22"/>
                <w:szCs w:val="22"/>
              </w:rPr>
              <w:t xml:space="preserve">Repayment reminders may be sent only between 8:00 AM and 7:00 PM. No late-night collection pressure communications.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CEC" w:val="clear"/>
            <w:tcMar>
              <w:top w:type="dxa" w:w="120"/>
              <w:left w:type="dxa" w:w="180"/>
              <w:bottom w:type="dxa" w:w="120"/>
              <w:right w:type="dxa" w:w="180"/>
            </w:tcMar>
          </w:tcPr>
          <w:p>
            <w:r>
              <w:rPr>
                <w:rFonts w:ascii="Arial" w:cs="Arial" w:eastAsia="Arial" w:hAnsi="Arial"/>
                <w:b/>
                <w:bCs/>
                <w:color w:val="1B3A6B"/>
                <w:sz w:val="22"/>
                <w:szCs w:val="22"/>
              </w:rPr>
              <w:t xml:space="preserve">REQUIRED: </w:t>
            </w:r>
            <w:r>
              <w:rPr>
                <w:rFonts w:ascii="Arial" w:cs="Arial" w:eastAsia="Arial" w:hAnsi="Arial"/>
                <w:color w:val="333333"/>
                <w:sz w:val="22"/>
                <w:szCs w:val="22"/>
              </w:rPr>
              <w:t xml:space="preserve">Communications must identify CredZo as the sender and include a registered contact for disputes. Anonymous or disguised sender communications are prohibited.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CEC" w:val="clear"/>
            <w:tcMar>
              <w:top w:type="dxa" w:w="120"/>
              <w:left w:type="dxa" w:w="180"/>
              <w:bottom w:type="dxa" w:w="120"/>
              <w:right w:type="dxa" w:w="180"/>
            </w:tcMar>
          </w:tcPr>
          <w:p>
            <w:r>
              <w:rPr>
                <w:rFonts w:ascii="Arial" w:cs="Arial" w:eastAsia="Arial" w:hAnsi="Arial"/>
                <w:b/>
                <w:bCs/>
                <w:color w:val="1B3A6B"/>
                <w:sz w:val="22"/>
                <w:szCs w:val="22"/>
              </w:rPr>
              <w:t xml:space="preserve">REQUIRED: </w:t>
            </w:r>
            <w:r>
              <w:rPr>
                <w:rFonts w:ascii="Arial" w:cs="Arial" w:eastAsia="Arial" w:hAnsi="Arial"/>
                <w:color w:val="333333"/>
                <w:sz w:val="22"/>
                <w:szCs w:val="22"/>
              </w:rPr>
              <w:t xml:space="preserve">No communications to the user's contacts, employers, or family members regarding outstanding credit. Research confirms contacts permission distrust — this prohibition must be implemented as an absolute technical constraint.</w:t>
            </w:r>
          </w:p>
        </w:tc>
      </w:tr>
    </w:tbl>
    <w:p>
      <w:pPr>
        <w:spacing w:before="160"/>
      </w:pPr>
    </w:p>
    <w:p>
      <w:r>
        <w:br w:type="page"/>
      </w:r>
    </w:p>
    <w:p>
      <w:pPr>
        <w:pStyle w:val="Heading1"/>
        <w:spacing w:after="200" w:before="400"/>
      </w:pPr>
      <w:r>
        <w:rPr>
          <w:rFonts w:ascii="Arial" w:cs="Arial" w:eastAsia="Arial" w:hAnsi="Arial"/>
          <w:b/>
          <w:bCs/>
          <w:color w:val="1B3A6B"/>
          <w:sz w:val="32"/>
          <w:szCs w:val="32"/>
        </w:rPr>
        <w:t xml:space="preserve">5. Accessibility Compliance</w:t>
      </w:r>
    </w:p>
    <w:p>
      <w:pPr>
        <w:pStyle w:val="Heading2"/>
        <w:spacing w:after="140" w:before="280"/>
      </w:pPr>
      <w:r>
        <w:rPr>
          <w:rFonts w:ascii="Arial" w:cs="Arial" w:eastAsia="Arial" w:hAnsi="Arial"/>
          <w:b/>
          <w:bCs/>
          <w:color w:val="2E75B6"/>
          <w:sz w:val="26"/>
          <w:szCs w:val="26"/>
        </w:rPr>
        <w:t xml:space="preserve">5.1 WCAG 2.1 AA Minimum Standards</w:t>
      </w:r>
    </w:p>
    <w:p>
      <w:pPr>
        <w:spacing w:after="80" w:before="80"/>
      </w:pPr>
      <w:r>
        <w:rPr>
          <w:rFonts w:ascii="Arial" w:cs="Arial" w:eastAsia="Arial" w:hAnsi="Arial"/>
          <w:color w:val="333333"/>
          <w:sz w:val="22"/>
          <w:szCs w:val="22"/>
        </w:rPr>
        <w:t xml:space="preserve">CredZo's research identifies accessibility gaps as a medium-priority issue, with an older user (Kumar profile, 45+) reporting inability to read repayment text. Indian DPDP Act and RBI guidelines require digital financial services to be accessible. WCAG 2.1 AA is the minimum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UX Pattern / Feature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Compliance Status</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Required UX Action</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contrast ratio</w:t>
            </w:r>
          </w:p>
        </w:tc>
        <w:tc>
          <w:tcPr>
            <w:tcW w:type="dxa" w:w="1800"/>
            <w:tcBorders>
              <w:top w:val="single" w:color="CCCCCC" w:sz="1"/>
              <w:left w:val="single" w:color="CCCCCC" w:sz="1"/>
              <w:bottom w:val="single" w:color="CCCCCC" w:sz="1"/>
              <w:right w:val="single" w:color="CCCCCC" w:sz="1"/>
            </w:tcBorders>
            <w:shd w:fill="FFECEC" w:val="clear"/>
            <w:tcMar>
              <w:top w:type="dxa" w:w="80"/>
              <w:left w:type="dxa" w:w="120"/>
              <w:bottom w:type="dxa" w:w="80"/>
              <w:right w:type="dxa" w:w="120"/>
            </w:tcMar>
          </w:tcPr>
          <w:p>
            <w:r>
              <w:rPr>
                <w:rFonts w:ascii="Arial" w:cs="Arial" w:eastAsia="Arial" w:hAnsi="Arial"/>
                <w:b/>
                <w:bCs/>
                <w:color w:val="C62828"/>
                <w:sz w:val="20"/>
                <w:szCs w:val="20"/>
              </w:rPr>
              <w:t xml:space="preserve">REQUIRED</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body text must meet 4.5:1 contrast ratio. Critical financial figures (amounts, rates) must meet 7:1.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Minimum font size</w:t>
            </w:r>
          </w:p>
        </w:tc>
        <w:tc>
          <w:tcPr>
            <w:tcW w:type="dxa" w:w="1800"/>
            <w:tcBorders>
              <w:top w:val="single" w:color="CCCCCC" w:sz="1"/>
              <w:left w:val="single" w:color="CCCCCC" w:sz="1"/>
              <w:bottom w:val="single" w:color="CCCCCC" w:sz="1"/>
              <w:right w:val="single" w:color="CCCCCC" w:sz="1"/>
            </w:tcBorders>
            <w:shd w:fill="FFECEC" w:val="clear"/>
            <w:tcMar>
              <w:top w:type="dxa" w:w="80"/>
              <w:left w:type="dxa" w:w="120"/>
              <w:bottom w:type="dxa" w:w="80"/>
              <w:right w:type="dxa" w:w="120"/>
            </w:tcMar>
          </w:tcPr>
          <w:p>
            <w:r>
              <w:rPr>
                <w:rFonts w:ascii="Arial" w:cs="Arial" w:eastAsia="Arial" w:hAnsi="Arial"/>
                <w:b/>
                <w:bCs/>
                <w:color w:val="C62828"/>
                <w:sz w:val="20"/>
                <w:szCs w:val="20"/>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Minimum 14sp for all informational text. Financial terms and amounts must use 16sp minimum.</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333333"/>
                <w:sz w:val="20"/>
                <w:szCs w:val="20"/>
              </w:rPr>
              <w:t xml:space="preserve">Touch target size</w:t>
            </w:r>
          </w:p>
        </w:tc>
        <w:tc>
          <w:tcPr>
            <w:tcW w:type="dxa" w:w="1800"/>
            <w:tcBorders>
              <w:top w:val="single" w:color="CCCCCC" w:sz="1"/>
              <w:left w:val="single" w:color="CCCCCC" w:sz="1"/>
              <w:bottom w:val="single" w:color="CCCCCC" w:sz="1"/>
              <w:right w:val="single" w:color="CCCCCC" w:sz="1"/>
            </w:tcBorders>
            <w:shd w:fill="FFECEC" w:val="clear"/>
            <w:tcMar>
              <w:top w:type="dxa" w:w="80"/>
              <w:left w:type="dxa" w:w="120"/>
              <w:bottom w:type="dxa" w:w="80"/>
              <w:right w:type="dxa" w:w="120"/>
            </w:tcMar>
          </w:tcPr>
          <w:p>
            <w:r>
              <w:rPr>
                <w:rFonts w:ascii="Arial" w:cs="Arial" w:eastAsia="Arial" w:hAnsi="Arial"/>
                <w:b/>
                <w:bCs/>
                <w:color w:val="C62828"/>
                <w:sz w:val="20"/>
                <w:szCs w:val="20"/>
              </w:rPr>
              <w:t xml:space="preserve">REQUIRED</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interactive elements minimum 44x44pt. CTA buttons minimum 48x48pt.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Screen reader support</w:t>
            </w:r>
          </w:p>
        </w:tc>
        <w:tc>
          <w:tcPr>
            <w:tcW w:type="dxa" w:w="18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r>
              <w:rPr>
                <w:rFonts w:ascii="Arial" w:cs="Arial" w:eastAsia="Arial" w:hAnsi="Arial"/>
                <w:b/>
                <w:bCs/>
                <w:color w:val="E65100"/>
                <w:sz w:val="20"/>
                <w:szCs w:val="20"/>
              </w:rPr>
              <w:t xml:space="preserve">RECOMMENDED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screens must have semantic labels. Financial amounts must include full context in screen reader output.</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Language accessibility</w:t>
            </w:r>
          </w:p>
        </w:tc>
        <w:tc>
          <w:tcPr>
            <w:tcW w:type="dxa" w:w="1800"/>
            <w:tcBorders>
              <w:top w:val="single" w:color="CCCCCC" w:sz="1"/>
              <w:left w:val="single" w:color="CCCCCC" w:sz="1"/>
              <w:bottom w:val="single" w:color="CCCCCC" w:sz="1"/>
              <w:right w:val="single" w:color="CCCCCC" w:sz="1"/>
            </w:tcBorders>
            <w:shd w:fill="FFECEC" w:val="clear"/>
            <w:tcMar>
              <w:top w:type="dxa" w:w="80"/>
              <w:left w:type="dxa" w:w="120"/>
              <w:bottom w:type="dxa" w:w="80"/>
              <w:right w:type="dxa" w:w="120"/>
            </w:tcMar>
          </w:tcPr>
          <w:p>
            <w:r>
              <w:rPr>
                <w:rFonts w:ascii="Arial" w:cs="Arial" w:eastAsia="Arial" w:hAnsi="Arial"/>
                <w:b/>
                <w:bCs/>
                <w:color w:val="C62828"/>
                <w:sz w:val="20"/>
                <w:szCs w:val="20"/>
              </w:rPr>
              <w:t xml:space="preserve">REQUIRED</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333333"/>
                <w:sz w:val="20"/>
                <w:szCs w:val="20"/>
              </w:rPr>
              <w:t xml:space="preserve">Tamil and Hindi language support required at minimum. All KYC instruction screens must support regional language toggle.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Error message clarity</w:t>
            </w:r>
          </w:p>
        </w:tc>
        <w:tc>
          <w:tcPr>
            <w:tcW w:type="dxa" w:w="1800"/>
            <w:tcBorders>
              <w:top w:val="single" w:color="CCCCCC" w:sz="1"/>
              <w:left w:val="single" w:color="CCCCCC" w:sz="1"/>
              <w:bottom w:val="single" w:color="CCCCCC" w:sz="1"/>
              <w:right w:val="single" w:color="CCCCCC" w:sz="1"/>
            </w:tcBorders>
            <w:shd w:fill="FFECEC" w:val="clear"/>
            <w:tcMar>
              <w:top w:type="dxa" w:w="80"/>
              <w:left w:type="dxa" w:w="120"/>
              <w:bottom w:type="dxa" w:w="80"/>
              <w:right w:type="dxa" w:w="120"/>
            </w:tcMar>
          </w:tcPr>
          <w:p>
            <w:r>
              <w:rPr>
                <w:rFonts w:ascii="Arial" w:cs="Arial" w:eastAsia="Arial" w:hAnsi="Arial"/>
                <w:b/>
                <w:bCs/>
                <w:color w:val="C62828"/>
                <w:sz w:val="20"/>
                <w:szCs w:val="20"/>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error messages must identify what went wrong and exactly what action to take to resolve it.</w:t>
            </w:r>
          </w:p>
        </w:tc>
      </w:tr>
    </w:tbl>
    <w:p>
      <w:pPr>
        <w:spacing w:before="160"/>
      </w:pPr>
    </w:p>
    <w:p>
      <w:pPr>
        <w:pStyle w:val="Heading1"/>
        <w:spacing w:after="200" w:before="400"/>
      </w:pPr>
      <w:r>
        <w:rPr>
          <w:rFonts w:ascii="Arial" w:cs="Arial" w:eastAsia="Arial" w:hAnsi="Arial"/>
          <w:b/>
          <w:bCs/>
          <w:color w:val="1B3A6B"/>
          <w:sz w:val="32"/>
          <w:szCs w:val="32"/>
        </w:rPr>
        <w:t xml:space="preserve">6. Compliance UX Checklist</w:t>
      </w:r>
    </w:p>
    <w:p>
      <w:pPr>
        <w:spacing w:after="80" w:before="80"/>
      </w:pPr>
      <w:r>
        <w:rPr>
          <w:rFonts w:ascii="Arial" w:cs="Arial" w:eastAsia="Arial" w:hAnsi="Arial"/>
          <w:color w:val="333333"/>
          <w:sz w:val="22"/>
          <w:szCs w:val="22"/>
        </w:rPr>
        <w:t xml:space="preserve">The following checklist must be verified before any production release of the CredZo Instant UPI Credit Line:</w:t>
      </w:r>
    </w:p>
    <w:p>
      <w:pPr>
        <w:pStyle w:val="ListParagraph"/>
        <w:numPr>
          <w:ilvl w:val="0"/>
          <w:numId w:val="2"/>
        </w:numPr>
        <w:spacing w:after="60" w:before="60"/>
      </w:pPr>
      <w:r>
        <w:rPr>
          <w:rFonts w:ascii="Arial" w:cs="Arial" w:eastAsia="Arial" w:hAnsi="Arial"/>
          <w:b/>
          <w:bCs/>
          <w:color w:val="1B3A6B"/>
          <w:sz w:val="22"/>
          <w:szCs w:val="22"/>
        </w:rPr>
        <w:t xml:space="preserve">Disclosure: </w:t>
      </w:r>
      <w:r>
        <w:rPr>
          <w:rFonts w:ascii="Arial" w:cs="Arial" w:eastAsia="Arial" w:hAnsi="Arial"/>
          <w:color w:val="333333"/>
          <w:sz w:val="22"/>
          <w:szCs w:val="22"/>
        </w:rPr>
        <w:t xml:space="preserve">APR displayed on eligibility and draw screens without scrolling.</w:t>
      </w:r>
    </w:p>
    <w:p>
      <w:pPr>
        <w:pStyle w:val="ListParagraph"/>
        <w:numPr>
          <w:ilvl w:val="0"/>
          <w:numId w:val="2"/>
        </w:numPr>
        <w:spacing w:after="60" w:before="60"/>
      </w:pPr>
      <w:r>
        <w:rPr>
          <w:rFonts w:ascii="Arial" w:cs="Arial" w:eastAsia="Arial" w:hAnsi="Arial"/>
          <w:b/>
          <w:bCs/>
          <w:color w:val="1B3A6B"/>
          <w:sz w:val="22"/>
          <w:szCs w:val="22"/>
        </w:rPr>
        <w:t xml:space="preserve">Disclosure: </w:t>
      </w:r>
      <w:r>
        <w:rPr>
          <w:rFonts w:ascii="Arial" w:cs="Arial" w:eastAsia="Arial" w:hAnsi="Arial"/>
          <w:color w:val="333333"/>
          <w:sz w:val="22"/>
          <w:szCs w:val="22"/>
        </w:rPr>
        <w:t xml:space="preserve">Key Fact Statement screen implemented before loan disbursement.</w:t>
      </w:r>
    </w:p>
    <w:p>
      <w:pPr>
        <w:pStyle w:val="ListParagraph"/>
        <w:numPr>
          <w:ilvl w:val="0"/>
          <w:numId w:val="2"/>
        </w:numPr>
        <w:spacing w:after="60" w:before="60"/>
      </w:pPr>
      <w:r>
        <w:rPr>
          <w:rFonts w:ascii="Arial" w:cs="Arial" w:eastAsia="Arial" w:hAnsi="Arial"/>
          <w:b/>
          <w:bCs/>
          <w:color w:val="1B3A6B"/>
          <w:sz w:val="22"/>
          <w:szCs w:val="22"/>
        </w:rPr>
        <w:t xml:space="preserve">Consent: </w:t>
      </w:r>
      <w:r>
        <w:rPr>
          <w:rFonts w:ascii="Arial" w:cs="Arial" w:eastAsia="Arial" w:hAnsi="Arial"/>
          <w:color w:val="333333"/>
          <w:sz w:val="22"/>
          <w:szCs w:val="22"/>
        </w:rPr>
        <w:t xml:space="preserve">All consent checkboxes default to unchecked.</w:t>
      </w:r>
    </w:p>
    <w:p>
      <w:pPr>
        <w:pStyle w:val="ListParagraph"/>
        <w:numPr>
          <w:ilvl w:val="0"/>
          <w:numId w:val="2"/>
        </w:numPr>
        <w:spacing w:after="60" w:before="60"/>
      </w:pPr>
      <w:r>
        <w:rPr>
          <w:rFonts w:ascii="Arial" w:cs="Arial" w:eastAsia="Arial" w:hAnsi="Arial"/>
          <w:b/>
          <w:bCs/>
          <w:color w:val="1B3A6B"/>
          <w:sz w:val="22"/>
          <w:szCs w:val="22"/>
        </w:rPr>
        <w:t xml:space="preserve">Consent: </w:t>
      </w:r>
      <w:r>
        <w:rPr>
          <w:rFonts w:ascii="Arial" w:cs="Arial" w:eastAsia="Arial" w:hAnsi="Arial"/>
          <w:color w:val="333333"/>
          <w:sz w:val="22"/>
          <w:szCs w:val="22"/>
        </w:rPr>
        <w:t xml:space="preserve">Tiered consent model implemented (Essential / Enhancement / Marketing).</w:t>
      </w:r>
    </w:p>
    <w:p>
      <w:pPr>
        <w:pStyle w:val="ListParagraph"/>
        <w:numPr>
          <w:ilvl w:val="0"/>
          <w:numId w:val="2"/>
        </w:numPr>
        <w:spacing w:after="60" w:before="60"/>
      </w:pPr>
      <w:r>
        <w:rPr>
          <w:rFonts w:ascii="Arial" w:cs="Arial" w:eastAsia="Arial" w:hAnsi="Arial"/>
          <w:b/>
          <w:bCs/>
          <w:color w:val="1B3A6B"/>
          <w:sz w:val="22"/>
          <w:szCs w:val="22"/>
        </w:rPr>
        <w:t xml:space="preserve">Consent: </w:t>
      </w:r>
      <w:r>
        <w:rPr>
          <w:rFonts w:ascii="Arial" w:cs="Arial" w:eastAsia="Arial" w:hAnsi="Arial"/>
          <w:color w:val="333333"/>
          <w:sz w:val="22"/>
          <w:szCs w:val="22"/>
        </w:rPr>
        <w:t xml:space="preserve">DPDP consent record accessible within user settings.</w:t>
      </w:r>
    </w:p>
    <w:p>
      <w:pPr>
        <w:pStyle w:val="ListParagraph"/>
        <w:numPr>
          <w:ilvl w:val="0"/>
          <w:numId w:val="2"/>
        </w:numPr>
        <w:spacing w:after="60" w:before="60"/>
      </w:pPr>
      <w:r>
        <w:rPr>
          <w:rFonts w:ascii="Arial" w:cs="Arial" w:eastAsia="Arial" w:hAnsi="Arial"/>
          <w:b/>
          <w:bCs/>
          <w:color w:val="1B3A6B"/>
          <w:sz w:val="22"/>
          <w:szCs w:val="22"/>
        </w:rPr>
        <w:t xml:space="preserve">Dark Patterns: </w:t>
      </w:r>
      <w:r>
        <w:rPr>
          <w:rFonts w:ascii="Arial" w:cs="Arial" w:eastAsia="Arial" w:hAnsi="Arial"/>
          <w:color w:val="333333"/>
          <w:sz w:val="22"/>
          <w:szCs w:val="22"/>
        </w:rPr>
        <w:t xml:space="preserve">No countdown timers or artificial urgency mechanics in product.</w:t>
      </w:r>
    </w:p>
    <w:p>
      <w:pPr>
        <w:pStyle w:val="ListParagraph"/>
        <w:numPr>
          <w:ilvl w:val="0"/>
          <w:numId w:val="2"/>
        </w:numPr>
        <w:spacing w:after="60" w:before="60"/>
      </w:pPr>
      <w:r>
        <w:rPr>
          <w:rFonts w:ascii="Arial" w:cs="Arial" w:eastAsia="Arial" w:hAnsi="Arial"/>
          <w:b/>
          <w:bCs/>
          <w:color w:val="1B3A6B"/>
          <w:sz w:val="22"/>
          <w:szCs w:val="22"/>
        </w:rPr>
        <w:t xml:space="preserve">Dark Patterns: </w:t>
      </w:r>
      <w:r>
        <w:rPr>
          <w:rFonts w:ascii="Arial" w:cs="Arial" w:eastAsia="Arial" w:hAnsi="Arial"/>
          <w:color w:val="333333"/>
          <w:sz w:val="22"/>
          <w:szCs w:val="22"/>
        </w:rPr>
        <w:t xml:space="preserve">Decline/exit path on credit offer is equally prominent as accept path.</w:t>
      </w:r>
    </w:p>
    <w:p>
      <w:pPr>
        <w:pStyle w:val="ListParagraph"/>
        <w:numPr>
          <w:ilvl w:val="0"/>
          <w:numId w:val="2"/>
        </w:numPr>
        <w:spacing w:after="60" w:before="60"/>
      </w:pPr>
      <w:r>
        <w:rPr>
          <w:rFonts w:ascii="Arial" w:cs="Arial" w:eastAsia="Arial" w:hAnsi="Arial"/>
          <w:b/>
          <w:bCs/>
          <w:color w:val="1B3A6B"/>
          <w:sz w:val="22"/>
          <w:szCs w:val="22"/>
        </w:rPr>
        <w:t xml:space="preserve">Disclosure: </w:t>
      </w:r>
      <w:r>
        <w:rPr>
          <w:rFonts w:ascii="Arial" w:cs="Arial" w:eastAsia="Arial" w:hAnsi="Arial"/>
          <w:color w:val="333333"/>
          <w:sz w:val="22"/>
          <w:szCs w:val="22"/>
        </w:rPr>
        <w:t xml:space="preserve">Late payment fees displayed before credit draw confirmation.</w:t>
      </w:r>
    </w:p>
    <w:p>
      <w:pPr>
        <w:pStyle w:val="ListParagraph"/>
        <w:numPr>
          <w:ilvl w:val="0"/>
          <w:numId w:val="2"/>
        </w:numPr>
        <w:spacing w:after="60" w:before="60"/>
      </w:pPr>
      <w:r>
        <w:rPr>
          <w:rFonts w:ascii="Arial" w:cs="Arial" w:eastAsia="Arial" w:hAnsi="Arial"/>
          <w:b/>
          <w:bCs/>
          <w:color w:val="1B3A6B"/>
          <w:sz w:val="22"/>
          <w:szCs w:val="22"/>
        </w:rPr>
        <w:t xml:space="preserve">Responsible Lending: </w:t>
      </w:r>
      <w:r>
        <w:rPr>
          <w:rFonts w:ascii="Arial" w:cs="Arial" w:eastAsia="Arial" w:hAnsi="Arial"/>
          <w:color w:val="333333"/>
          <w:sz w:val="22"/>
          <w:szCs w:val="22"/>
        </w:rPr>
        <w:t xml:space="preserve">Rejection flow provides reason, dignity, and next step.</w:t>
      </w:r>
    </w:p>
    <w:p>
      <w:pPr>
        <w:pStyle w:val="ListParagraph"/>
        <w:numPr>
          <w:ilvl w:val="0"/>
          <w:numId w:val="2"/>
        </w:numPr>
        <w:spacing w:after="60" w:before="60"/>
      </w:pPr>
      <w:r>
        <w:rPr>
          <w:rFonts w:ascii="Arial" w:cs="Arial" w:eastAsia="Arial" w:hAnsi="Arial"/>
          <w:b/>
          <w:bCs/>
          <w:color w:val="1B3A6B"/>
          <w:sz w:val="22"/>
          <w:szCs w:val="22"/>
        </w:rPr>
        <w:t xml:space="preserve">Communications: </w:t>
      </w:r>
      <w:r>
        <w:rPr>
          <w:rFonts w:ascii="Arial" w:cs="Arial" w:eastAsia="Arial" w:hAnsi="Arial"/>
          <w:color w:val="333333"/>
          <w:sz w:val="22"/>
          <w:szCs w:val="22"/>
        </w:rPr>
        <w:t xml:space="preserve">Repayment communications sent only 8 AM - 7 PM.</w:t>
      </w:r>
    </w:p>
    <w:p>
      <w:pPr>
        <w:pStyle w:val="ListParagraph"/>
        <w:numPr>
          <w:ilvl w:val="0"/>
          <w:numId w:val="2"/>
        </w:numPr>
        <w:spacing w:after="60" w:before="60"/>
      </w:pPr>
      <w:r>
        <w:rPr>
          <w:rFonts w:ascii="Arial" w:cs="Arial" w:eastAsia="Arial" w:hAnsi="Arial"/>
          <w:b/>
          <w:bCs/>
          <w:color w:val="1B3A6B"/>
          <w:sz w:val="22"/>
          <w:szCs w:val="22"/>
        </w:rPr>
        <w:t xml:space="preserve">Accessibility: </w:t>
      </w:r>
      <w:r>
        <w:rPr>
          <w:rFonts w:ascii="Arial" w:cs="Arial" w:eastAsia="Arial" w:hAnsi="Arial"/>
          <w:color w:val="333333"/>
          <w:sz w:val="22"/>
          <w:szCs w:val="22"/>
        </w:rPr>
        <w:t xml:space="preserve">All body text meets WCAG 2.1 AA contrast standards.</w:t>
      </w:r>
    </w:p>
    <w:p>
      <w:pPr>
        <w:pStyle w:val="ListParagraph"/>
        <w:numPr>
          <w:ilvl w:val="0"/>
          <w:numId w:val="2"/>
        </w:numPr>
        <w:spacing w:after="60" w:before="60"/>
      </w:pPr>
      <w:r>
        <w:rPr>
          <w:rFonts w:ascii="Arial" w:cs="Arial" w:eastAsia="Arial" w:hAnsi="Arial"/>
          <w:b/>
          <w:bCs/>
          <w:color w:val="1B3A6B"/>
          <w:sz w:val="22"/>
          <w:szCs w:val="22"/>
        </w:rPr>
        <w:t xml:space="preserve">Accessibility: </w:t>
      </w:r>
      <w:r>
        <w:rPr>
          <w:rFonts w:ascii="Arial" w:cs="Arial" w:eastAsia="Arial" w:hAnsi="Arial"/>
          <w:color w:val="333333"/>
          <w:sz w:val="22"/>
          <w:szCs w:val="22"/>
        </w:rPr>
        <w:t xml:space="preserve">Tamil and Hindi language toggle available on all KYC screens.</w:t>
      </w:r>
    </w:p>
    <w:p>
      <w:pPr>
        <w:spacing w:before="80"/>
      </w:pPr>
    </w:p>
    <w:p>
      <w:pPr>
        <w:pBdr>
          <w:bottom w:val="single" w:color="2E75B6" w:sz="4" w:space="1"/>
        </w:pBdr>
        <w:spacing w:after="200" w:before="200"/>
      </w:pPr>
      <w:r>
        <w:t xml:space="preserve"/>
      </w:r>
    </w:p>
    <w:p>
      <w:pPr>
        <w:spacing w:after="40" w:before="200"/>
        <w:jc w:val="center"/>
      </w:pPr>
      <w:r>
        <w:rPr>
          <w:rFonts w:ascii="Arial" w:cs="Arial" w:eastAsia="Arial" w:hAnsi="Arial"/>
          <w:color w:val="999999"/>
          <w:sz w:val="18"/>
          <w:szCs w:val="18"/>
        </w:rPr>
        <w:t xml:space="preserve">Document prepared by: FinTech Compliance Reviewer Agent</w:t>
      </w:r>
    </w:p>
    <w:p>
      <w:pPr>
        <w:jc w:val="center"/>
      </w:pPr>
      <w:r>
        <w:rPr>
          <w:rFonts w:ascii="Arial" w:cs="Arial" w:eastAsia="Arial" w:hAnsi="Arial"/>
          <w:color w:val="999999"/>
          <w:sz w:val="18"/>
          <w:szCs w:val="18"/>
        </w:rPr>
        <w:t xml:space="preserve">CredZo AI UX Workspace  |  Not a legal opinion — Legal counsel review required for production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8"/>
        <w:szCs w:val="18"/>
      </w:rPr>
      <w:t xml:space="preserve">Confidential — CredZo AI UX Workspace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B3A6B"/>
        <w:sz w:val="20"/>
        <w:szCs w:val="20"/>
      </w:rPr>
      <w:t xml:space="preserve">CredZo — Instant UPI Credit Line</w:t>
    </w:r>
    <w:r>
      <w:rPr>
        <w:rFonts w:ascii="Arial" w:cs="Arial" w:eastAsia="Arial" w:hAnsi="Arial"/>
        <w:color w:val="888888"/>
        <w:sz w:val="20"/>
        <w:szCs w:val="20"/>
      </w:rPr>
      <w:t xml:space="preserve">     |     Compliance-Aware UX Guidance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2026-05-11T06:50:32.259Z</dcterms:created>
  <dcterms:modified xsi:type="dcterms:W3CDTF">2026-05-11T06:50:32.259Z</dcterms:modified>
</cp:coreProperties>
</file>

<file path=docProps/custom.xml><?xml version="1.0" encoding="utf-8"?>
<Properties xmlns="http://schemas.openxmlformats.org/officeDocument/2006/custom-properties" xmlns:vt="http://schemas.openxmlformats.org/officeDocument/2006/docPropsVTypes"/>
</file>