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1B3A6B"/>
          <w:sz w:val="64"/>
          <w:szCs w:val="64"/>
        </w:rPr>
        <w:t xml:space="preserve">CREDZO</w:t>
      </w:r>
    </w:p>
    <w:p>
      <w:pPr>
        <w:spacing w:after="80" w:before="0"/>
        <w:jc w:val="center"/>
      </w:pPr>
      <w:r>
        <w:rPr>
          <w:rFonts w:ascii="Arial" w:cs="Arial" w:eastAsia="Arial" w:hAnsi="Arial"/>
          <w:color w:val="2E75B6"/>
          <w:sz w:val="40"/>
          <w:szCs w:val="40"/>
        </w:rPr>
        <w:t xml:space="preserve">Instant UPI Credit Line</w:t>
      </w:r>
    </w:p>
    <w:p>
      <w:pPr>
        <w:spacing w:after="40" w:before="0"/>
        <w:jc w:val="center"/>
      </w:pPr>
      <w:r>
        <w:rPr>
          <w:rFonts w:ascii="Arial" w:cs="Arial" w:eastAsia="Arial" w:hAnsi="Arial"/>
          <w:b/>
          <w:bCs/>
          <w:color w:val="444444"/>
          <w:sz w:val="30"/>
          <w:szCs w:val="30"/>
        </w:rPr>
        <w:t xml:space="preserve">Master Design Direction</w:t>
      </w:r>
    </w:p>
    <w:p>
      <w:pPr>
        <w:spacing w:after="120" w:before="40"/>
        <w:jc w:val="center"/>
      </w:pPr>
      <w:r>
        <w:rPr>
          <w:rFonts w:ascii="Arial" w:cs="Arial" w:eastAsia="Arial" w:hAnsi="Arial"/>
          <w:color w:val="999999"/>
          <w:sz w:val="20"/>
          <w:szCs w:val="20"/>
        </w:rPr>
        <w:t xml:space="preserve">AI Product Design Synthesizer  |  May 2026</w:t>
      </w:r>
    </w:p>
    <w:p>
      <w:pPr>
        <w:pBdr>
          <w:bottom w:val="single" w:color="2E75B6" w:sz="4" w:space="1"/>
        </w:pBdr>
        <w:spacing w:after="200" w:before="200"/>
      </w:pPr>
      <w:r>
        <w:t xml:space="preserve"/>
      </w:r>
    </w:p>
    <w:p>
      <w:pPr>
        <w:spacing w:after="40" w:before="120"/>
        <w:jc w:val="center"/>
      </w:pPr>
      <w:r>
        <w:rPr>
          <w:rFonts w:ascii="Arial" w:cs="Arial" w:eastAsia="Arial" w:hAnsi="Arial"/>
          <w:i/>
          <w:iCs/>
          <w:color w:val="888888"/>
          <w:sz w:val="18"/>
          <w:szCs w:val="18"/>
        </w:rPr>
        <w:t xml:space="preserve">Synthesized from: Research Intelligence + UX Strategy + Behavioral Personas + Emotional Journeys + Compliance Guidance</w:t>
      </w:r>
    </w:p>
    <w:p>
      <w:pPr>
        <w:spacing w:after="120" w:before="0"/>
        <w:jc w:val="center"/>
      </w:pPr>
      <w:r>
        <w:rPr>
          <w:rFonts w:ascii="Arial" w:cs="Arial" w:eastAsia="Arial" w:hAnsi="Arial"/>
          <w:b/>
          <w:bCs/>
          <w:color w:val="2E75B6"/>
          <w:sz w:val="18"/>
          <w:szCs w:val="18"/>
        </w:rPr>
        <w:t xml:space="preserve">Optimized for: Claude Design  |  Claude Code  |  Figma Workflows  |  AI-Assisted Prototyping</w:t>
      </w:r>
    </w:p>
    <w:p>
      <w:r>
        <w:br w:type="page"/>
      </w:r>
    </w:p>
    <w:p>
      <w:pPr>
        <w:pStyle w:val="Heading1"/>
        <w:spacing w:after="200" w:before="400"/>
      </w:pPr>
      <w:r>
        <w:rPr>
          <w:rFonts w:ascii="Arial" w:cs="Arial" w:eastAsia="Arial" w:hAnsi="Arial"/>
          <w:b/>
          <w:bCs/>
          <w:color w:val="1B3A6B"/>
          <w:sz w:val="32"/>
          <w:szCs w:val="32"/>
        </w:rPr>
        <w:t xml:space="preserve">Synthesis Statement</w:t>
      </w:r>
    </w:p>
    <w:p>
      <w:pPr>
        <w:spacing w:after="80" w:before="80"/>
      </w:pPr>
      <w:r>
        <w:rPr>
          <w:rFonts w:ascii="Arial" w:cs="Arial" w:eastAsia="Arial" w:hAnsi="Arial"/>
          <w:color w:val="333333"/>
          <w:sz w:val="22"/>
          <w:szCs w:val="22"/>
        </w:rPr>
        <w:t xml:space="preserve">This Master Design Direction synthesizes all intelligence produced across five specialized agents into a single, coherent, actionable design system for the CredZo Instant UPI Credit Line. It does not repeat prior reasoning — it compresses it into the design decisions, principles, and specifications that teams building the product need.</w:t>
      </w:r>
    </w:p>
    <w:p>
      <w:pPr>
        <w:spacing w:after="80" w:before="80"/>
      </w:pPr>
      <w:r>
        <w:rPr>
          <w:rFonts w:ascii="Arial" w:cs="Arial" w:eastAsia="Arial" w:hAnsi="Arial"/>
          <w:color w:val="333333"/>
          <w:sz w:val="22"/>
          <w:szCs w:val="22"/>
        </w:rPr>
        <w:t xml:space="preserve">The synthesis reveals a consistent signal across all research, strategy, persona, journey, and compliance outputs: CredZo's competitive advantage is not its credit limit, its interest rate, or its speed. It is its ability to make Indian mobile-first users feel safe, understood, and in control during one of the most anxiety-inducing financial interactions of their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Central Design Mandate: </w:t>
            </w:r>
            <w:r>
              <w:rPr>
                <w:rFonts w:ascii="Arial" w:cs="Arial" w:eastAsia="Arial" w:hAnsi="Arial"/>
                <w:color w:val="333333"/>
                <w:sz w:val="22"/>
                <w:szCs w:val="22"/>
              </w:rPr>
              <w:t xml:space="preserve">Every design decision in CredZo must reduce the user's perception of financial risk and increase their confidence in the product's transparency. The moment a user feels confused, pressured, or deceived — the product has failed, regardless of how fast the money arrived.</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1. Emotional Goals</w:t>
      </w:r>
    </w:p>
    <w:p>
      <w:pPr>
        <w:spacing w:after="80" w:before="80"/>
      </w:pPr>
      <w:r>
        <w:rPr>
          <w:rFonts w:ascii="Arial" w:cs="Arial" w:eastAsia="Arial" w:hAnsi="Arial"/>
          <w:color w:val="333333"/>
          <w:sz w:val="22"/>
          <w:szCs w:val="22"/>
        </w:rPr>
        <w:t xml:space="preserve">Before defining visual or interaction systems, this document defines what the product must make users feel at each phase of their journey. Emotional goals are the north star for all downstream design decisions.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Journey Phase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Current Emotional State (Problem)</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 Emotional State (Goal)</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App Entry</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Skeptical and anxious — 'Will this be another scammy lending app?'</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Calm confidence — 'This feels different. Trustworthy. Built for 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Eligibility Discovery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Fear of rejection — 'I hope I qualify. This is embarrassing if I don't.'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Optimistic empowerment — 'I can see what is available before I commit.'</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KYC Completion</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Frustrated and stressed — camera failures, jargon, permission anxiety</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Guided and reassured — 'This was actually simple. The app helped me through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Approval Moment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Tense anticipation — 'What if it rejects 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Genuine relief + pride — 'I did it. I have access to credit I can trust.'</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Credit Draw</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Cautious hesitation — 'What will I actually pay?'</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Informed confidence — 'I know exactly what I am committing to. No surprises.'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Repayment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Low-grade dread — 'When is it due? What if I'm late?'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Comfortable ownership — 'I'm on track. The app is rooting for me.'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Re-engagement</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Comfortable familiarity — 'I've used this before and it worked.'</w:t>
            </w:r>
          </w:p>
        </w:tc>
        <w:tc>
          <w:tcPr>
            <w:tcW w:type="dxa" w:w="34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Loyal advocacy — 'This is my go-to credit app. I trust it with my money.'</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2. UX Philosophy</w:t>
      </w:r>
    </w:p>
    <w:p>
      <w:pPr>
        <w:spacing w:after="80" w:before="80"/>
      </w:pPr>
      <w:r>
        <w:rPr>
          <w:rFonts w:ascii="Arial" w:cs="Arial" w:eastAsia="Arial" w:hAnsi="Arial"/>
          <w:color w:val="333333"/>
          <w:sz w:val="22"/>
          <w:szCs w:val="22"/>
        </w:rPr>
        <w:t xml:space="preserve">CredZo's UX philosophy emerges from the convergence of all agent outputs. It can be stated in three sentences: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200"/>
              <w:left w:type="dxa" w:w="280"/>
              <w:bottom w:type="dxa" w:w="200"/>
              <w:right w:type="dxa" w:w="280"/>
            </w:tcMar>
          </w:tcPr>
          <w:p>
            <w:pPr>
              <w:spacing w:after="120" w:before="0"/>
              <w:jc w:val="center"/>
            </w:pPr>
            <w:r>
              <w:rPr>
                <w:rFonts w:ascii="Arial" w:cs="Arial" w:eastAsia="Arial" w:hAnsi="Arial"/>
                <w:b/>
                <w:bCs/>
                <w:color w:val="FFFFFF"/>
                <w:sz w:val="28"/>
                <w:szCs w:val="28"/>
              </w:rPr>
              <w:t xml:space="preserve">CredZo moves at the speed of urgency.</w:t>
            </w:r>
          </w:p>
          <w:p>
            <w:pPr>
              <w:spacing w:after="120" w:before="0"/>
              <w:jc w:val="center"/>
            </w:pPr>
            <w:r>
              <w:rPr>
                <w:rFonts w:ascii="Arial" w:cs="Arial" w:eastAsia="Arial" w:hAnsi="Arial"/>
                <w:b/>
                <w:bCs/>
                <w:color w:val="90CAF9"/>
                <w:sz w:val="28"/>
                <w:szCs w:val="28"/>
              </w:rPr>
              <w:t xml:space="preserve">It communicates with the clarity of a trusted friend.</w:t>
            </w:r>
          </w:p>
          <w:p>
            <w:pPr>
              <w:jc w:val="center"/>
            </w:pPr>
            <w:r>
              <w:rPr>
                <w:rFonts w:ascii="Arial" w:cs="Arial" w:eastAsia="Arial" w:hAnsi="Arial"/>
                <w:b/>
                <w:bCs/>
                <w:color w:val="BBDEFB"/>
                <w:sz w:val="28"/>
                <w:szCs w:val="28"/>
              </w:rPr>
              <w:t xml:space="preserve">And it never asks users to trust it — it earns that trust in every interaction.</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3. Interaction Principles</w:t>
      </w:r>
    </w:p>
    <w:p>
      <w:pPr>
        <w:pStyle w:val="Heading2"/>
        <w:spacing w:after="140" w:before="280"/>
      </w:pPr>
      <w:r>
        <w:rPr>
          <w:rFonts w:ascii="Arial" w:cs="Arial" w:eastAsia="Arial" w:hAnsi="Arial"/>
          <w:b/>
          <w:bCs/>
          <w:color w:val="2E75B6"/>
          <w:sz w:val="26"/>
          <w:szCs w:val="26"/>
        </w:rPr>
        <w:t xml:space="preserve">The Seven Non-Negotiable Interaction Principles</w:t>
      </w:r>
    </w:p>
    <w:p>
      <w:pPr>
        <w:spacing w:after="80" w:before="80"/>
      </w:pPr>
      <w:r>
        <w:rPr>
          <w:rFonts w:ascii="Arial" w:cs="Arial" w:eastAsia="Arial" w:hAnsi="Arial"/>
          <w:color w:val="333333"/>
          <w:sz w:val="22"/>
          <w:szCs w:val="22"/>
        </w:rPr>
        <w:t xml:space="preserve">These principles govern every screen, every interaction, every piece of microcopy, and every AI response in the CredZo product. They are non-negotiable — violations require redesign before release.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1</w:t>
            </w:r>
          </w:p>
          <w:p>
            <w:pPr>
              <w:spacing w:after="100" w:before="0"/>
            </w:pPr>
            <w:r>
              <w:rPr>
                <w:rFonts w:ascii="Arial" w:cs="Arial" w:eastAsia="Arial" w:hAnsi="Arial"/>
                <w:b/>
                <w:bCs/>
                <w:color w:val="1B3A6B"/>
                <w:sz w:val="28"/>
                <w:szCs w:val="28"/>
              </w:rPr>
              <w:t xml:space="preserve">One Thing at a Time</w:t>
            </w:r>
          </w:p>
          <w:p>
            <w:pPr>
              <w:spacing w:after="60" w:before="0"/>
            </w:pPr>
            <w:r>
              <w:rPr>
                <w:rFonts w:ascii="Arial" w:cs="Arial" w:eastAsia="Arial" w:hAnsi="Arial"/>
                <w:color w:val="333333"/>
                <w:sz w:val="22"/>
                <w:szCs w:val="22"/>
              </w:rPr>
              <w:t xml:space="preserve">Never ask users to process or decide more than one thing per screen interaction. Each screen has a single primary action.</w:t>
            </w:r>
          </w:p>
          <w:p>
            <w:r>
              <w:rPr>
                <w:rFonts w:ascii="Arial" w:cs="Arial" w:eastAsia="Arial" w:hAnsi="Arial"/>
                <w:i/>
                <w:iCs/>
                <w:color w:val="555555"/>
                <w:sz w:val="21"/>
                <w:szCs w:val="21"/>
              </w:rPr>
              <w:t xml:space="preserve">Research evidence: 'Too many screens' — 3 of 4 research participants. Cognitive overload is the #1 conversion killer.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2</w:t>
            </w:r>
          </w:p>
          <w:p>
            <w:pPr>
              <w:spacing w:after="100" w:before="0"/>
            </w:pPr>
            <w:r>
              <w:rPr>
                <w:rFonts w:ascii="Arial" w:cs="Arial" w:eastAsia="Arial" w:hAnsi="Arial"/>
                <w:b/>
                <w:bCs/>
                <w:color w:val="1B3A6B"/>
                <w:sz w:val="28"/>
                <w:szCs w:val="28"/>
              </w:rPr>
              <w:t xml:space="preserve">Value Before Effort</w:t>
            </w:r>
          </w:p>
          <w:p>
            <w:pPr>
              <w:spacing w:after="60" w:before="0"/>
            </w:pPr>
            <w:r>
              <w:rPr>
                <w:rFonts w:ascii="Arial" w:cs="Arial" w:eastAsia="Arial" w:hAnsi="Arial"/>
                <w:color w:val="333333"/>
                <w:sz w:val="22"/>
                <w:szCs w:val="22"/>
              </w:rPr>
              <w:t xml:space="preserve">Show the user what they stand to gain before asking them to invest effort. The eligibility estimate must appear before full KYC.</w:t>
            </w:r>
          </w:p>
          <w:p>
            <w:r>
              <w:rPr>
                <w:rFonts w:ascii="Arial" w:cs="Arial" w:eastAsia="Arial" w:hAnsi="Arial"/>
                <w:i/>
                <w:iCs/>
                <w:color w:val="555555"/>
                <w:sz w:val="21"/>
                <w:szCs w:val="21"/>
              </w:rPr>
              <w:t xml:space="preserve">Strategy evidence: Inverting the trust sequence from 'prove yourself' to 'here is what is available for you' transforms the emotional frame.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3</w:t>
            </w:r>
          </w:p>
          <w:p>
            <w:pPr>
              <w:spacing w:after="100" w:before="0"/>
            </w:pPr>
            <w:r>
              <w:rPr>
                <w:rFonts w:ascii="Arial" w:cs="Arial" w:eastAsia="Arial" w:hAnsi="Arial"/>
                <w:b/>
                <w:bCs/>
                <w:color w:val="1B3A6B"/>
                <w:sz w:val="28"/>
                <w:szCs w:val="28"/>
              </w:rPr>
              <w:t xml:space="preserve">AI Guides, Not Forms</w:t>
            </w:r>
          </w:p>
          <w:p>
            <w:pPr>
              <w:spacing w:after="60" w:before="0"/>
            </w:pPr>
            <w:r>
              <w:rPr>
                <w:rFonts w:ascii="Arial" w:cs="Arial" w:eastAsia="Arial" w:hAnsi="Arial"/>
                <w:color w:val="333333"/>
                <w:sz w:val="22"/>
                <w:szCs w:val="22"/>
              </w:rPr>
              <w:t xml:space="preserve">Every data collection moment is a conversation, not a form. The AI companion leads each step with a simple, friendly request.</w:t>
            </w:r>
          </w:p>
          <w:p>
            <w:r>
              <w:rPr>
                <w:rFonts w:ascii="Arial" w:cs="Arial" w:eastAsia="Arial" w:hAnsi="Arial"/>
                <w:i/>
                <w:iCs/>
                <w:color w:val="555555"/>
                <w:sz w:val="21"/>
                <w:szCs w:val="21"/>
              </w:rPr>
              <w:t xml:space="preserve">Journey evidence: The single most effective trust builder identified across all personas is an AI that feels like a knowledgeable friend, not a bureaucratic system.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4</w:t>
            </w:r>
          </w:p>
          <w:p>
            <w:pPr>
              <w:spacing w:after="100" w:before="0"/>
            </w:pPr>
            <w:r>
              <w:rPr>
                <w:rFonts w:ascii="Arial" w:cs="Arial" w:eastAsia="Arial" w:hAnsi="Arial"/>
                <w:b/>
                <w:bCs/>
                <w:color w:val="1B3A6B"/>
                <w:sz w:val="28"/>
                <w:szCs w:val="28"/>
              </w:rPr>
              <w:t xml:space="preserve">Transparency Before Commitment</w:t>
            </w:r>
          </w:p>
          <w:p>
            <w:pPr>
              <w:spacing w:after="60" w:before="0"/>
            </w:pPr>
            <w:r>
              <w:rPr>
                <w:rFonts w:ascii="Arial" w:cs="Arial" w:eastAsia="Arial" w:hAnsi="Arial"/>
                <w:color w:val="333333"/>
                <w:sz w:val="22"/>
                <w:szCs w:val="22"/>
              </w:rPr>
              <w:t xml:space="preserve">All costs, fees, and repayment terms must be visible before the user confirms any financial action. No exceptions.</w:t>
            </w:r>
          </w:p>
          <w:p>
            <w:r>
              <w:rPr>
                <w:rFonts w:ascii="Arial" w:cs="Arial" w:eastAsia="Arial" w:hAnsi="Arial"/>
                <w:i/>
                <w:iCs/>
                <w:color w:val="555555"/>
                <w:sz w:val="21"/>
                <w:szCs w:val="21"/>
              </w:rPr>
              <w:t xml:space="preserve">Compliance evidence: RBI digital lending guidelines require this. Research confirms it is the #1 trust enabler across all four personas.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5</w:t>
            </w:r>
          </w:p>
          <w:p>
            <w:pPr>
              <w:spacing w:after="100" w:before="0"/>
            </w:pPr>
            <w:r>
              <w:rPr>
                <w:rFonts w:ascii="Arial" w:cs="Arial" w:eastAsia="Arial" w:hAnsi="Arial"/>
                <w:b/>
                <w:bCs/>
                <w:color w:val="1B3A6B"/>
                <w:sz w:val="28"/>
                <w:szCs w:val="28"/>
              </w:rPr>
              <w:t xml:space="preserve">Errors Are the Product's Fault</w:t>
            </w:r>
          </w:p>
          <w:p>
            <w:pPr>
              <w:spacing w:after="60" w:before="0"/>
            </w:pPr>
            <w:r>
              <w:rPr>
                <w:rFonts w:ascii="Arial" w:cs="Arial" w:eastAsia="Arial" w:hAnsi="Arial"/>
                <w:color w:val="333333"/>
                <w:sz w:val="22"/>
                <w:szCs w:val="22"/>
              </w:rPr>
              <w:t xml:space="preserve">When technology fails — OCR errors, OTP delays, network issues — the product takes responsibility and guides recovery. Never blame the user.</w:t>
            </w:r>
          </w:p>
          <w:p>
            <w:r>
              <w:rPr>
                <w:rFonts w:ascii="Arial" w:cs="Arial" w:eastAsia="Arial" w:hAnsi="Arial"/>
                <w:i/>
                <w:iCs/>
                <w:color w:val="555555"/>
                <w:sz w:val="21"/>
                <w:szCs w:val="21"/>
              </w:rPr>
              <w:t xml:space="preserve">Research evidence: 'PAN upload failed multiple times' — Review 01. The product's response to failure determines long-term trust.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6</w:t>
            </w:r>
          </w:p>
          <w:p>
            <w:pPr>
              <w:spacing w:after="100" w:before="0"/>
            </w:pPr>
            <w:r>
              <w:rPr>
                <w:rFonts w:ascii="Arial" w:cs="Arial" w:eastAsia="Arial" w:hAnsi="Arial"/>
                <w:b/>
                <w:bCs/>
                <w:color w:val="1B3A6B"/>
                <w:sz w:val="28"/>
                <w:szCs w:val="28"/>
              </w:rPr>
              <w:t xml:space="preserve">Dignity in Every Outcome</w:t>
            </w:r>
          </w:p>
          <w:p>
            <w:pPr>
              <w:spacing w:after="60" w:before="0"/>
            </w:pPr>
            <w:r>
              <w:rPr>
                <w:rFonts w:ascii="Arial" w:cs="Arial" w:eastAsia="Arial" w:hAnsi="Arial"/>
                <w:color w:val="333333"/>
                <w:sz w:val="22"/>
                <w:szCs w:val="22"/>
              </w:rPr>
              <w:t xml:space="preserve">Whether the user is approved, declined, or partially eligible — the product treats them with dignity. Rejection has a reason, a next step, and no shame.</w:t>
            </w:r>
          </w:p>
          <w:p>
            <w:r>
              <w:rPr>
                <w:rFonts w:ascii="Arial" w:cs="Arial" w:eastAsia="Arial" w:hAnsi="Arial"/>
                <w:i/>
                <w:iCs/>
                <w:color w:val="555555"/>
                <w:sz w:val="21"/>
                <w:szCs w:val="21"/>
              </w:rPr>
              <w:t xml:space="preserve">Persona evidence: Kumar profile shows extreme emotional vulnerability at rejection moments. Priya profile shows high tolerance for rejection if it is explained respectfully.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80"/>
              <w:left w:type="dxa" w:w="240"/>
              <w:bottom w:type="dxa" w:w="180"/>
              <w:right w:type="dxa" w:w="240"/>
            </w:tcMar>
          </w:tcPr>
          <w:p>
            <w:pPr>
              <w:spacing w:after="80" w:before="0"/>
            </w:pPr>
            <w:r>
              <w:rPr>
                <w:rFonts w:ascii="Arial" w:cs="Arial" w:eastAsia="Arial" w:hAnsi="Arial"/>
                <w:b/>
                <w:bCs/>
                <w:color w:val="2E75B6"/>
                <w:sz w:val="18"/>
                <w:szCs w:val="18"/>
              </w:rPr>
              <w:t xml:space="preserve">PRINCIPLE 7</w:t>
            </w:r>
          </w:p>
          <w:p>
            <w:pPr>
              <w:spacing w:after="100" w:before="0"/>
            </w:pPr>
            <w:r>
              <w:rPr>
                <w:rFonts w:ascii="Arial" w:cs="Arial" w:eastAsia="Arial" w:hAnsi="Arial"/>
                <w:b/>
                <w:bCs/>
                <w:color w:val="1B3A6B"/>
                <w:sz w:val="28"/>
                <w:szCs w:val="28"/>
              </w:rPr>
              <w:t xml:space="preserve">Support is Always One Tap Away</w:t>
            </w:r>
          </w:p>
          <w:p>
            <w:pPr>
              <w:spacing w:after="60" w:before="0"/>
            </w:pPr>
            <w:r>
              <w:rPr>
                <w:rFonts w:ascii="Arial" w:cs="Arial" w:eastAsia="Arial" w:hAnsi="Arial"/>
                <w:color w:val="333333"/>
                <w:sz w:val="22"/>
                <w:szCs w:val="22"/>
              </w:rPr>
              <w:t xml:space="preserve">From any screen, in any state, help must be accessible in one interaction. No nested menus. No 'contact us' hidden in settings.</w:t>
            </w:r>
          </w:p>
          <w:p>
            <w:r>
              <w:rPr>
                <w:rFonts w:ascii="Arial" w:cs="Arial" w:eastAsia="Arial" w:hAnsi="Arial"/>
                <w:i/>
                <w:iCs/>
                <w:color w:val="555555"/>
                <w:sz w:val="21"/>
                <w:szCs w:val="21"/>
              </w:rPr>
              <w:t xml:space="preserve">Journey evidence: Kumar requires constant support availability. Even Divya expects immediate escalation access when she needs it.</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4. Visual Design Direction</w:t>
      </w:r>
    </w:p>
    <w:p>
      <w:pPr>
        <w:pStyle w:val="Heading2"/>
        <w:spacing w:after="140" w:before="280"/>
      </w:pPr>
      <w:r>
        <w:rPr>
          <w:rFonts w:ascii="Arial" w:cs="Arial" w:eastAsia="Arial" w:hAnsi="Arial"/>
          <w:b/>
          <w:bCs/>
          <w:color w:val="2E75B6"/>
          <w:sz w:val="26"/>
          <w:szCs w:val="26"/>
        </w:rPr>
        <w:t xml:space="preserve">4.1 Visual Personality</w:t>
      </w:r>
    </w:p>
    <w:p>
      <w:pPr>
        <w:spacing w:after="80" w:before="80"/>
      </w:pPr>
      <w:r>
        <w:rPr>
          <w:rFonts w:ascii="Arial" w:cs="Arial" w:eastAsia="Arial" w:hAnsi="Arial"/>
          <w:color w:val="333333"/>
          <w:sz w:val="22"/>
          <w:szCs w:val="22"/>
        </w:rPr>
        <w:t xml:space="preserve">CredZo's visual identity must communicate: calm authority, intelligent simplicity, and financial trustworthiness. It should feel closer to a premium health or wellness app than a traditional lending product. This distinction is deliberate — the category association of 'lending app' carries negative trust baggage in the Indian market.</w:t>
      </w:r>
    </w:p>
    <w:p>
      <w:pPr>
        <w:pStyle w:val="ListParagraph"/>
        <w:numPr>
          <w:ilvl w:val="0"/>
          <w:numId w:val="2"/>
        </w:numPr>
        <w:spacing w:after="60" w:before="60"/>
      </w:pPr>
      <w:r>
        <w:rPr>
          <w:rFonts w:ascii="Arial" w:cs="Arial" w:eastAsia="Arial" w:hAnsi="Arial"/>
          <w:b/>
          <w:bCs/>
          <w:color w:val="1B3A6B"/>
          <w:sz w:val="22"/>
          <w:szCs w:val="22"/>
        </w:rPr>
        <w:t xml:space="preserve">Space: </w:t>
      </w:r>
      <w:r>
        <w:rPr>
          <w:rFonts w:ascii="Arial" w:cs="Arial" w:eastAsia="Arial" w:hAnsi="Arial"/>
          <w:color w:val="333333"/>
          <w:sz w:val="22"/>
          <w:szCs w:val="22"/>
        </w:rPr>
        <w:t xml:space="preserve">Generous white space as the dominant design element — space communicates confidence.</w:t>
      </w:r>
    </w:p>
    <w:p>
      <w:pPr>
        <w:pStyle w:val="ListParagraph"/>
        <w:numPr>
          <w:ilvl w:val="0"/>
          <w:numId w:val="2"/>
        </w:numPr>
        <w:spacing w:after="60" w:before="60"/>
      </w:pPr>
      <w:r>
        <w:rPr>
          <w:rFonts w:ascii="Arial" w:cs="Arial" w:eastAsia="Arial" w:hAnsi="Arial"/>
          <w:b/>
          <w:bCs/>
          <w:color w:val="1B3A6B"/>
          <w:sz w:val="22"/>
          <w:szCs w:val="22"/>
        </w:rPr>
        <w:t xml:space="preserve">Color: </w:t>
      </w:r>
      <w:r>
        <w:rPr>
          <w:rFonts w:ascii="Arial" w:cs="Arial" w:eastAsia="Arial" w:hAnsi="Arial"/>
          <w:color w:val="333333"/>
          <w:sz w:val="22"/>
          <w:szCs w:val="22"/>
        </w:rPr>
        <w:t xml:space="preserve">A two-tone primary palette: deep navy (trust, authority) and a single warm accent (approval, success).</w:t>
      </w:r>
    </w:p>
    <w:p>
      <w:pPr>
        <w:pStyle w:val="ListParagraph"/>
        <w:numPr>
          <w:ilvl w:val="0"/>
          <w:numId w:val="2"/>
        </w:numPr>
        <w:spacing w:after="60" w:before="60"/>
      </w:pPr>
      <w:r>
        <w:rPr>
          <w:rFonts w:ascii="Arial" w:cs="Arial" w:eastAsia="Arial" w:hAnsi="Arial"/>
          <w:b/>
          <w:bCs/>
          <w:color w:val="1B3A6B"/>
          <w:sz w:val="22"/>
          <w:szCs w:val="22"/>
        </w:rPr>
        <w:t xml:space="preserve">Typography: </w:t>
      </w:r>
      <w:r>
        <w:rPr>
          <w:rFonts w:ascii="Arial" w:cs="Arial" w:eastAsia="Arial" w:hAnsi="Arial"/>
          <w:color w:val="333333"/>
          <w:sz w:val="22"/>
          <w:szCs w:val="22"/>
        </w:rPr>
        <w:t xml:space="preserve">Sans-serif typography, no decorative fonts — clarity over aesthetics.</w:t>
      </w:r>
    </w:p>
    <w:p>
      <w:pPr>
        <w:pStyle w:val="ListParagraph"/>
        <w:numPr>
          <w:ilvl w:val="0"/>
          <w:numId w:val="2"/>
        </w:numPr>
        <w:spacing w:after="60" w:before="60"/>
      </w:pPr>
      <w:r>
        <w:rPr>
          <w:rFonts w:ascii="Arial" w:cs="Arial" w:eastAsia="Arial" w:hAnsi="Arial"/>
          <w:b/>
          <w:bCs/>
          <w:color w:val="1B3A6B"/>
          <w:sz w:val="22"/>
          <w:szCs w:val="22"/>
        </w:rPr>
        <w:t xml:space="preserve">Components: </w:t>
      </w:r>
      <w:r>
        <w:rPr>
          <w:rFonts w:ascii="Arial" w:cs="Arial" w:eastAsia="Arial" w:hAnsi="Arial"/>
          <w:color w:val="333333"/>
          <w:sz w:val="22"/>
          <w:szCs w:val="22"/>
        </w:rPr>
        <w:t xml:space="preserve">Soft card containers, subtle shadows — never harsh borders or aggressive contrast.</w:t>
      </w:r>
    </w:p>
    <w:p>
      <w:pPr>
        <w:pStyle w:val="ListParagraph"/>
        <w:numPr>
          <w:ilvl w:val="0"/>
          <w:numId w:val="2"/>
        </w:numPr>
        <w:spacing w:after="60" w:before="60"/>
      </w:pPr>
      <w:r>
        <w:rPr>
          <w:rFonts w:ascii="Arial" w:cs="Arial" w:eastAsia="Arial" w:hAnsi="Arial"/>
          <w:b/>
          <w:bCs/>
          <w:color w:val="1B3A6B"/>
          <w:sz w:val="22"/>
          <w:szCs w:val="22"/>
        </w:rPr>
        <w:t xml:space="preserve">Motion: </w:t>
      </w:r>
      <w:r>
        <w:rPr>
          <w:rFonts w:ascii="Arial" w:cs="Arial" w:eastAsia="Arial" w:hAnsi="Arial"/>
          <w:color w:val="333333"/>
          <w:sz w:val="22"/>
          <w:szCs w:val="22"/>
        </w:rPr>
        <w:t xml:space="preserve">Animated micro-interactions that feel purposeful, not decorative.</w:t>
      </w:r>
    </w:p>
    <w:p>
      <w:pPr>
        <w:pStyle w:val="ListParagraph"/>
        <w:numPr>
          <w:ilvl w:val="0"/>
          <w:numId w:val="2"/>
        </w:numPr>
        <w:spacing w:after="60" w:before="60"/>
      </w:pPr>
      <w:r>
        <w:rPr>
          <w:rFonts w:ascii="Arial" w:cs="Arial" w:eastAsia="Arial" w:hAnsi="Arial"/>
          <w:b/>
          <w:bCs/>
          <w:color w:val="1B3A6B"/>
          <w:sz w:val="22"/>
          <w:szCs w:val="22"/>
        </w:rPr>
        <w:t xml:space="preserve">Data display: </w:t>
      </w:r>
      <w:r>
        <w:rPr>
          <w:rFonts w:ascii="Arial" w:cs="Arial" w:eastAsia="Arial" w:hAnsi="Arial"/>
          <w:color w:val="333333"/>
          <w:sz w:val="22"/>
          <w:szCs w:val="22"/>
        </w:rPr>
        <w:t xml:space="preserve">No dense data tables as primary UI — always visual representations first.</w:t>
      </w:r>
    </w:p>
    <w:p>
      <w:pPr>
        <w:spacing w:before="80"/>
      </w:pPr>
    </w:p>
    <w:p>
      <w:pPr>
        <w:pStyle w:val="Heading2"/>
        <w:spacing w:after="140" w:before="280"/>
      </w:pPr>
      <w:r>
        <w:rPr>
          <w:rFonts w:ascii="Arial" w:cs="Arial" w:eastAsia="Arial" w:hAnsi="Arial"/>
          <w:b/>
          <w:bCs/>
          <w:color w:val="2E75B6"/>
          <w:sz w:val="26"/>
          <w:szCs w:val="26"/>
        </w:rPr>
        <w:t xml:space="preserve">4.2 Color System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Color Role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Suggested Value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Brand Primary</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#1B3A6B — Deep Navy</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Headers, primary CTAs, brand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#2E75B6 — Confident Blue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Supporting elements, icons, progress indicators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Success / Approval</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#2E7D32 — Grounded Green</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Approval states, repayment complete, positive confirmations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Warning / Advisory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#E65100 — Warm Amber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Important disclosures, upcoming due dates — never for CTAs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Error / Alert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#C62828 — Clear Red</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Error states only — never for design decoration or urgency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Background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#FAFBFD — Near White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background — never pure white, never off-yellow</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Text Primary</w:t>
            </w:r>
          </w:p>
        </w:tc>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#1A1A1A</w:t>
            </w:r>
          </w:p>
        </w:tc>
        <w:tc>
          <w:tcPr>
            <w:tcW w:type="dxa" w:w="4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All body copy and financial figures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#555555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Supporting copy, labels, metadata</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5. Onboarding Philosophy</w:t>
      </w:r>
    </w:p>
    <w:p>
      <w:pPr>
        <w:pStyle w:val="Heading2"/>
        <w:spacing w:after="140" w:before="280"/>
      </w:pPr>
      <w:r>
        <w:rPr>
          <w:rFonts w:ascii="Arial" w:cs="Arial" w:eastAsia="Arial" w:hAnsi="Arial"/>
          <w:b/>
          <w:bCs/>
          <w:color w:val="2E75B6"/>
          <w:sz w:val="26"/>
          <w:szCs w:val="26"/>
        </w:rPr>
        <w:t xml:space="preserve">5.1 The Inverted Onboarding Model</w:t>
      </w:r>
    </w:p>
    <w:p>
      <w:pPr>
        <w:spacing w:after="80" w:before="80"/>
      </w:pPr>
      <w:r>
        <w:rPr>
          <w:rFonts w:ascii="Arial" w:cs="Arial" w:eastAsia="Arial" w:hAnsi="Arial"/>
          <w:color w:val="333333"/>
          <w:sz w:val="22"/>
          <w:szCs w:val="22"/>
        </w:rPr>
        <w:t xml:space="preserve">Traditional digital lending onboarding asks users to prove their identity before they see any product value. This is architecturally wrong for a trust-sensitive product. CredZo's onboarding inverts this sequence, front-loading value and deferring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The Inverted Model: </w:t>
            </w:r>
            <w:r>
              <w:rPr>
                <w:rFonts w:ascii="Arial" w:cs="Arial" w:eastAsia="Arial" w:hAnsi="Arial"/>
                <w:color w:val="333333"/>
                <w:sz w:val="22"/>
                <w:szCs w:val="22"/>
              </w:rPr>
              <w:t xml:space="preserve">Show value first (eligibility estimate) → Build commitment through clarity (guided KYC) → Reward effort immediately (approval celebration) → Sustain trust through transparency (repayment summary). Traditional model runs this in reverse — and loses 69% of users.</w:t>
            </w:r>
          </w:p>
        </w:tc>
      </w:tr>
    </w:tbl>
    <w:p>
      <w:pPr>
        <w:spacing w:before="160"/>
      </w:pPr>
    </w:p>
    <w:p>
      <w:pPr>
        <w:pStyle w:val="Heading2"/>
        <w:spacing w:after="140" w:before="280"/>
      </w:pPr>
      <w:r>
        <w:rPr>
          <w:rFonts w:ascii="Arial" w:cs="Arial" w:eastAsia="Arial" w:hAnsi="Arial"/>
          <w:b/>
          <w:bCs/>
          <w:color w:val="2E75B6"/>
          <w:sz w:val="26"/>
          <w:szCs w:val="26"/>
        </w:rPr>
        <w:t xml:space="preserve">5.2 Screen-by-Screen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1960"/>
        <w:gridCol w:w="200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Screen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Emotional State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AI Role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Primary CTA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Trust Signal</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Welcome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Anxious curiosity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Empathy opener + UPI trust anchor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Check my eligibility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RBI-registered NBFC name visible</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Soft Eligibility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Hopeful anticipation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Reveal credit range + invite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See my exact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Range displayed — no commitment yet</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PAN Capture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Nervous engagement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Camera guide + real-time feedback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Confirm — looks 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Live OCR success indicator</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Aadhaar OTP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Anxious focus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Explain UIDAI + reassure on wait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Confirm my Aadhaar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Auto-OTP detection active</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Tense anticipation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Confidence signal updates: 'Looking good...'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(None — passive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Progress bar with % and stage label</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Credit Limit Reveal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Relief + excitement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Celebrate + immediately surface repayment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Draw credit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Full repayment summary below fold</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KFS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Deliberate scrutiny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Explain any term user taps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I understand and agree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Key Fact Statement — regulatory badge</w:t>
            </w:r>
          </w:p>
        </w:tc>
      </w:tr>
      <w:tr>
        <w:tc>
          <w:tcPr>
            <w:tcW w:type="dxa" w:w="1600"/>
            <w:tcBorders>
              <w:top w:val="single" w:color="CCCCCC" w:sz="1"/>
              <w:left w:val="single" w:color="CCCCCC" w:sz="1"/>
              <w:bottom w:val="single" w:color="CCCCCC" w:sz="1"/>
              <w:right w:val="single" w:color="CCCCCC" w:sz="1"/>
            </w:tcBorders>
            <w:shd w:fill="EBF3FC" w:val="clear"/>
            <w:tcMar>
              <w:top w:type="dxa" w:w="80"/>
              <w:left w:type="dxa" w:w="100"/>
              <w:bottom w:type="dxa" w:w="80"/>
              <w:right w:type="dxa" w:w="100"/>
            </w:tcMar>
          </w:tcPr>
          <w:p>
            <w:r>
              <w:rPr>
                <w:rFonts w:ascii="Arial" w:cs="Arial" w:eastAsia="Arial" w:hAnsi="Arial"/>
                <w:b/>
                <w:bCs/>
                <w:color w:val="333333"/>
                <w:sz w:val="18"/>
                <w:szCs w:val="18"/>
              </w:rPr>
              <w:t xml:space="preserve">Repayment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Ownership + mild anxiety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Proactive due date reminder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Pay now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Calendar view + on-time streak counter</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6. AI Guidance Patterns</w:t>
      </w:r>
    </w:p>
    <w:p>
      <w:pPr>
        <w:pStyle w:val="Heading2"/>
        <w:spacing w:after="140" w:before="280"/>
      </w:pPr>
      <w:r>
        <w:rPr>
          <w:rFonts w:ascii="Arial" w:cs="Arial" w:eastAsia="Arial" w:hAnsi="Arial"/>
          <w:b/>
          <w:bCs/>
          <w:color w:val="2E75B6"/>
          <w:sz w:val="26"/>
          <w:szCs w:val="26"/>
        </w:rPr>
        <w:t xml:space="preserve">6.1 The CredZo AI Companion</w:t>
      </w:r>
    </w:p>
    <w:p>
      <w:pPr>
        <w:spacing w:after="80" w:before="80"/>
      </w:pPr>
      <w:r>
        <w:rPr>
          <w:rFonts w:ascii="Arial" w:cs="Arial" w:eastAsia="Arial" w:hAnsi="Arial"/>
          <w:color w:val="333333"/>
          <w:sz w:val="22"/>
          <w:szCs w:val="22"/>
        </w:rPr>
        <w:t xml:space="preserve">The CredZo AI companion is not a chatbot, not a virtual assistant, and not a notification system. It is the product's conversational intelligence layer — the voice through which CredZo communicates at every moment where the user needs guidance, reassurance, or clarification. It has a consistent persona: knowledgeable, calm, direct, and on the user's side.</w:t>
      </w:r>
    </w:p>
    <w:p>
      <w:pPr>
        <w:pStyle w:val="Heading2"/>
        <w:spacing w:after="140" w:before="280"/>
      </w:pPr>
      <w:r>
        <w:rPr>
          <w:rFonts w:ascii="Arial" w:cs="Arial" w:eastAsia="Arial" w:hAnsi="Arial"/>
          <w:b/>
          <w:bCs/>
          <w:color w:val="2E75B6"/>
          <w:sz w:val="26"/>
          <w:szCs w:val="26"/>
        </w:rPr>
        <w:t xml:space="preserve">6.2 AI Activation Triggers and Response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Behavioral Trigger</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AI Response Pattern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8+ second dwell without action</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Confused or hesitant</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Soft prompt: 'Having trouble with this? Let me help you through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back navigations in 30s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Lost or anxious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steps forward: 'I noticed you went back. Do you want me to explain this step?'</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PAN OCR failure</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Frustrated</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'Let me try that again — here is how to position the card for the best result.'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OTP not received in 30s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Anxious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'OTP can take up to 60 seconds. If it does not arrive, I can resend it for you.'</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Drop at permission dialog</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Distrustful</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'I understand the concern. Here is exactly what this permission is used for — nothing else.'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Approaching due 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Mildly anxious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'Your repayment of ₹X is due in 3 days. You are on track. Tap to pay early and save ₹Y.'</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First on-time repayment</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Satisfied</w:t>
            </w:r>
          </w:p>
        </w:tc>
        <w:tc>
          <w:tcPr>
            <w:tcW w:type="dxa" w:w="4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19"/>
                <w:szCs w:val="19"/>
              </w:rPr>
              <w:t xml:space="preserve">'Repayment complete. You have built a strong credit record with CredZo. Well done.'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taps a financial term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Curious / confused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Inline plain-language definition appears. No navigation away from current screen.</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7. Repayment Communication Guidance</w:t>
      </w:r>
    </w:p>
    <w:p>
      <w:pPr>
        <w:pStyle w:val="Heading2"/>
        <w:spacing w:after="140" w:before="280"/>
      </w:pPr>
      <w:r>
        <w:rPr>
          <w:rFonts w:ascii="Arial" w:cs="Arial" w:eastAsia="Arial" w:hAnsi="Arial"/>
          <w:b/>
          <w:bCs/>
          <w:color w:val="2E75B6"/>
          <w:sz w:val="26"/>
          <w:szCs w:val="26"/>
        </w:rPr>
        <w:t xml:space="preserve">7.1 Repayment UX as Trust Architecture</w:t>
      </w:r>
    </w:p>
    <w:p>
      <w:pPr>
        <w:spacing w:after="80" w:before="80"/>
      </w:pPr>
      <w:r>
        <w:rPr>
          <w:rFonts w:ascii="Arial" w:cs="Arial" w:eastAsia="Arial" w:hAnsi="Arial"/>
          <w:color w:val="333333"/>
          <w:sz w:val="22"/>
          <w:szCs w:val="22"/>
        </w:rPr>
        <w:t xml:space="preserve">Repayment communication is where fintech products most commonly destroy the trust they built during onboarding. CredZo's repayment UX must be engineered as a trust-reinforcement system, not a collection mechanism. Every repayment interaction is an opportunity to deepen the user's loyalty.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Design Mandate: </w:t>
            </w:r>
            <w:r>
              <w:rPr>
                <w:rFonts w:ascii="Arial" w:cs="Arial" w:eastAsia="Arial" w:hAnsi="Arial"/>
                <w:color w:val="333333"/>
                <w:sz w:val="22"/>
                <w:szCs w:val="22"/>
              </w:rPr>
              <w:t xml:space="preserve">Repayment in CredZo should feel like receiving a supportive check-in from a trusted friend — not like being chased for a debt.</w:t>
            </w:r>
          </w:p>
        </w:tc>
      </w:tr>
    </w:tbl>
    <w:p>
      <w:pPr>
        <w:spacing w:before="120"/>
      </w:pPr>
    </w:p>
    <w:p>
      <w:pPr>
        <w:pStyle w:val="Heading2"/>
        <w:spacing w:after="140" w:before="280"/>
      </w:pPr>
      <w:r>
        <w:rPr>
          <w:rFonts w:ascii="Arial" w:cs="Arial" w:eastAsia="Arial" w:hAnsi="Arial"/>
          <w:b/>
          <w:bCs/>
          <w:color w:val="2E75B6"/>
          <w:sz w:val="26"/>
          <w:szCs w:val="26"/>
        </w:rPr>
        <w:t xml:space="preserve">7.2 Repayment Display Standards</w:t>
      </w:r>
    </w:p>
    <w:p>
      <w:pPr>
        <w:pStyle w:val="ListParagraph"/>
        <w:numPr>
          <w:ilvl w:val="0"/>
          <w:numId w:val="2"/>
        </w:numPr>
        <w:spacing w:after="60" w:before="60"/>
      </w:pPr>
      <w:r>
        <w:rPr>
          <w:rFonts w:ascii="Arial" w:cs="Arial" w:eastAsia="Arial" w:hAnsi="Arial"/>
          <w:b/>
          <w:bCs/>
          <w:color w:val="1B3A6B"/>
          <w:sz w:val="22"/>
          <w:szCs w:val="22"/>
        </w:rPr>
        <w:t xml:space="preserve">Primary repayment UI: </w:t>
      </w:r>
      <w:r>
        <w:rPr>
          <w:rFonts w:ascii="Arial" w:cs="Arial" w:eastAsia="Arial" w:hAnsi="Arial"/>
          <w:color w:val="333333"/>
          <w:sz w:val="22"/>
          <w:szCs w:val="22"/>
        </w:rPr>
        <w:t xml:space="preserve">Calendar view showing all due dates in a single, visual, scrollable timeline.</w:t>
      </w:r>
    </w:p>
    <w:p>
      <w:pPr>
        <w:pStyle w:val="ListParagraph"/>
        <w:numPr>
          <w:ilvl w:val="0"/>
          <w:numId w:val="2"/>
        </w:numPr>
        <w:spacing w:after="60" w:before="60"/>
      </w:pPr>
      <w:r>
        <w:rPr>
          <w:rFonts w:ascii="Arial" w:cs="Arial" w:eastAsia="Arial" w:hAnsi="Arial"/>
          <w:b/>
          <w:bCs/>
          <w:color w:val="1B3A6B"/>
          <w:sz w:val="22"/>
          <w:szCs w:val="22"/>
        </w:rPr>
        <w:t xml:space="preserve">Current due date: </w:t>
      </w:r>
      <w:r>
        <w:rPr>
          <w:rFonts w:ascii="Arial" w:cs="Arial" w:eastAsia="Arial" w:hAnsi="Arial"/>
          <w:color w:val="333333"/>
          <w:sz w:val="22"/>
          <w:szCs w:val="22"/>
        </w:rPr>
        <w:t xml:space="preserve">Highlight current due date with amount and a 'Pay now' button.</w:t>
      </w:r>
    </w:p>
    <w:p>
      <w:pPr>
        <w:pStyle w:val="ListParagraph"/>
        <w:numPr>
          <w:ilvl w:val="0"/>
          <w:numId w:val="2"/>
        </w:numPr>
        <w:spacing w:after="60" w:before="60"/>
      </w:pPr>
      <w:r>
        <w:rPr>
          <w:rFonts w:ascii="Arial" w:cs="Arial" w:eastAsia="Arial" w:hAnsi="Arial"/>
          <w:b/>
          <w:bCs/>
          <w:color w:val="1B3A6B"/>
          <w:sz w:val="22"/>
          <w:szCs w:val="22"/>
        </w:rPr>
        <w:t xml:space="preserve">Credit balance display: </w:t>
      </w:r>
      <w:r>
        <w:rPr>
          <w:rFonts w:ascii="Arial" w:cs="Arial" w:eastAsia="Arial" w:hAnsi="Arial"/>
          <w:color w:val="333333"/>
          <w:sz w:val="22"/>
          <w:szCs w:val="22"/>
        </w:rPr>
        <w:t xml:space="preserve">Show credit remaining alongside amount owed — activates ownership psychology.</w:t>
      </w:r>
    </w:p>
    <w:p>
      <w:pPr>
        <w:pStyle w:val="ListParagraph"/>
        <w:numPr>
          <w:ilvl w:val="0"/>
          <w:numId w:val="2"/>
        </w:numPr>
        <w:spacing w:after="60" w:before="60"/>
      </w:pPr>
      <w:r>
        <w:rPr>
          <w:rFonts w:ascii="Arial" w:cs="Arial" w:eastAsia="Arial" w:hAnsi="Arial"/>
          <w:b/>
          <w:bCs/>
          <w:color w:val="1B3A6B"/>
          <w:sz w:val="22"/>
          <w:szCs w:val="22"/>
        </w:rPr>
        <w:t xml:space="preserve">Behavioral reinforcement: </w:t>
      </w:r>
      <w:r>
        <w:rPr>
          <w:rFonts w:ascii="Arial" w:cs="Arial" w:eastAsia="Arial" w:hAnsi="Arial"/>
          <w:color w:val="333333"/>
          <w:sz w:val="22"/>
          <w:szCs w:val="22"/>
        </w:rPr>
        <w:t xml:space="preserve">On-time repayment streak counter — 'You have repaid on time 3 times in a row.'</w:t>
      </w:r>
    </w:p>
    <w:p>
      <w:pPr>
        <w:pStyle w:val="ListParagraph"/>
        <w:numPr>
          <w:ilvl w:val="0"/>
          <w:numId w:val="2"/>
        </w:numPr>
        <w:spacing w:after="60" w:before="60"/>
      </w:pPr>
      <w:r>
        <w:rPr>
          <w:rFonts w:ascii="Arial" w:cs="Arial" w:eastAsia="Arial" w:hAnsi="Arial"/>
          <w:b/>
          <w:bCs/>
          <w:color w:val="1B3A6B"/>
          <w:sz w:val="22"/>
          <w:szCs w:val="22"/>
        </w:rPr>
        <w:t xml:space="preserve">Early payment incentive: </w:t>
      </w:r>
      <w:r>
        <w:rPr>
          <w:rFonts w:ascii="Arial" w:cs="Arial" w:eastAsia="Arial" w:hAnsi="Arial"/>
          <w:color w:val="333333"/>
          <w:sz w:val="22"/>
          <w:szCs w:val="22"/>
        </w:rPr>
        <w:t xml:space="preserve">'Pay early, save money' display if early repayment discount is available.</w:t>
      </w:r>
    </w:p>
    <w:p>
      <w:pPr>
        <w:pStyle w:val="ListParagraph"/>
        <w:numPr>
          <w:ilvl w:val="0"/>
          <w:numId w:val="2"/>
        </w:numPr>
        <w:spacing w:after="60" w:before="60"/>
      </w:pPr>
      <w:r>
        <w:rPr>
          <w:rFonts w:ascii="Arial" w:cs="Arial" w:eastAsia="Arial" w:hAnsi="Arial"/>
          <w:b/>
          <w:bCs/>
          <w:color w:val="1B3A6B"/>
          <w:sz w:val="22"/>
          <w:szCs w:val="22"/>
        </w:rPr>
        <w:t xml:space="preserve">Partial payment handling: </w:t>
      </w:r>
      <w:r>
        <w:rPr>
          <w:rFonts w:ascii="Arial" w:cs="Arial" w:eastAsia="Arial" w:hAnsi="Arial"/>
          <w:color w:val="333333"/>
          <w:sz w:val="22"/>
          <w:szCs w:val="22"/>
        </w:rPr>
        <w:t xml:space="preserve">Partial repayment accepted without penalty framing — show revised plan immediately.</w:t>
      </w:r>
    </w:p>
    <w:p>
      <w:pPr>
        <w:spacing w:before="80"/>
      </w:pPr>
    </w:p>
    <w:p>
      <w:pPr>
        <w:pStyle w:val="Heading2"/>
        <w:spacing w:after="140" w:before="280"/>
      </w:pPr>
      <w:r>
        <w:rPr>
          <w:rFonts w:ascii="Arial" w:cs="Arial" w:eastAsia="Arial" w:hAnsi="Arial"/>
          <w:b/>
          <w:bCs/>
          <w:color w:val="2E75B6"/>
          <w:sz w:val="26"/>
          <w:szCs w:val="26"/>
        </w:rPr>
        <w:t xml:space="preserve">7.3 WhatsApp Reminder Copy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Sample Reminder (3 days before due): </w:t>
            </w:r>
            <w:r>
              <w:rPr>
                <w:rFonts w:ascii="Arial" w:cs="Arial" w:eastAsia="Arial" w:hAnsi="Arial"/>
                <w:color w:val="333333"/>
                <w:sz w:val="22"/>
                <w:szCs w:val="22"/>
              </w:rPr>
              <w:t xml:space="preserve">Hi Arun, your CredZo repayment of ₹5,000 is due on Friday 17 May. You are all set — tap here to pay: [link]. Questions? Reply to this message.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1B3A6B"/>
                <w:sz w:val="22"/>
                <w:szCs w:val="22"/>
              </w:rPr>
              <w:t xml:space="preserve">Sample Overdue Reminder (1 day after due): </w:t>
            </w:r>
            <w:r>
              <w:rPr>
                <w:rFonts w:ascii="Arial" w:cs="Arial" w:eastAsia="Arial" w:hAnsi="Arial"/>
                <w:color w:val="333333"/>
                <w:sz w:val="22"/>
                <w:szCs w:val="22"/>
              </w:rPr>
              <w:t xml:space="preserve">Hi Arun, your ₹5,000 repayment was due yesterday. No late fees yet — you can still pay today at no extra cost: [link]. Need help? Reply and we will sort this out.</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8. Accessibility Priorities</w:t>
      </w:r>
    </w:p>
    <w:p>
      <w:pPr>
        <w:spacing w:after="80" w:before="80"/>
      </w:pPr>
      <w:r>
        <w:rPr>
          <w:rFonts w:ascii="Arial" w:cs="Arial" w:eastAsia="Arial" w:hAnsi="Arial"/>
          <w:color w:val="333333"/>
          <w:sz w:val="22"/>
          <w:szCs w:val="22"/>
        </w:rPr>
        <w:t xml:space="preserve">Accessibility is not a feature — it is a design constraint that applies universally. The following accessibility priorities are derived from the research (Kumar's readability issue, Arun's Tamil support need, Divya's dark mode request) and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Text readability</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Min 16sp body, 14sp captions</w:t>
            </w:r>
          </w:p>
        </w:tc>
        <w:tc>
          <w:tcPr>
            <w:tcW w:type="dxa" w:w="4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All financial figures min 18sp. Amount displays min 24sp.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 contrast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WCAG 2.1 AA — 4.5:1 minimum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text on background: 7:1. Financial alerts: 4.5:1 minimum.</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Touch targets</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Min 44x44pt all interactive elements</w:t>
            </w:r>
          </w:p>
        </w:tc>
        <w:tc>
          <w:tcPr>
            <w:tcW w:type="dxa" w:w="4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Primary CTA buttons min 56x56pt to support older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Language support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English + Tamil + Hindi at launch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Regional language toggle available on welcome screen and all KYC screens.</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Dark mode</w:t>
            </w:r>
          </w:p>
        </w:tc>
        <w:tc>
          <w:tcPr>
            <w:tcW w:type="dxa" w:w="2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System dark mode supported</w:t>
            </w:r>
          </w:p>
        </w:tc>
        <w:tc>
          <w:tcPr>
            <w:tcW w:type="dxa" w:w="4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All components tested in dark mode. Financial figures remain high-contrast.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 reader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WCAG 2.1 Level AA semantic labels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images and icons have descriptive alt labels. Amount announced in full context.</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9. Trust Communication Strategy</w:t>
      </w:r>
    </w:p>
    <w:p>
      <w:pPr>
        <w:pStyle w:val="Heading2"/>
        <w:spacing w:after="140" w:before="280"/>
      </w:pPr>
      <w:r>
        <w:rPr>
          <w:rFonts w:ascii="Arial" w:cs="Arial" w:eastAsia="Arial" w:hAnsi="Arial"/>
          <w:b/>
          <w:bCs/>
          <w:color w:val="2E75B6"/>
          <w:sz w:val="26"/>
          <w:szCs w:val="26"/>
        </w:rPr>
        <w:t xml:space="preserve">9.1 The Trust Stack</w:t>
      </w:r>
    </w:p>
    <w:p>
      <w:pPr>
        <w:spacing w:after="80" w:before="80"/>
      </w:pPr>
      <w:r>
        <w:rPr>
          <w:rFonts w:ascii="Arial" w:cs="Arial" w:eastAsia="Arial" w:hAnsi="Arial"/>
          <w:color w:val="333333"/>
          <w:sz w:val="22"/>
          <w:szCs w:val="22"/>
        </w:rPr>
        <w:t xml:space="preserve">Trust in CredZo is built across five layers simultaneously. Design teams must evaluate every design decision against each layer of the stack — not just the one most directly relevant to the current screen.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Trust Layer</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Requirements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Regulatory Trust</w:t>
            </w:r>
          </w:p>
        </w:tc>
        <w:tc>
          <w:tcPr>
            <w:tcW w:type="dxa" w:w="7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NBFC name, RBI registration, and Key Fact Statement visible in the onboarding flow. Compliance badge on all financial commitment screens.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Transparency Trust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 total cost, and all fees displayed before commitment. No fine print, no hidden tabs, no T&amp;C-only disclosure.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Process Trust</w:t>
            </w:r>
          </w:p>
        </w:tc>
        <w:tc>
          <w:tcPr>
            <w:tcW w:type="dxa" w:w="7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Progress indicators, AI status updates, and real-time confirmation of every action. Users always know where they are and what comes next.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Behavioral Trust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product's response to failure is calm, helpful, and non-blaming. Errors are acknowledged by the product. Support is always one tap away.</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Relational Trust</w:t>
            </w:r>
          </w:p>
        </w:tc>
        <w:tc>
          <w:tcPr>
            <w:tcW w:type="dxa" w:w="7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Repayment success is celebrated. Good behavior is rewarded. Returning users are recognized. The product remembers you and adapts.</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10. Claude Design &amp; Figma Workflow Integration</w:t>
      </w:r>
    </w:p>
    <w:p>
      <w:pPr>
        <w:pStyle w:val="Heading2"/>
        <w:spacing w:after="140" w:before="280"/>
      </w:pPr>
      <w:r>
        <w:rPr>
          <w:rFonts w:ascii="Arial" w:cs="Arial" w:eastAsia="Arial" w:hAnsi="Arial"/>
          <w:b/>
          <w:bCs/>
          <w:color w:val="2E75B6"/>
          <w:sz w:val="26"/>
          <w:szCs w:val="26"/>
        </w:rPr>
        <w:t xml:space="preserve">10.1 Design System Token Architecture</w:t>
      </w:r>
    </w:p>
    <w:p>
      <w:pPr>
        <w:spacing w:after="80" w:before="80"/>
      </w:pPr>
      <w:r>
        <w:rPr>
          <w:rFonts w:ascii="Arial" w:cs="Arial" w:eastAsia="Arial" w:hAnsi="Arial"/>
          <w:color w:val="333333"/>
          <w:sz w:val="22"/>
          <w:szCs w:val="22"/>
        </w:rPr>
        <w:t xml:space="preserve">The following design token structure is recommended for implementation in Figma and Claude Design. All tokens follow the naming convention: [category]/[role]/[variant].</w:t>
      </w:r>
    </w:p>
    <w:p>
      <w:pPr>
        <w:pStyle w:val="ListParagraph"/>
        <w:numPr>
          <w:ilvl w:val="0"/>
          <w:numId w:val="2"/>
        </w:numPr>
        <w:spacing w:after="60" w:before="60"/>
      </w:pPr>
      <w:r>
        <w:rPr>
          <w:rFonts w:ascii="Arial" w:cs="Arial" w:eastAsia="Arial" w:hAnsi="Arial"/>
          <w:b/>
          <w:bCs/>
          <w:color w:val="1B3A6B"/>
          <w:sz w:val="22"/>
          <w:szCs w:val="22"/>
        </w:rPr>
        <w:t xml:space="preserve">Color tokens: </w:t>
      </w:r>
      <w:r>
        <w:rPr>
          <w:rFonts w:ascii="Arial" w:cs="Arial" w:eastAsia="Arial" w:hAnsi="Arial"/>
          <w:color w:val="333333"/>
          <w:sz w:val="22"/>
          <w:szCs w:val="22"/>
        </w:rPr>
        <w:t xml:space="preserve">color/brand/primary → #1B3A6B. color/brand/secondary → #2E75B6. color/state/success → #2E7D32.</w:t>
      </w:r>
    </w:p>
    <w:p>
      <w:pPr>
        <w:pStyle w:val="ListParagraph"/>
        <w:numPr>
          <w:ilvl w:val="0"/>
          <w:numId w:val="2"/>
        </w:numPr>
        <w:spacing w:after="60" w:before="60"/>
      </w:pPr>
      <w:r>
        <w:rPr>
          <w:rFonts w:ascii="Arial" w:cs="Arial" w:eastAsia="Arial" w:hAnsi="Arial"/>
          <w:b/>
          <w:bCs/>
          <w:color w:val="1B3A6B"/>
          <w:sz w:val="22"/>
          <w:szCs w:val="22"/>
        </w:rPr>
        <w:t xml:space="preserve">Typography tokens: </w:t>
      </w:r>
      <w:r>
        <w:rPr>
          <w:rFonts w:ascii="Arial" w:cs="Arial" w:eastAsia="Arial" w:hAnsi="Arial"/>
          <w:color w:val="333333"/>
          <w:sz w:val="22"/>
          <w:szCs w:val="22"/>
        </w:rPr>
        <w:t xml:space="preserve">typography/display/xl (48sp, bold), typography/body/base (16sp, regular), typography/label/sm (14sp, medium).</w:t>
      </w:r>
    </w:p>
    <w:p>
      <w:pPr>
        <w:pStyle w:val="ListParagraph"/>
        <w:numPr>
          <w:ilvl w:val="0"/>
          <w:numId w:val="2"/>
        </w:numPr>
        <w:spacing w:after="60" w:before="60"/>
      </w:pPr>
      <w:r>
        <w:rPr>
          <w:rFonts w:ascii="Arial" w:cs="Arial" w:eastAsia="Arial" w:hAnsi="Arial"/>
          <w:b/>
          <w:bCs/>
          <w:color w:val="1B3A6B"/>
          <w:sz w:val="22"/>
          <w:szCs w:val="22"/>
        </w:rPr>
        <w:t xml:space="preserve">Spacing tokens: </w:t>
      </w:r>
      <w:r>
        <w:rPr>
          <w:rFonts w:ascii="Arial" w:cs="Arial" w:eastAsia="Arial" w:hAnsi="Arial"/>
          <w:color w:val="333333"/>
          <w:sz w:val="22"/>
          <w:szCs w:val="22"/>
        </w:rPr>
        <w:t xml:space="preserve">spacing/xs (4), spacing/sm (8), spacing/md (16), spacing/lg (24), spacing/xl (40), spacing/2xl (64).</w:t>
      </w:r>
    </w:p>
    <w:p>
      <w:pPr>
        <w:pStyle w:val="ListParagraph"/>
        <w:numPr>
          <w:ilvl w:val="0"/>
          <w:numId w:val="2"/>
        </w:numPr>
        <w:spacing w:after="60" w:before="60"/>
      </w:pPr>
      <w:r>
        <w:rPr>
          <w:rFonts w:ascii="Arial" w:cs="Arial" w:eastAsia="Arial" w:hAnsi="Arial"/>
          <w:b/>
          <w:bCs/>
          <w:color w:val="1B3A6B"/>
          <w:sz w:val="22"/>
          <w:szCs w:val="22"/>
        </w:rPr>
        <w:t xml:space="preserve">Radius tokens: </w:t>
      </w:r>
      <w:r>
        <w:rPr>
          <w:rFonts w:ascii="Arial" w:cs="Arial" w:eastAsia="Arial" w:hAnsi="Arial"/>
          <w:color w:val="333333"/>
          <w:sz w:val="22"/>
          <w:szCs w:val="22"/>
        </w:rPr>
        <w:t xml:space="preserve">radius/sm (8), radius/md (12), radius/lg (16), radius/pill (999) — for CTAs and amount chips.</w:t>
      </w:r>
    </w:p>
    <w:p>
      <w:pPr>
        <w:pStyle w:val="ListParagraph"/>
        <w:numPr>
          <w:ilvl w:val="0"/>
          <w:numId w:val="2"/>
        </w:numPr>
        <w:spacing w:after="60" w:before="60"/>
      </w:pPr>
      <w:r>
        <w:rPr>
          <w:rFonts w:ascii="Arial" w:cs="Arial" w:eastAsia="Arial" w:hAnsi="Arial"/>
          <w:b/>
          <w:bCs/>
          <w:color w:val="1B3A6B"/>
          <w:sz w:val="22"/>
          <w:szCs w:val="22"/>
        </w:rPr>
        <w:t xml:space="preserve">Elevation tokens: </w:t>
      </w:r>
      <w:r>
        <w:rPr>
          <w:rFonts w:ascii="Arial" w:cs="Arial" w:eastAsia="Arial" w:hAnsi="Arial"/>
          <w:color w:val="333333"/>
          <w:sz w:val="22"/>
          <w:szCs w:val="22"/>
        </w:rPr>
        <w:t xml:space="preserve">elevation/0 (no shadow), elevation/1 (card), elevation/2 (modal), elevation/3 (overlay).</w:t>
      </w:r>
    </w:p>
    <w:p>
      <w:pPr>
        <w:spacing w:before="80"/>
      </w:pPr>
    </w:p>
    <w:p>
      <w:pPr>
        <w:pStyle w:val="Heading2"/>
        <w:spacing w:after="140" w:before="280"/>
      </w:pPr>
      <w:r>
        <w:rPr>
          <w:rFonts w:ascii="Arial" w:cs="Arial" w:eastAsia="Arial" w:hAnsi="Arial"/>
          <w:b/>
          <w:bCs/>
          <w:color w:val="2E75B6"/>
          <w:sz w:val="26"/>
          <w:szCs w:val="26"/>
        </w:rPr>
        <w:t xml:space="preserve">10.2 Priority Component Library</w:t>
      </w:r>
    </w:p>
    <w:p>
      <w:pPr>
        <w:spacing w:after="80" w:before="80"/>
      </w:pPr>
      <w:r>
        <w:rPr>
          <w:rFonts w:ascii="Arial" w:cs="Arial" w:eastAsia="Arial" w:hAnsi="Arial"/>
          <w:color w:val="333333"/>
          <w:sz w:val="22"/>
          <w:szCs w:val="22"/>
        </w:rPr>
        <w:t xml:space="preserve">The following components should be built first in the design system, as they appear on the highest-traffic and highest-risk screens:</w:t>
      </w:r>
    </w:p>
    <w:p>
      <w:pPr>
        <w:pStyle w:val="ListParagraph"/>
        <w:numPr>
          <w:ilvl w:val="0"/>
          <w:numId w:val="2"/>
        </w:numPr>
        <w:spacing w:after="60" w:before="60"/>
      </w:pPr>
      <w:r>
        <w:rPr>
          <w:rFonts w:ascii="Arial" w:cs="Arial" w:eastAsia="Arial" w:hAnsi="Arial"/>
          <w:b/>
          <w:bCs/>
          <w:color w:val="1B3A6B"/>
          <w:sz w:val="22"/>
          <w:szCs w:val="22"/>
        </w:rPr>
        <w:t xml:space="preserve">Priority 1: </w:t>
      </w:r>
      <w:r>
        <w:rPr>
          <w:rFonts w:ascii="Arial" w:cs="Arial" w:eastAsia="Arial" w:hAnsi="Arial"/>
          <w:color w:val="333333"/>
          <w:sz w:val="22"/>
          <w:szCs w:val="22"/>
        </w:rPr>
        <w:t xml:space="preserve">AI Companion Message Bubble — with animated avatar, text content, and contextual action button.</w:t>
      </w:r>
    </w:p>
    <w:p>
      <w:pPr>
        <w:pStyle w:val="ListParagraph"/>
        <w:numPr>
          <w:ilvl w:val="0"/>
          <w:numId w:val="2"/>
        </w:numPr>
        <w:spacing w:after="60" w:before="60"/>
      </w:pPr>
      <w:r>
        <w:rPr>
          <w:rFonts w:ascii="Arial" w:cs="Arial" w:eastAsia="Arial" w:hAnsi="Arial"/>
          <w:b/>
          <w:bCs/>
          <w:color w:val="1B3A6B"/>
          <w:sz w:val="22"/>
          <w:szCs w:val="22"/>
        </w:rPr>
        <w:t xml:space="preserve">Priority 2: </w:t>
      </w:r>
      <w:r>
        <w:rPr>
          <w:rFonts w:ascii="Arial" w:cs="Arial" w:eastAsia="Arial" w:hAnsi="Arial"/>
          <w:color w:val="333333"/>
          <w:sz w:val="22"/>
          <w:szCs w:val="22"/>
        </w:rPr>
        <w:t xml:space="preserve">Credit Amount Display — large typographic component for showing credit limit and drawn amounts.</w:t>
      </w:r>
    </w:p>
    <w:p>
      <w:pPr>
        <w:pStyle w:val="ListParagraph"/>
        <w:numPr>
          <w:ilvl w:val="0"/>
          <w:numId w:val="2"/>
        </w:numPr>
        <w:spacing w:after="60" w:before="60"/>
      </w:pPr>
      <w:r>
        <w:rPr>
          <w:rFonts w:ascii="Arial" w:cs="Arial" w:eastAsia="Arial" w:hAnsi="Arial"/>
          <w:b/>
          <w:bCs/>
          <w:color w:val="1B3A6B"/>
          <w:sz w:val="22"/>
          <w:szCs w:val="22"/>
        </w:rPr>
        <w:t xml:space="preserve">Priority 3: </w:t>
      </w:r>
      <w:r>
        <w:rPr>
          <w:rFonts w:ascii="Arial" w:cs="Arial" w:eastAsia="Arial" w:hAnsi="Arial"/>
          <w:color w:val="333333"/>
          <w:sz w:val="22"/>
          <w:szCs w:val="22"/>
        </w:rPr>
        <w:t xml:space="preserve">Repayment Timeline Card — calendar-style horizontal scroll with due date markers.</w:t>
      </w:r>
    </w:p>
    <w:p>
      <w:pPr>
        <w:pStyle w:val="ListParagraph"/>
        <w:numPr>
          <w:ilvl w:val="0"/>
          <w:numId w:val="2"/>
        </w:numPr>
        <w:spacing w:after="60" w:before="60"/>
      </w:pPr>
      <w:r>
        <w:rPr>
          <w:rFonts w:ascii="Arial" w:cs="Arial" w:eastAsia="Arial" w:hAnsi="Arial"/>
          <w:b/>
          <w:bCs/>
          <w:color w:val="1B3A6B"/>
          <w:sz w:val="22"/>
          <w:szCs w:val="22"/>
        </w:rPr>
        <w:t xml:space="preserve">Priority 4: </w:t>
      </w:r>
      <w:r>
        <w:rPr>
          <w:rFonts w:ascii="Arial" w:cs="Arial" w:eastAsia="Arial" w:hAnsi="Arial"/>
          <w:color w:val="333333"/>
          <w:sz w:val="22"/>
          <w:szCs w:val="22"/>
        </w:rPr>
        <w:t xml:space="preserve">KYC Camera Guide Overlay — full-screen camera UI with AI-positioned guide frame and real-time feedback.</w:t>
      </w:r>
    </w:p>
    <w:p>
      <w:pPr>
        <w:pStyle w:val="ListParagraph"/>
        <w:numPr>
          <w:ilvl w:val="0"/>
          <w:numId w:val="2"/>
        </w:numPr>
        <w:spacing w:after="60" w:before="60"/>
      </w:pPr>
      <w:r>
        <w:rPr>
          <w:rFonts w:ascii="Arial" w:cs="Arial" w:eastAsia="Arial" w:hAnsi="Arial"/>
          <w:b/>
          <w:bCs/>
          <w:color w:val="1B3A6B"/>
          <w:sz w:val="22"/>
          <w:szCs w:val="22"/>
        </w:rPr>
        <w:t xml:space="preserve">Priority 5: </w:t>
      </w:r>
      <w:r>
        <w:rPr>
          <w:rFonts w:ascii="Arial" w:cs="Arial" w:eastAsia="Arial" w:hAnsi="Arial"/>
          <w:color w:val="333333"/>
          <w:sz w:val="22"/>
          <w:szCs w:val="22"/>
        </w:rPr>
        <w:t xml:space="preserve">Progress Indicator (Onboarding) — 3-step abstraction with active/complete/upcoming states.</w:t>
      </w:r>
    </w:p>
    <w:p>
      <w:pPr>
        <w:pStyle w:val="ListParagraph"/>
        <w:numPr>
          <w:ilvl w:val="0"/>
          <w:numId w:val="2"/>
        </w:numPr>
        <w:spacing w:after="60" w:before="60"/>
      </w:pPr>
      <w:r>
        <w:rPr>
          <w:rFonts w:ascii="Arial" w:cs="Arial" w:eastAsia="Arial" w:hAnsi="Arial"/>
          <w:b/>
          <w:bCs/>
          <w:color w:val="1B3A6B"/>
          <w:sz w:val="22"/>
          <w:szCs w:val="22"/>
        </w:rPr>
        <w:t xml:space="preserve">Priority 6: </w:t>
      </w:r>
      <w:r>
        <w:rPr>
          <w:rFonts w:ascii="Arial" w:cs="Arial" w:eastAsia="Arial" w:hAnsi="Arial"/>
          <w:color w:val="333333"/>
          <w:sz w:val="22"/>
          <w:szCs w:val="22"/>
        </w:rPr>
        <w:t xml:space="preserve">Compliance Badge Component — RBI/NBFC trust mark with tooltip.</w:t>
      </w:r>
    </w:p>
    <w:p>
      <w:pPr>
        <w:pStyle w:val="ListParagraph"/>
        <w:numPr>
          <w:ilvl w:val="0"/>
          <w:numId w:val="2"/>
        </w:numPr>
        <w:spacing w:after="60" w:before="60"/>
      </w:pPr>
      <w:r>
        <w:rPr>
          <w:rFonts w:ascii="Arial" w:cs="Arial" w:eastAsia="Arial" w:hAnsi="Arial"/>
          <w:b/>
          <w:bCs/>
          <w:color w:val="1B3A6B"/>
          <w:sz w:val="22"/>
          <w:szCs w:val="22"/>
        </w:rPr>
        <w:t xml:space="preserve">Priority 7: </w:t>
      </w:r>
      <w:r>
        <w:rPr>
          <w:rFonts w:ascii="Arial" w:cs="Arial" w:eastAsia="Arial" w:hAnsi="Arial"/>
          <w:color w:val="333333"/>
          <w:sz w:val="22"/>
          <w:szCs w:val="22"/>
        </w:rPr>
        <w:t xml:space="preserve">Contextual Consent Card — tiered consent UI with purpose label, plain-language description, and unchecked checkbox.</w:t>
      </w:r>
    </w:p>
    <w:p>
      <w:pPr>
        <w:spacing w:before="80"/>
      </w:pPr>
    </w:p>
    <w:p>
      <w:pPr>
        <w:pStyle w:val="Heading2"/>
        <w:spacing w:after="140" w:before="280"/>
      </w:pPr>
      <w:r>
        <w:rPr>
          <w:rFonts w:ascii="Arial" w:cs="Arial" w:eastAsia="Arial" w:hAnsi="Arial"/>
          <w:b/>
          <w:bCs/>
          <w:color w:val="2E75B6"/>
          <w:sz w:val="26"/>
          <w:szCs w:val="26"/>
        </w:rPr>
        <w:t xml:space="preserve">10.3 Analytics Instrumentation Priorities</w:t>
      </w:r>
    </w:p>
    <w:p>
      <w:pPr>
        <w:spacing w:after="80" w:before="80"/>
      </w:pPr>
      <w:r>
        <w:rPr>
          <w:rFonts w:ascii="Arial" w:cs="Arial" w:eastAsia="Arial" w:hAnsi="Arial"/>
          <w:color w:val="333333"/>
          <w:sz w:val="22"/>
          <w:szCs w:val="22"/>
        </w:rPr>
        <w:t xml:space="preserve">The following user behaviors must be instrumented in the first release to enable continuous UX intelligence:</w:t>
      </w:r>
    </w:p>
    <w:p>
      <w:pPr>
        <w:pStyle w:val="ListParagraph"/>
        <w:numPr>
          <w:ilvl w:val="0"/>
          <w:numId w:val="2"/>
        </w:numPr>
        <w:spacing w:after="60" w:before="60"/>
      </w:pPr>
      <w:r>
        <w:rPr>
          <w:rFonts w:ascii="Arial" w:cs="Arial" w:eastAsia="Arial" w:hAnsi="Arial"/>
          <w:b/>
          <w:bCs/>
          <w:color w:val="1B3A6B"/>
          <w:sz w:val="22"/>
          <w:szCs w:val="22"/>
        </w:rPr>
        <w:t xml:space="preserve">Funnel Intelligence: </w:t>
      </w:r>
      <w:r>
        <w:rPr>
          <w:rFonts w:ascii="Arial" w:cs="Arial" w:eastAsia="Arial" w:hAnsi="Arial"/>
          <w:color w:val="333333"/>
          <w:sz w:val="22"/>
          <w:szCs w:val="22"/>
        </w:rPr>
        <w:t xml:space="preserve">PAN Upload screen: dwell time, OCR failure rate, retry count, abandonment rate.</w:t>
      </w:r>
    </w:p>
    <w:p>
      <w:pPr>
        <w:pStyle w:val="ListParagraph"/>
        <w:numPr>
          <w:ilvl w:val="0"/>
          <w:numId w:val="2"/>
        </w:numPr>
        <w:spacing w:after="60" w:before="60"/>
      </w:pPr>
      <w:r>
        <w:rPr>
          <w:rFonts w:ascii="Arial" w:cs="Arial" w:eastAsia="Arial" w:hAnsi="Arial"/>
          <w:b/>
          <w:bCs/>
          <w:color w:val="1B3A6B"/>
          <w:sz w:val="22"/>
          <w:szCs w:val="22"/>
        </w:rPr>
        <w:t xml:space="preserve">Confusion Signals: </w:t>
      </w:r>
      <w:r>
        <w:rPr>
          <w:rFonts w:ascii="Arial" w:cs="Arial" w:eastAsia="Arial" w:hAnsi="Arial"/>
          <w:color w:val="333333"/>
          <w:sz w:val="22"/>
          <w:szCs w:val="22"/>
        </w:rPr>
        <w:t xml:space="preserve">Aadhaar screen: confusion signals (back navigation, rage taps), OTP resend rate.</w:t>
      </w:r>
    </w:p>
    <w:p>
      <w:pPr>
        <w:pStyle w:val="ListParagraph"/>
        <w:numPr>
          <w:ilvl w:val="0"/>
          <w:numId w:val="2"/>
        </w:numPr>
        <w:spacing w:after="60" w:before="60"/>
      </w:pPr>
      <w:r>
        <w:rPr>
          <w:rFonts w:ascii="Arial" w:cs="Arial" w:eastAsia="Arial" w:hAnsi="Arial"/>
          <w:b/>
          <w:bCs/>
          <w:color w:val="1B3A6B"/>
          <w:sz w:val="22"/>
          <w:szCs w:val="22"/>
        </w:rPr>
        <w:t xml:space="preserve">Engagement Quality: </w:t>
      </w:r>
      <w:r>
        <w:rPr>
          <w:rFonts w:ascii="Arial" w:cs="Arial" w:eastAsia="Arial" w:hAnsi="Arial"/>
          <w:color w:val="333333"/>
          <w:sz w:val="22"/>
          <w:szCs w:val="22"/>
        </w:rPr>
        <w:t xml:space="preserve">Credit Limit Reveal: scroll depth, time to first CTA tap, KFS read time.</w:t>
      </w:r>
    </w:p>
    <w:p>
      <w:pPr>
        <w:pStyle w:val="ListParagraph"/>
        <w:numPr>
          <w:ilvl w:val="0"/>
          <w:numId w:val="2"/>
        </w:numPr>
        <w:spacing w:after="60" w:before="60"/>
      </w:pPr>
      <w:r>
        <w:rPr>
          <w:rFonts w:ascii="Arial" w:cs="Arial" w:eastAsia="Arial" w:hAnsi="Arial"/>
          <w:b/>
          <w:bCs/>
          <w:color w:val="1B3A6B"/>
          <w:sz w:val="22"/>
          <w:szCs w:val="22"/>
        </w:rPr>
        <w:t xml:space="preserve">Repayment Health: </w:t>
      </w:r>
      <w:r>
        <w:rPr>
          <w:rFonts w:ascii="Arial" w:cs="Arial" w:eastAsia="Arial" w:hAnsi="Arial"/>
          <w:color w:val="333333"/>
          <w:sz w:val="22"/>
          <w:szCs w:val="22"/>
        </w:rPr>
        <w:t xml:space="preserve">Repayment dashboard: late payment rate by persona segment, partial payment rate.</w:t>
      </w:r>
    </w:p>
    <w:p>
      <w:pPr>
        <w:pStyle w:val="ListParagraph"/>
        <w:numPr>
          <w:ilvl w:val="0"/>
          <w:numId w:val="2"/>
        </w:numPr>
        <w:spacing w:after="60" w:before="60"/>
      </w:pPr>
      <w:r>
        <w:rPr>
          <w:rFonts w:ascii="Arial" w:cs="Arial" w:eastAsia="Arial" w:hAnsi="Arial"/>
          <w:b/>
          <w:bCs/>
          <w:color w:val="1B3A6B"/>
          <w:sz w:val="22"/>
          <w:szCs w:val="22"/>
        </w:rPr>
        <w:t xml:space="preserve">AI Effectiveness: </w:t>
      </w:r>
      <w:r>
        <w:rPr>
          <w:rFonts w:ascii="Arial" w:cs="Arial" w:eastAsia="Arial" w:hAnsi="Arial"/>
          <w:color w:val="333333"/>
          <w:sz w:val="22"/>
          <w:szCs w:val="22"/>
        </w:rPr>
        <w:t xml:space="preserve">AI companion interaction rate, resolution rate, escalation to human support rate.</w:t>
      </w:r>
    </w:p>
    <w:p>
      <w:pPr>
        <w:spacing w:before="80"/>
      </w:pPr>
    </w:p>
    <w:p>
      <w:pPr>
        <w:pBdr>
          <w:bottom w:val="single" w:color="2E75B6" w:sz="4" w:space="1"/>
        </w:pBdr>
        <w:spacing w:after="200" w:before="200"/>
      </w:pPr>
      <w:r>
        <w:t xml:space="preserve"/>
      </w:r>
    </w:p>
    <w:p>
      <w:pPr>
        <w:spacing w:after="80" w:before="200"/>
        <w:jc w:val="center"/>
      </w:pPr>
      <w:r>
        <w:rPr>
          <w:rFonts w:ascii="Arial" w:cs="Arial" w:eastAsia="Arial" w:hAnsi="Arial"/>
          <w:b/>
          <w:bCs/>
          <w:color w:val="1B3A6B"/>
          <w:sz w:val="26"/>
          <w:szCs w:val="26"/>
        </w:rPr>
        <w:t xml:space="preserve">CREDZO  —  MASTER DESIGN DIRECTION</w:t>
      </w:r>
    </w:p>
    <w:p>
      <w:pPr>
        <w:spacing w:after="40" w:before="0"/>
        <w:jc w:val="center"/>
      </w:pPr>
      <w:r>
        <w:rPr>
          <w:rFonts w:ascii="Arial" w:cs="Arial" w:eastAsia="Arial" w:hAnsi="Arial"/>
          <w:color w:val="999999"/>
          <w:sz w:val="18"/>
          <w:szCs w:val="18"/>
        </w:rPr>
        <w:t xml:space="preserve">Synthesized by: AI Product Design Synthesizer Agent</w:t>
      </w:r>
    </w:p>
    <w:p>
      <w:pPr>
        <w:spacing w:after="40" w:before="0"/>
        <w:jc w:val="center"/>
      </w:pPr>
      <w:r>
        <w:rPr>
          <w:rFonts w:ascii="Arial" w:cs="Arial" w:eastAsia="Arial" w:hAnsi="Arial"/>
          <w:color w:val="999999"/>
          <w:sz w:val="18"/>
          <w:szCs w:val="18"/>
        </w:rPr>
        <w:t xml:space="preserve">Sources: Research Intelligence  |  UX Strategy  |  Behavioral Personas  |  Emotional Journeys  |  Compliance Guidance</w:t>
      </w:r>
    </w:p>
    <w:p>
      <w:pPr>
        <w:jc w:val="center"/>
      </w:pPr>
      <w:r>
        <w:rPr>
          <w:rFonts w:ascii="Arial" w:cs="Arial" w:eastAsia="Arial" w:hAnsi="Arial"/>
          <w:b/>
          <w:bCs/>
          <w:color w:val="2E75B6"/>
          <w:sz w:val="18"/>
          <w:szCs w:val="18"/>
        </w:rPr>
        <w:t xml:space="preserve">Optimized for: Claude Design  |  Claude Code  |  Figma Workflows  |  AI-Assisted Prototyping  |  Analytics Instrumentation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CredZo AI UX Workspace  |  Master Design Direction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Master Design Direction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2026-05-11T06:53:04.705Z</dcterms:created>
  <dcterms:modified xsi:type="dcterms:W3CDTF">2026-05-11T06:53:04.705Z</dcterms:modified>
</cp:coreProperties>
</file>

<file path=docProps/custom.xml><?xml version="1.0" encoding="utf-8"?>
<Properties xmlns="http://schemas.openxmlformats.org/officeDocument/2006/custom-properties" xmlns:vt="http://schemas.openxmlformats.org/officeDocument/2006/docPropsVTypes"/>
</file>