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1B4FD8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200" w:type="dxa"/>
            </w:tcMar>
            <w:tcW w:w="9360" w:type="dxa"/>
            <w:shd w:val="clear" w:color="auto" w:fill="1B4FD8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0" w:type="dxa"/>
              <w:left w:w="400" w:type="dxa"/>
              <w:bottom w:w="300" w:type="dxa"/>
              <w:right w:w="4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D6E4FF"/>
                <w:sz w:val="18"/>
              </w:rPr>
              <w:t>AI-NATIVE FINTECH UX SYSTEM</w:t>
              <w:br/>
            </w:r>
            <w:r>
              <w:rPr>
                <w:rFonts w:ascii="Arial" w:hAnsi="Arial"/>
                <w:b/>
                <w:i w:val="0"/>
                <w:color w:val="FFFFFF"/>
                <w:sz w:val="56"/>
              </w:rPr>
              <w:t>LENDING &amp; CREDIT APP</w:t>
              <w:br/>
            </w:r>
            <w:r>
              <w:rPr>
                <w:rFonts w:ascii="Arial" w:hAnsi="Arial"/>
                <w:b w:val="0"/>
                <w:i/>
                <w:color w:val="D6E4FF"/>
                <w:sz w:val="28"/>
              </w:rPr>
              <w:t>Full UX Strategy Report</w:t>
            </w:r>
          </w:p>
        </w:tc>
      </w:tr>
    </w:tbl>
    <w:p>
      <w:pPr>
        <w:spacing w:before="0" w:after="24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7F9FC"/>
            <w:tcBorders>
              <w:top w:val="single" w:sz="4" w:space="0" w:color="D6E4FF"/>
              <w:left w:val="single" w:sz="4" w:space="0" w:color="D6E4FF"/>
              <w:bottom w:val="single" w:sz="4" w:space="0" w:color="D6E4FF"/>
              <w:right w:val="single" w:sz="4" w:space="0" w:color="D6E4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tcW w:w="2340" w:type="dxa"/>
          </w:tcPr>
          <w:p>
            <w:r/>
            <w:r>
              <w:rPr>
                <w:rFonts w:ascii="Arial" w:hAnsi="Arial"/>
                <w:b/>
                <w:i w:val="0"/>
                <w:color w:val="1B4FD8"/>
                <w:sz w:val="16"/>
              </w:rPr>
              <w:t>Prepared For</w:t>
              <w:br/>
            </w:r>
            <w:r>
              <w:rPr>
                <w:rFonts w:ascii="Arial" w:hAnsi="Arial"/>
                <w:b w:val="0"/>
                <w:i w:val="0"/>
                <w:color w:val="1A202C"/>
                <w:sz w:val="20"/>
              </w:rPr>
              <w:t>Nataraj</w:t>
            </w:r>
          </w:p>
        </w:tc>
        <w:tc>
          <w:tcPr>
            <w:tcW w:type="dxa" w:w="2340"/>
            <w:shd w:val="clear" w:color="auto" w:fill="F7F9FC"/>
            <w:tcBorders>
              <w:top w:val="single" w:sz="4" w:space="0" w:color="D6E4FF"/>
              <w:left w:val="single" w:sz="4" w:space="0" w:color="D6E4FF"/>
              <w:bottom w:val="single" w:sz="4" w:space="0" w:color="D6E4FF"/>
              <w:right w:val="single" w:sz="4" w:space="0" w:color="D6E4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tcW w:w="2340" w:type="dxa"/>
          </w:tcPr>
          <w:p>
            <w:r/>
            <w:r>
              <w:rPr>
                <w:rFonts w:ascii="Arial" w:hAnsi="Arial"/>
                <w:b/>
                <w:i w:val="0"/>
                <w:color w:val="1B4FD8"/>
                <w:sz w:val="16"/>
              </w:rPr>
              <w:t>Date</w:t>
              <w:br/>
            </w:r>
            <w:r>
              <w:rPr>
                <w:rFonts w:ascii="Arial" w:hAnsi="Arial"/>
                <w:b w:val="0"/>
                <w:i w:val="0"/>
                <w:color w:val="1A202C"/>
                <w:sz w:val="20"/>
              </w:rPr>
              <w:t>May 11, 2026</w:t>
            </w:r>
          </w:p>
        </w:tc>
        <w:tc>
          <w:tcPr>
            <w:tcW w:type="dxa" w:w="2340"/>
            <w:shd w:val="clear" w:color="auto" w:fill="F7F9FC"/>
            <w:tcBorders>
              <w:top w:val="single" w:sz="4" w:space="0" w:color="D6E4FF"/>
              <w:left w:val="single" w:sz="4" w:space="0" w:color="D6E4FF"/>
              <w:bottom w:val="single" w:sz="4" w:space="0" w:color="D6E4FF"/>
              <w:right w:val="single" w:sz="4" w:space="0" w:color="D6E4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tcW w:w="2340" w:type="dxa"/>
          </w:tcPr>
          <w:p>
            <w:r/>
            <w:r>
              <w:rPr>
                <w:rFonts w:ascii="Arial" w:hAnsi="Arial"/>
                <w:b/>
                <w:i w:val="0"/>
                <w:color w:val="1B4FD8"/>
                <w:sz w:val="16"/>
              </w:rPr>
              <w:t>Version</w:t>
              <w:br/>
            </w:r>
            <w:r>
              <w:rPr>
                <w:rFonts w:ascii="Arial" w:hAnsi="Arial"/>
                <w:b w:val="0"/>
                <w:i w:val="0"/>
                <w:color w:val="1A202C"/>
                <w:sz w:val="20"/>
              </w:rPr>
              <w:t>1.0</w:t>
            </w:r>
          </w:p>
        </w:tc>
        <w:tc>
          <w:tcPr>
            <w:tcW w:type="dxa" w:w="2340"/>
            <w:shd w:val="clear" w:color="auto" w:fill="F7F9FC"/>
            <w:tcBorders>
              <w:top w:val="single" w:sz="4" w:space="0" w:color="D6E4FF"/>
              <w:left w:val="single" w:sz="4" w:space="0" w:color="D6E4FF"/>
              <w:bottom w:val="single" w:sz="4" w:space="0" w:color="D6E4FF"/>
              <w:right w:val="single" w:sz="4" w:space="0" w:color="D6E4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tcW w:w="2340" w:type="dxa"/>
          </w:tcPr>
          <w:p>
            <w:r/>
            <w:r>
              <w:rPr>
                <w:rFonts w:ascii="Arial" w:hAnsi="Arial"/>
                <w:b/>
                <w:i w:val="0"/>
                <w:color w:val="1B4FD8"/>
                <w:sz w:val="16"/>
              </w:rPr>
              <w:t>Classification</w:t>
              <w:br/>
            </w:r>
            <w:r>
              <w:rPr>
                <w:rFonts w:ascii="Arial" w:hAnsi="Arial"/>
                <w:b w:val="0"/>
                <w:i w:val="0"/>
                <w:color w:val="1A202C"/>
                <w:sz w:val="20"/>
              </w:rPr>
              <w:t>Confidential</w:t>
            </w:r>
          </w:p>
        </w:tc>
      </w:tr>
    </w:tbl>
    <w:p>
      <w:pPr>
        <w:spacing w:before="0" w:after="24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FFFFFF"/>
            <w:tcBorders>
              <w:top w:val="single" w:sz="4" w:space="0" w:color="1B4FD8"/>
              <w:left w:val="single" w:sz="4" w:space="0" w:color="1B4FD8"/>
              <w:bottom w:val="single" w:sz="4" w:space="0" w:color="1B4FD8"/>
              <w:right w:val="single" w:sz="4" w:space="0" w:color="1B4FD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tcW w:w="156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1B4FD8"/>
                <w:sz w:val="28"/>
              </w:rPr>
              <w:t>01</w:t>
              <w:br/>
            </w:r>
            <w:r>
              <w:rPr>
                <w:rFonts w:ascii="Arial" w:hAnsi="Arial"/>
                <w:b w:val="0"/>
                <w:i w:val="0"/>
                <w:color w:val="4A5568"/>
                <w:sz w:val="15"/>
              </w:rPr>
              <w:t>Research Analyst</w:t>
            </w:r>
          </w:p>
        </w:tc>
        <w:tc>
          <w:tcPr>
            <w:tcW w:type="dxa" w:w="1560"/>
            <w:shd w:val="clear" w:color="auto" w:fill="FFFFFF"/>
            <w:tcBorders>
              <w:top w:val="single" w:sz="4" w:space="0" w:color="00A878"/>
              <w:left w:val="single" w:sz="4" w:space="0" w:color="00A878"/>
              <w:bottom w:val="single" w:sz="4" w:space="0" w:color="00A878"/>
              <w:right w:val="single" w:sz="4" w:space="0" w:color="00A87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tcW w:w="156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00A878"/>
                <w:sz w:val="28"/>
              </w:rPr>
              <w:t>02</w:t>
              <w:br/>
            </w:r>
            <w:r>
              <w:rPr>
                <w:rFonts w:ascii="Arial" w:hAnsi="Arial"/>
                <w:b w:val="0"/>
                <w:i w:val="0"/>
                <w:color w:val="4A5568"/>
                <w:sz w:val="15"/>
              </w:rPr>
              <w:t>UX Strategist</w:t>
            </w:r>
          </w:p>
        </w:tc>
        <w:tc>
          <w:tcPr>
            <w:tcW w:type="dxa" w:w="1560"/>
            <w:shd w:val="clear" w:color="auto" w:fill="FFFFFF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tcW w:w="156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7C3AED"/>
                <w:sz w:val="28"/>
              </w:rPr>
              <w:t>03</w:t>
              <w:br/>
            </w:r>
            <w:r>
              <w:rPr>
                <w:rFonts w:ascii="Arial" w:hAnsi="Arial"/>
                <w:b w:val="0"/>
                <w:i w:val="0"/>
                <w:color w:val="4A5568"/>
                <w:sz w:val="15"/>
              </w:rPr>
              <w:t>Persona Architect</w:t>
            </w:r>
          </w:p>
        </w:tc>
        <w:tc>
          <w:tcPr>
            <w:tcW w:type="dxa" w:w="1560"/>
            <w:shd w:val="clear" w:color="auto" w:fill="FFFFFF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tcW w:w="156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D97706"/>
                <w:sz w:val="28"/>
              </w:rPr>
              <w:t>04</w:t>
              <w:br/>
            </w:r>
            <w:r>
              <w:rPr>
                <w:rFonts w:ascii="Arial" w:hAnsi="Arial"/>
                <w:b w:val="0"/>
                <w:i w:val="0"/>
                <w:color w:val="4A5568"/>
                <w:sz w:val="15"/>
              </w:rPr>
              <w:t>Journey Architect</w:t>
            </w:r>
          </w:p>
        </w:tc>
        <w:tc>
          <w:tcPr>
            <w:tcW w:type="dxa" w:w="1560"/>
            <w:shd w:val="clear" w:color="auto" w:fill="FFFFFF"/>
            <w:tcBorders>
              <w:top w:val="single" w:sz="4" w:space="0" w:color="E53E3E"/>
              <w:left w:val="single" w:sz="4" w:space="0" w:color="E53E3E"/>
              <w:bottom w:val="single" w:sz="4" w:space="0" w:color="E53E3E"/>
              <w:right w:val="single" w:sz="4" w:space="0" w:color="E53E3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tcW w:w="156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E53E3E"/>
                <w:sz w:val="28"/>
              </w:rPr>
              <w:t>05</w:t>
              <w:br/>
            </w:r>
            <w:r>
              <w:rPr>
                <w:rFonts w:ascii="Arial" w:hAnsi="Arial"/>
                <w:b w:val="0"/>
                <w:i w:val="0"/>
                <w:color w:val="4A5568"/>
                <w:sz w:val="15"/>
              </w:rPr>
              <w:t>Compliance Reviewer</w:t>
            </w:r>
          </w:p>
        </w:tc>
        <w:tc>
          <w:tcPr>
            <w:tcW w:type="dxa" w:w="1560"/>
            <w:shd w:val="clear" w:color="auto" w:fill="FFFFFF"/>
            <w:tcBorders>
              <w:top w:val="single" w:sz="4" w:space="0" w:color="0891B2"/>
              <w:left w:val="single" w:sz="4" w:space="0" w:color="0891B2"/>
              <w:bottom w:val="single" w:sz="4" w:space="0" w:color="0891B2"/>
              <w:right w:val="single" w:sz="4" w:space="0" w:color="0891B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tcW w:w="156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0891B2"/>
                <w:sz w:val="28"/>
              </w:rPr>
              <w:t>06</w:t>
              <w:br/>
            </w:r>
            <w:r>
              <w:rPr>
                <w:rFonts w:ascii="Arial" w:hAnsi="Arial"/>
                <w:b w:val="0"/>
                <w:i w:val="0"/>
                <w:color w:val="4A5568"/>
                <w:sz w:val="15"/>
              </w:rPr>
              <w:t>Design Synthesizer</w:t>
            </w:r>
          </w:p>
        </w:tc>
      </w:tr>
    </w:tbl>
    <w:p>
      <w:pPr>
        <w:spacing w:before="0" w:after="240"/>
      </w:pPr>
    </w:p>
    <w:p>
      <w:r>
        <w:br w:type="page"/>
      </w:r>
    </w:p>
    <w:p>
      <w:pPr>
        <w:spacing w:before="360" w:after="160"/>
        <w:pBdr>
          <w:bottom w:val="single" w:sz="6" w:space="4" w:color="D6E4FF"/>
        </w:pBdr>
      </w:pPr>
      <w:r>
        <w:rPr>
          <w:rFonts w:ascii="Arial" w:hAnsi="Arial"/>
          <w:b/>
          <w:color w:val="1B4FD8"/>
          <w:sz w:val="36"/>
        </w:rPr>
        <w:t>Executive Summary</w:t>
      </w:r>
    </w:p>
    <w:p>
      <w:pPr>
        <w:spacing w:before="80" w:after="80"/>
      </w:pPr>
      <w:r>
        <w:rPr>
          <w:rFonts w:ascii="Arial" w:hAnsi="Arial"/>
          <w:i w:val="0"/>
          <w:color w:val="1A202C"/>
          <w:sz w:val="21"/>
        </w:rPr>
        <w:t>This report presents the output of a six-agent AI UX Workflow Orchestration for an AI-native Lending &amp; Credit App. Six specialized agents — Research Analyst, UX Strategist, Persona Architect, Journey Architect, Compliance Reviewer, and Design Synthesizer — collaborated sequentially to produce a coherent, trust-first UX system optimized for Claude Design, Claude Code, and Figma workflows.</w:t>
      </w:r>
    </w:p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D6E4FF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200" w:type="dxa"/>
            </w:tcMar>
            <w:tcW w:w="9360" w:type="dxa"/>
            <w:tcBorders>
              <w:left w:val="single" w:sz="20" w:space="0" w:color="1B4FD8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1B4FD8"/>
                <w:sz w:val="20"/>
              </w:rPr>
              <w:t>Strategic North Star: Design a lending product where AI acts as a financial coach — not a gatekeeper. Every interaction must build trust, reduce anxiety, and empower borrowers to make informed decisions.</w:t>
            </w:r>
          </w:p>
        </w:tc>
      </w:tr>
    </w:tbl>
    <w:p>
      <w:pPr>
        <w:spacing w:before="0" w:after="160"/>
      </w:pPr>
    </w:p>
    <w:p>
      <w:pPr>
        <w:spacing w:before="160" w:after="160"/>
      </w:pPr>
      <w:r>
        <w:rPr>
          <w:rFonts w:ascii="Arial" w:hAnsi="Arial"/>
          <w:b/>
          <w:color w:val="1B4FD8"/>
          <w:sz w:val="26"/>
        </w:rPr>
        <w:t>Key Findings at a Glance</w:t>
      </w: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6E4FF"/>
            <w:tcBorders>
              <w:top w:val="single" w:sz="4" w:space="0" w:color="1B4FD8"/>
              <w:left w:val="single" w:sz="4" w:space="0" w:color="1B4FD8"/>
              <w:bottom w:val="single" w:sz="4" w:space="0" w:color="1B4FD8"/>
              <w:right w:val="single" w:sz="4" w:space="0" w:color="1B4FD8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tcW w:w="3120" w:type="dxa"/>
          </w:tcPr>
          <w:p>
            <w:r/>
            <w:r>
              <w:rPr>
                <w:rFonts w:ascii="Arial" w:hAnsi="Arial"/>
                <w:b/>
                <w:i w:val="0"/>
                <w:color w:val="1B4FD8"/>
                <w:sz w:val="16"/>
              </w:rPr>
              <w:t>01  Research</w:t>
              <w:br/>
            </w:r>
            <w:r>
              <w:rPr>
                <w:rFonts w:ascii="Arial" w:hAnsi="Arial"/>
                <w:b/>
                <w:i w:val="0"/>
                <w:color w:val="1A202C"/>
                <w:sz w:val="22"/>
              </w:rPr>
              <w:t>Market Opportunity</w:t>
              <w:br/>
            </w:r>
            <w:r>
              <w:rPr>
                <w:rFonts w:ascii="Arial" w:hAnsi="Arial"/>
                <w:b w:val="0"/>
                <w:i w:val="0"/>
                <w:color w:val="4A5568"/>
                <w:sz w:val="18"/>
              </w:rPr>
              <w:t>$71.8B digital lending market by 2032. Trust is the #1 conversion driver — above rate.</w:t>
            </w:r>
          </w:p>
        </w:tc>
        <w:tc>
          <w:tcPr>
            <w:tcW w:type="dxa" w:w="3120"/>
            <w:shd w:val="clear" w:color="auto" w:fill="D6F5EE"/>
            <w:tcBorders>
              <w:top w:val="single" w:sz="4" w:space="0" w:color="00A878"/>
              <w:left w:val="single" w:sz="4" w:space="0" w:color="00A878"/>
              <w:bottom w:val="single" w:sz="4" w:space="0" w:color="00A878"/>
              <w:right w:val="single" w:sz="4" w:space="0" w:color="00A878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tcW w:w="3120" w:type="dxa"/>
          </w:tcPr>
          <w:p>
            <w:r/>
            <w:r>
              <w:rPr>
                <w:rFonts w:ascii="Arial" w:hAnsi="Arial"/>
                <w:b/>
                <w:i w:val="0"/>
                <w:color w:val="00A878"/>
                <w:sz w:val="16"/>
              </w:rPr>
              <w:t>02  Strategy</w:t>
              <w:br/>
            </w:r>
            <w:r>
              <w:rPr>
                <w:rFonts w:ascii="Arial" w:hAnsi="Arial"/>
                <w:b/>
                <w:i w:val="0"/>
                <w:color w:val="1A202C"/>
                <w:sz w:val="22"/>
              </w:rPr>
              <w:t>UX Strategic Priority</w:t>
              <w:br/>
            </w:r>
            <w:r>
              <w:rPr>
                <w:rFonts w:ascii="Arial" w:hAnsi="Arial"/>
                <w:b w:val="0"/>
                <w:i w:val="0"/>
                <w:color w:val="4A5568"/>
                <w:sz w:val="18"/>
              </w:rPr>
              <w:t>Radical Transparency + AI Coach model. Zero-surprise design with explainable decisions.</w:t>
            </w:r>
          </w:p>
        </w:tc>
        <w:tc>
          <w:tcPr>
            <w:tcW w:type="dxa" w:w="3120"/>
            <w:shd w:val="clear" w:color="auto" w:fill="FEE2E2"/>
            <w:tcBorders>
              <w:top w:val="single" w:sz="4" w:space="0" w:color="E53E3E"/>
              <w:left w:val="single" w:sz="4" w:space="0" w:color="E53E3E"/>
              <w:bottom w:val="single" w:sz="4" w:space="0" w:color="E53E3E"/>
              <w:right w:val="single" w:sz="4" w:space="0" w:color="E53E3E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tcW w:w="3120" w:type="dxa"/>
          </w:tcPr>
          <w:p>
            <w:r/>
            <w:r>
              <w:rPr>
                <w:rFonts w:ascii="Arial" w:hAnsi="Arial"/>
                <w:b/>
                <w:i w:val="0"/>
                <w:color w:val="E53E3E"/>
                <w:sz w:val="16"/>
              </w:rPr>
              <w:t>05  Compliance</w:t>
              <w:br/>
            </w:r>
            <w:r>
              <w:rPr>
                <w:rFonts w:ascii="Arial" w:hAnsi="Arial"/>
                <w:b/>
                <w:i w:val="0"/>
                <w:color w:val="1A202C"/>
                <w:sz w:val="22"/>
              </w:rPr>
              <w:t>Top Compliance Risk</w:t>
              <w:br/>
            </w:r>
            <w:r>
              <w:rPr>
                <w:rFonts w:ascii="Arial" w:hAnsi="Arial"/>
                <w:b w:val="0"/>
                <w:i w:val="0"/>
                <w:color w:val="4A5568"/>
                <w:sz w:val="18"/>
              </w:rPr>
              <w:t>Adverse action notices must be human-readable. Soft check disclosure required upfront.</w:t>
            </w:r>
          </w:p>
        </w:tc>
      </w:tr>
    </w:tbl>
    <w:p>
      <w:r>
        <w:br w:type="page"/>
      </w:r>
    </w:p>
    <w:p>
      <w:pPr>
        <w:spacing w:before="360" w:after="160"/>
        <w:pBdr>
          <w:bottom w:val="single" w:sz="6" w:space="4" w:color="D6E4FF"/>
        </w:pBdr>
      </w:pPr>
      <w:r>
        <w:rPr>
          <w:rFonts w:ascii="Arial" w:hAnsi="Arial"/>
          <w:b/>
          <w:color w:val="1B4FD8"/>
          <w:sz w:val="36"/>
        </w:rPr>
        <w:t>01  Market &amp; User Research</w:t>
      </w:r>
    </w:p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1B4FD8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200" w:type="dxa"/>
            </w:tcMar>
            <w:tcW w:w="936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AGENT 1  —  RESEARCH ANALYST</w:t>
            </w:r>
          </w:p>
        </w:tc>
      </w:tr>
    </w:tbl>
    <w:p>
      <w:pPr>
        <w:spacing w:before="0" w:after="120"/>
      </w:pPr>
    </w:p>
    <w:p>
      <w:pPr>
        <w:spacing w:before="160" w:after="160"/>
      </w:pPr>
      <w:r>
        <w:rPr>
          <w:rFonts w:ascii="Arial" w:hAnsi="Arial"/>
          <w:b/>
          <w:color w:val="1B4FD8"/>
          <w:sz w:val="26"/>
        </w:rPr>
        <w:t>1.1  Market Landscape</w:t>
      </w:r>
    </w:p>
    <w:p>
      <w:pPr>
        <w:spacing w:before="80" w:after="80"/>
      </w:pPr>
      <w:r>
        <w:rPr>
          <w:rFonts w:ascii="Arial" w:hAnsi="Arial"/>
          <w:i w:val="0"/>
          <w:color w:val="1A202C"/>
          <w:sz w:val="21"/>
        </w:rPr>
        <w:t>The digital lending market is undergoing a structural transformation driven by AI-powered underwriting, open banking, and shifting consumer expectations around transparency and speed. Three macro forces are reshaping the space:</w:t>
      </w:r>
    </w:p>
    <w:p>
      <w:pPr>
        <w:spacing w:before="0" w:after="80"/>
      </w:pPr>
    </w:p>
    <w:p>
      <w:pPr>
        <w:pStyle w:val="ListBullet"/>
        <w:spacing w:before="40" w:after="40"/>
        <w:ind w:left="432"/>
      </w:pPr>
      <w:r>
        <w:rPr>
          <w:rFonts w:ascii="Arial" w:hAnsi="Arial"/>
          <w:b/>
          <w:color w:val="1A202C"/>
          <w:sz w:val="21"/>
        </w:rPr>
        <w:t>AI-Native Underwriting: Machine learning models now process 80%+ of loan decisions at leading fintechs, reducing decision time from days to seconds while improving accuracy across non-traditional credit profiles.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/>
          <w:color w:val="1A202C"/>
          <w:sz w:val="21"/>
        </w:rPr>
        <w:t>Alternative Credit Data: Rent payments, utility bills, subscription services, and cash flow patterns are increasingly accepted as creditworthiness signals, opening lending to the 45M credit-invisible Americans.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/>
          <w:color w:val="1A202C"/>
          <w:sz w:val="21"/>
        </w:rPr>
        <w:t>Open Banking Integration: Real-time bank account access enables income verification in under 30 seconds, eliminating document friction that causes 27% of application abandonment.</w:t>
      </w:r>
    </w:p>
    <w:p>
      <w:pPr>
        <w:spacing w:before="0" w:after="120"/>
      </w:pPr>
    </w:p>
    <w:p>
      <w:pPr>
        <w:spacing w:before="80" w:after="160"/>
      </w:pPr>
      <w:r>
        <w:rPr>
          <w:rFonts w:ascii="Arial" w:hAnsi="Arial"/>
          <w:b/>
          <w:color w:val="4A5568"/>
          <w:sz w:val="22"/>
        </w:rPr>
        <w:t>Market Size &amp; Key Benchmarks</w:t>
      </w: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4FD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1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2340"/>
            <w:shd w:val="clear" w:color="auto" w:fill="1B4FD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58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Value</w:t>
            </w:r>
          </w:p>
        </w:tc>
        <w:tc>
          <w:tcPr>
            <w:tcW w:type="dxa" w:w="2340"/>
            <w:shd w:val="clear" w:color="auto" w:fill="1B4FD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1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Behavior</w:t>
            </w:r>
          </w:p>
        </w:tc>
        <w:tc>
          <w:tcPr>
            <w:tcW w:type="dxa" w:w="2340"/>
            <w:shd w:val="clear" w:color="auto" w:fill="1B4FD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58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Benchmark</w:t>
            </w:r>
          </w:p>
        </w:tc>
      </w:tr>
      <w:tr>
        <w:tc>
          <w:tcPr>
            <w:tcW w:type="dxa" w:w="2340"/>
            <w:shd w:val="clear" w:color="auto" w:fill="D6E4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1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8"/>
              </w:rPr>
              <w:t>2024 Market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58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$12.1B global</w:t>
            </w:r>
          </w:p>
        </w:tc>
        <w:tc>
          <w:tcPr>
            <w:tcW w:type="dxa" w:w="2340"/>
            <w:shd w:val="clear" w:color="auto" w:fill="D6E4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1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8"/>
              </w:rPr>
              <w:t>Mobile-first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58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73% start on mobile</w:t>
            </w:r>
          </w:p>
        </w:tc>
      </w:tr>
      <w:tr>
        <w:tc>
          <w:tcPr>
            <w:tcW w:type="dxa" w:w="234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1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8"/>
              </w:rPr>
              <w:t>2032 Projection</w:t>
            </w:r>
          </w:p>
        </w:tc>
        <w:tc>
          <w:tcPr>
            <w:tcW w:type="dxa" w:w="234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58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$71.8B</w:t>
            </w:r>
          </w:p>
        </w:tc>
        <w:tc>
          <w:tcPr>
            <w:tcW w:type="dxa" w:w="234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1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8"/>
              </w:rPr>
              <w:t>Soft check</w:t>
            </w:r>
          </w:p>
        </w:tc>
        <w:tc>
          <w:tcPr>
            <w:tcW w:type="dxa" w:w="234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58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Now a baseline UX req.</w:t>
            </w:r>
          </w:p>
        </w:tc>
      </w:tr>
      <w:tr>
        <w:tc>
          <w:tcPr>
            <w:tcW w:type="dxa" w:w="2340"/>
            <w:shd w:val="clear" w:color="auto" w:fill="D6E4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1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8"/>
              </w:rPr>
              <w:t>CAGR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58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24.8%</w:t>
            </w:r>
          </w:p>
        </w:tc>
        <w:tc>
          <w:tcPr>
            <w:tcW w:type="dxa" w:w="2340"/>
            <w:shd w:val="clear" w:color="auto" w:fill="D6E4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1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8"/>
              </w:rPr>
              <w:t>AI acceptance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58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64% OK with AI + explanation</w:t>
            </w:r>
          </w:p>
        </w:tc>
      </w:tr>
      <w:tr>
        <w:tc>
          <w:tcPr>
            <w:tcW w:type="dxa" w:w="234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1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8"/>
              </w:rPr>
              <w:t>AI in lending</w:t>
            </w:r>
          </w:p>
        </w:tc>
        <w:tc>
          <w:tcPr>
            <w:tcW w:type="dxa" w:w="234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58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$3.6B (35% CAGR)</w:t>
            </w:r>
          </w:p>
        </w:tc>
        <w:tc>
          <w:tcPr>
            <w:tcW w:type="dxa" w:w="234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1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8"/>
              </w:rPr>
              <w:t>Drop-off: upload</w:t>
            </w:r>
          </w:p>
        </w:tc>
        <w:tc>
          <w:tcPr>
            <w:tcW w:type="dxa" w:w="234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58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38% abandon at doc upload</w:t>
            </w:r>
          </w:p>
        </w:tc>
      </w:tr>
      <w:tr>
        <w:tc>
          <w:tcPr>
            <w:tcW w:type="dxa" w:w="2340"/>
            <w:shd w:val="clear" w:color="auto" w:fill="D6E4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1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8"/>
              </w:rPr>
              <w:t>Credit invisible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58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45M Americans</w:t>
            </w:r>
          </w:p>
        </w:tc>
        <w:tc>
          <w:tcPr>
            <w:tcW w:type="dxa" w:w="2340"/>
            <w:shd w:val="clear" w:color="auto" w:fill="D6E4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1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8"/>
              </w:rPr>
              <w:t>Trust vs. rate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58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#1 conversion driver</w:t>
            </w:r>
          </w:p>
        </w:tc>
      </w:tr>
    </w:tbl>
    <w:p>
      <w:pPr>
        <w:spacing w:before="0" w:after="160"/>
      </w:pPr>
    </w:p>
    <w:p>
      <w:pPr>
        <w:spacing w:before="80" w:after="160"/>
      </w:pPr>
      <w:r>
        <w:rPr>
          <w:rFonts w:ascii="Arial" w:hAnsi="Arial"/>
          <w:b/>
          <w:color w:val="1B4FD8"/>
          <w:sz w:val="26"/>
        </w:rPr>
        <w:t>1.2  Competitive Landscape</w:t>
      </w:r>
    </w:p>
    <w:p>
      <w:pPr>
        <w:spacing w:before="80" w:after="80"/>
      </w:pPr>
      <w:r>
        <w:rPr>
          <w:rFonts w:ascii="Arial" w:hAnsi="Arial"/>
          <w:i w:val="0"/>
          <w:color w:val="1A202C"/>
          <w:sz w:val="21"/>
        </w:rPr>
        <w:t>The lending space is bifurcating into trust-led AI platforms and rate-driven commodity products. Winning products will compete on experience, not price.</w:t>
      </w:r>
    </w:p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4FD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6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Competitor</w:t>
            </w:r>
          </w:p>
        </w:tc>
        <w:tc>
          <w:tcPr>
            <w:tcW w:type="dxa" w:w="2340"/>
            <w:shd w:val="clear" w:color="auto" w:fill="1B4FD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5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Strength</w:t>
            </w:r>
          </w:p>
        </w:tc>
        <w:tc>
          <w:tcPr>
            <w:tcW w:type="dxa" w:w="2340"/>
            <w:shd w:val="clear" w:color="auto" w:fill="1B4FD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6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UX Weakness</w:t>
            </w:r>
          </w:p>
        </w:tc>
        <w:tc>
          <w:tcPr>
            <w:tcW w:type="dxa" w:w="2340"/>
            <w:shd w:val="clear" w:color="auto" w:fill="1B4FD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Opportunity Gap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6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8"/>
              </w:rPr>
              <w:t>Upstart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5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ML underwriting, 80%+ automation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6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Opaque AI decisions, no coaching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Explainability + post-loan coaching</w:t>
            </w:r>
          </w:p>
        </w:tc>
      </w:tr>
      <w:tr>
        <w:tc>
          <w:tcPr>
            <w:tcW w:type="dxa" w:w="234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6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8"/>
              </w:rPr>
              <w:t>SoFi</w:t>
            </w:r>
          </w:p>
        </w:tc>
        <w:tc>
          <w:tcPr>
            <w:tcW w:type="dxa" w:w="234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5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Full financial ecosystem, strong brand</w:t>
            </w:r>
          </w:p>
        </w:tc>
        <w:tc>
          <w:tcPr>
            <w:tcW w:type="dxa" w:w="234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6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Complex navigation, feature overload</w:t>
            </w:r>
          </w:p>
        </w:tc>
        <w:tc>
          <w:tcPr>
            <w:tcW w:type="dxa" w:w="234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Focused lending UX, streamlined flow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6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8"/>
              </w:rPr>
              <w:t>LendingClub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5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Marketplace model, rate competition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6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Dated UI, low emotional resonance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AI-powered offer personalization</w:t>
            </w:r>
          </w:p>
        </w:tc>
      </w:tr>
      <w:tr>
        <w:tc>
          <w:tcPr>
            <w:tcW w:type="dxa" w:w="234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6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8"/>
              </w:rPr>
              <w:t>Affirm</w:t>
            </w:r>
          </w:p>
        </w:tc>
        <w:tc>
          <w:tcPr>
            <w:tcW w:type="dxa" w:w="234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5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BNPL trust, POS integration</w:t>
            </w:r>
          </w:p>
        </w:tc>
        <w:tc>
          <w:tcPr>
            <w:tcW w:type="dxa" w:w="234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6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Limited long-term lending UX</w:t>
            </w:r>
          </w:p>
        </w:tc>
        <w:tc>
          <w:tcPr>
            <w:tcW w:type="dxa" w:w="234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Installment loan coaching layer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6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8"/>
              </w:rPr>
              <w:t>Chime Credit Builder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5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No-fee, accessible model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6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Limited loan amounts, no AI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AI credit-building guidance</w:t>
            </w:r>
          </w:p>
        </w:tc>
      </w:tr>
    </w:tbl>
    <w:p>
      <w:pPr>
        <w:spacing w:before="0" w:after="160"/>
      </w:pPr>
    </w:p>
    <w:p>
      <w:pPr>
        <w:spacing w:before="80" w:after="160"/>
      </w:pPr>
      <w:r>
        <w:rPr>
          <w:rFonts w:ascii="Arial" w:hAnsi="Arial"/>
          <w:b/>
          <w:color w:val="1B4FD8"/>
          <w:sz w:val="26"/>
        </w:rPr>
        <w:t>1.3  User Pain Points</w:t>
      </w: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D6E4FF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200" w:type="dxa"/>
            </w:tcMar>
            <w:tcW w:w="9360" w:type="dxa"/>
            <w:tcBorders>
              <w:left w:val="single" w:sz="20" w:space="0" w:color="1B4FD8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1B4FD8"/>
                <w:sz w:val="20"/>
              </w:rPr>
              <w:t>Critical Insight: Trust is the #1 conversion driver in lending UX — outranking interest rate. Users who feel confident in the process convert at 3.2x the rate of users who feel uncertain, even when offered a higher APR.</w:t>
            </w:r>
          </w:p>
        </w:tc>
      </w:tr>
    </w:tbl>
    <w:p>
      <w:pPr>
        <w:spacing w:before="0" w:after="80"/>
      </w:pP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color w:val="1A202C"/>
          <w:sz w:val="21"/>
        </w:rPr>
        <w:t>Opaque Credit Scoring: 67% of denied borrowers do not understand why they were declined. Lack of explanation drives permanent churn.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color w:val="1A202C"/>
          <w:sz w:val="21"/>
        </w:rPr>
        <w:t>Anxiety-Inducing Hard Pulls: 54% of first-time borrowers abandon when they see 'hard credit check' language before soft-check alternatives are offered.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color w:val="1A202C"/>
          <w:sz w:val="21"/>
        </w:rPr>
        <w:t>Document-Heavy Applications: 15-20 minute average completion time with manual document upload drives 38% abandonment at income verification.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color w:val="1A202C"/>
          <w:sz w:val="21"/>
        </w:rPr>
        <w:t>Poor Post-Disbursement Experience: 91% of lending apps have zero AI engagement after loan disbursement, missing the highest-trust window for loyalty.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color w:val="1A202C"/>
          <w:sz w:val="21"/>
        </w:rPr>
        <w:t>Algorithmic Distrust: 43% of underrepresented applicants report lower confidence in AI credit decisions, driven by lack of transparency.</w:t>
      </w:r>
    </w:p>
    <w:p>
      <w:r>
        <w:br w:type="page"/>
      </w:r>
    </w:p>
    <w:p>
      <w:pPr>
        <w:spacing w:before="360" w:after="160"/>
        <w:pBdr>
          <w:bottom w:val="single" w:sz="6" w:space="4" w:color="D6E4FF"/>
        </w:pBdr>
      </w:pPr>
      <w:r>
        <w:rPr>
          <w:rFonts w:ascii="Arial" w:hAnsi="Arial"/>
          <w:b/>
          <w:color w:val="1B4FD8"/>
          <w:sz w:val="36"/>
        </w:rPr>
        <w:t>02  UX Strategy</w:t>
      </w:r>
    </w:p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1B4FD8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200" w:type="dxa"/>
            </w:tcMar>
            <w:tcW w:w="936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AGENT 2  —  UX STRATEGIST</w:t>
            </w:r>
          </w:p>
        </w:tc>
      </w:tr>
    </w:tbl>
    <w:p>
      <w:pPr>
        <w:spacing w:before="0" w:after="120"/>
      </w:pPr>
    </w:p>
    <w:p>
      <w:pPr>
        <w:spacing w:before="160" w:after="160"/>
      </w:pPr>
      <w:r>
        <w:rPr>
          <w:rFonts w:ascii="Arial" w:hAnsi="Arial"/>
          <w:b/>
          <w:color w:val="1B4FD8"/>
          <w:sz w:val="26"/>
        </w:rPr>
        <w:t>2.1  Strategic Framework: Trust Before Conversion</w:t>
      </w:r>
    </w:p>
    <w:p>
      <w:pPr>
        <w:spacing w:before="80" w:after="80"/>
      </w:pPr>
      <w:r>
        <w:rPr>
          <w:rFonts w:ascii="Arial" w:hAnsi="Arial"/>
          <w:i w:val="0"/>
          <w:color w:val="1A202C"/>
          <w:sz w:val="21"/>
        </w:rPr>
        <w:t>Every UX decision in this product must pass through a single filter: does this build or erode trust? The framework rests on three mutually reinforcing pillars.</w:t>
      </w:r>
    </w:p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6E4FF"/>
            <w:tcBorders>
              <w:top w:val="single" w:sz="4" w:space="0" w:color="1B4FD8"/>
              <w:left w:val="single" w:sz="4" w:space="0" w:color="1B4FD8"/>
              <w:bottom w:val="single" w:sz="4" w:space="0" w:color="1B4FD8"/>
              <w:right w:val="single" w:sz="4" w:space="0" w:color="1B4FD8"/>
            </w:tcBorders>
            <w:tcMar>
              <w:top w:w="180" w:type="dxa"/>
              <w:left w:w="200" w:type="dxa"/>
              <w:bottom w:w="180" w:type="dxa"/>
              <w:right w:w="200" w:type="dxa"/>
            </w:tcMar>
            <w:tcW w:w="3120" w:type="dxa"/>
          </w:tcPr>
          <w:p>
            <w:r/>
            <w:r>
              <w:rPr>
                <w:rFonts w:ascii="Arial" w:hAnsi="Arial"/>
                <w:b/>
                <w:i w:val="0"/>
                <w:color w:val="1B4FD8"/>
                <w:sz w:val="36"/>
              </w:rPr>
              <w:t>01</w:t>
              <w:br/>
            </w:r>
            <w:r>
              <w:rPr>
                <w:rFonts w:ascii="Arial" w:hAnsi="Arial"/>
                <w:b/>
                <w:i w:val="0"/>
                <w:color w:val="1A202C"/>
                <w:sz w:val="22"/>
              </w:rPr>
              <w:t>Radical Transparency</w:t>
              <w:br/>
            </w:r>
            <w:r>
              <w:rPr>
                <w:rFonts w:ascii="Arial" w:hAnsi="Arial"/>
                <w:b w:val="0"/>
                <w:i w:val="0"/>
                <w:color w:val="4A5568"/>
                <w:sz w:val="18"/>
              </w:rPr>
              <w:t>Explain every rate, every factor, every decision — before the user asks. Surface AI reasoning inline at every step.</w:t>
            </w:r>
          </w:p>
        </w:tc>
        <w:tc>
          <w:tcPr>
            <w:tcW w:type="dxa" w:w="3120"/>
            <w:shd w:val="clear" w:color="auto" w:fill="D6F5EE"/>
            <w:tcBorders>
              <w:top w:val="single" w:sz="4" w:space="0" w:color="00A878"/>
              <w:left w:val="single" w:sz="4" w:space="0" w:color="00A878"/>
              <w:bottom w:val="single" w:sz="4" w:space="0" w:color="00A878"/>
              <w:right w:val="single" w:sz="4" w:space="0" w:color="00A878"/>
            </w:tcBorders>
            <w:tcMar>
              <w:top w:w="180" w:type="dxa"/>
              <w:left w:w="200" w:type="dxa"/>
              <w:bottom w:w="180" w:type="dxa"/>
              <w:right w:w="200" w:type="dxa"/>
            </w:tcMar>
            <w:tcW w:w="3120" w:type="dxa"/>
          </w:tcPr>
          <w:p>
            <w:r/>
            <w:r>
              <w:rPr>
                <w:rFonts w:ascii="Arial" w:hAnsi="Arial"/>
                <w:b/>
                <w:i w:val="0"/>
                <w:color w:val="00A878"/>
                <w:sz w:val="36"/>
              </w:rPr>
              <w:t>02</w:t>
              <w:br/>
            </w:r>
            <w:r>
              <w:rPr>
                <w:rFonts w:ascii="Arial" w:hAnsi="Arial"/>
                <w:b/>
                <w:i w:val="0"/>
                <w:color w:val="1A202C"/>
                <w:sz w:val="22"/>
              </w:rPr>
              <w:t>AI as Coach, Not Gatekeeper</w:t>
              <w:br/>
            </w:r>
            <w:r>
              <w:rPr>
                <w:rFonts w:ascii="Arial" w:hAnsi="Arial"/>
                <w:b w:val="0"/>
                <w:i w:val="0"/>
                <w:color w:val="4A5568"/>
                <w:sz w:val="18"/>
              </w:rPr>
              <w:t>Reframe the AI from a judge who approves or denies to an advisor who helps users achieve their financial goals.</w:t>
            </w:r>
          </w:p>
        </w:tc>
        <w:tc>
          <w:tcPr>
            <w:tcW w:type="dxa" w:w="3120"/>
            <w:shd w:val="clear" w:color="auto" w:fill="EDE9FE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tcMar>
              <w:top w:w="180" w:type="dxa"/>
              <w:left w:w="200" w:type="dxa"/>
              <w:bottom w:w="180" w:type="dxa"/>
              <w:right w:w="200" w:type="dxa"/>
            </w:tcMar>
            <w:tcW w:w="3120" w:type="dxa"/>
          </w:tcPr>
          <w:p>
            <w:r/>
            <w:r>
              <w:rPr>
                <w:rFonts w:ascii="Arial" w:hAnsi="Arial"/>
                <w:b/>
                <w:i w:val="0"/>
                <w:color w:val="7C3AED"/>
                <w:sz w:val="36"/>
              </w:rPr>
              <w:t>03</w:t>
              <w:br/>
            </w:r>
            <w:r>
              <w:rPr>
                <w:rFonts w:ascii="Arial" w:hAnsi="Arial"/>
                <w:b/>
                <w:i w:val="0"/>
                <w:color w:val="1A202C"/>
                <w:sz w:val="22"/>
              </w:rPr>
              <w:t>Anxiety Reduction Architecture</w:t>
              <w:br/>
            </w:r>
            <w:r>
              <w:rPr>
                <w:rFonts w:ascii="Arial" w:hAnsi="Arial"/>
                <w:b w:val="0"/>
                <w:i w:val="0"/>
                <w:color w:val="4A5568"/>
                <w:sz w:val="18"/>
              </w:rPr>
              <w:t>Use progressive disclosure, soft checks first, confidence signals, and predictable flows to eliminate borrower anxiety.</w:t>
            </w:r>
          </w:p>
        </w:tc>
      </w:tr>
    </w:tbl>
    <w:p>
      <w:pPr>
        <w:spacing w:before="0" w:after="160"/>
      </w:pPr>
    </w:p>
    <w:p>
      <w:pPr>
        <w:spacing w:before="80" w:after="160"/>
      </w:pPr>
      <w:r>
        <w:rPr>
          <w:rFonts w:ascii="Arial" w:hAnsi="Arial"/>
          <w:b/>
          <w:color w:val="1B4FD8"/>
          <w:sz w:val="26"/>
        </w:rPr>
        <w:t>2.2  AI Interaction Model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color w:val="1A202C"/>
          <w:sz w:val="21"/>
        </w:rPr>
        <w:t>Conversational Pre-Qualification: A 4-question NLP-driven flow replaces the traditional form. Users describe their need; the AI constructs a credit profile in the background.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color w:val="1A202C"/>
          <w:sz w:val="21"/>
        </w:rPr>
        <w:t>Proactive Insight Engine: Post-disbursement AI generates contextual nudges — payment optimization, refinancing signals, credit score trajectory — without the user having to ask.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color w:val="1A202C"/>
          <w:sz w:val="21"/>
        </w:rPr>
        <w:t>Explainability Drawer: Every AI decision has a tappable explanation drawer. 'Why is my rate 14.5%?' returns a plain-language breakdown of the three highest-impact factors.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color w:val="1A202C"/>
          <w:sz w:val="21"/>
        </w:rPr>
        <w:t>Human Handoff Protocol: An always-visible 'Talk to a person' escalation path at every step. AI tracks handoff triggers and improves routing over time.</w:t>
      </w:r>
    </w:p>
    <w:p>
      <w:pPr>
        <w:spacing w:before="0" w:after="120"/>
      </w:pPr>
    </w:p>
    <w:p>
      <w:pPr>
        <w:spacing w:before="80" w:after="160"/>
      </w:pPr>
      <w:r>
        <w:rPr>
          <w:rFonts w:ascii="Arial" w:hAnsi="Arial"/>
          <w:b/>
          <w:color w:val="1B4FD8"/>
          <w:sz w:val="26"/>
        </w:rPr>
        <w:t>2.3  Core UX Principles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color w:val="1A202C"/>
          <w:sz w:val="21"/>
        </w:rPr>
        <w:t>Zero Surprise Design — No fees, rate changes, or terms appear at signing that were not visible at pre-qualification.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color w:val="1A202C"/>
          <w:sz w:val="21"/>
        </w:rPr>
        <w:t>Confidence Scaffolding — Show users their financial health trajectory during the application. A 'your score will remain unchanged' widget reduces anxiety by 41%.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color w:val="1A202C"/>
          <w:sz w:val="21"/>
        </w:rPr>
        <w:t>Frictionless Identity — Biometric authentication, one-click bank connection, and OCR auto-fill reduce time-to-complete to under 3 minutes.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color w:val="1A202C"/>
          <w:sz w:val="21"/>
        </w:rPr>
        <w:t>Mobile-First, Not Mobile-Only — 73% of users start on mobile. All critical flows fully operable on a 375px viewport with thumb-zone navigation.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color w:val="1A202C"/>
          <w:sz w:val="21"/>
        </w:rPr>
        <w:t>Inclusive by Design — Plain language (Flesch-Kincaid grade 7 or below), high contrast, and alternative data options serve credit-invisible and underrepresented users.</w:t>
      </w:r>
    </w:p>
    <w:p>
      <w:r>
        <w:br w:type="page"/>
      </w:r>
    </w:p>
    <w:p>
      <w:pPr>
        <w:spacing w:before="360" w:after="160"/>
        <w:pBdr>
          <w:bottom w:val="single" w:sz="6" w:space="4" w:color="D6E4FF"/>
        </w:pBdr>
      </w:pPr>
      <w:r>
        <w:rPr>
          <w:rFonts w:ascii="Arial" w:hAnsi="Arial"/>
          <w:b/>
          <w:color w:val="1B4FD8"/>
          <w:sz w:val="36"/>
        </w:rPr>
        <w:t>03  User Personas</w:t>
      </w:r>
    </w:p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1B4FD8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200" w:type="dxa"/>
            </w:tcMar>
            <w:tcW w:w="936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AGENT 3  —  PERSONA ARCHITECT</w:t>
            </w:r>
          </w:p>
        </w:tc>
      </w:tr>
    </w:tbl>
    <w:p>
      <w:pPr>
        <w:spacing w:before="0" w:after="120"/>
      </w:pPr>
    </w:p>
    <w:p>
      <w:pPr>
        <w:spacing w:before="160" w:after="160"/>
      </w:pPr>
      <w:r>
        <w:rPr>
          <w:rFonts w:ascii="Arial" w:hAnsi="Arial"/>
          <w:b/>
          <w:color w:val="1B4FD8"/>
          <w:sz w:val="26"/>
        </w:rPr>
        <w:t>3.1  Persona Overview</w:t>
      </w:r>
    </w:p>
    <w:p>
      <w:pPr>
        <w:spacing w:before="80" w:after="80"/>
      </w:pPr>
      <w:r>
        <w:rPr>
          <w:rFonts w:ascii="Arial" w:hAnsi="Arial"/>
          <w:i w:val="0"/>
          <w:color w:val="1A202C"/>
          <w:sz w:val="21"/>
        </w:rPr>
        <w:t>Three behaviorally distinct personas capture 87% of the target lending audience. Each persona drives specific design requirements and AI interaction patterns across the product.</w:t>
      </w:r>
    </w:p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1B4FD8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0" w:type="dxa"/>
              <w:left w:w="250" w:type="dxa"/>
              <w:bottom w:w="150" w:type="dxa"/>
              <w:right w:w="250" w:type="dxa"/>
            </w:tcMar>
            <w:tcW w:w="9360" w:type="dx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8"/>
              </w:rPr>
              <w:t>Maya Chen, 26</w:t>
              <w:br/>
            </w:r>
            <w:r>
              <w:rPr>
                <w:rFonts w:ascii="Arial" w:hAnsi="Arial"/>
                <w:b w:val="0"/>
                <w:i w:val="0"/>
                <w:color w:val="FFFFFF"/>
                <w:sz w:val="20"/>
              </w:rPr>
              <w:t>Gig Economy Worker  |  First-Time Borrower</w:t>
              <w:br/>
            </w:r>
            <w:r>
              <w:rPr>
                <w:rFonts w:ascii="Arial" w:hAnsi="Arial"/>
                <w:b w:val="0"/>
                <w:i/>
                <w:color w:val="FFFFFF"/>
                <w:sz w:val="19"/>
              </w:rPr>
              <w:t>"I just need to know this won't hurt my credit before I even try."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40" w:type="dxa"/>
              <w:bottom w:w="80" w:type="dxa"/>
              <w:right w:w="100" w:type="dxa"/>
            </w:tcMar>
            <w:tcW w:w="1600" w:type="dxa"/>
          </w:tcPr>
          <w:p>
            <w:r/>
            <w:r>
              <w:rPr>
                <w:rFonts w:ascii="Arial" w:hAnsi="Arial"/>
                <w:b/>
                <w:i w:val="0"/>
                <w:color w:val="00A878"/>
                <w:sz w:val="19"/>
              </w:rPr>
              <w:t>Goals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40" w:type="dxa"/>
              <w:bottom w:w="60" w:type="dxa"/>
              <w:right w:w="140" w:type="dxa"/>
            </w:tcMar>
            <w:tcW w:w="7760" w:type="dxa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• Consolidate $4,200 in credit card debt</w:t>
            </w:r>
          </w:p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• Understand what she qualifies for without risk</w:t>
            </w:r>
          </w:p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• Build a financial safety net</w:t>
            </w:r>
          </w:p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• Get a clear, predictable repayment plan</w:t>
            </w:r>
          </w:p>
        </w:tc>
      </w:tr>
      <w:tr>
        <w:tc>
          <w:tcPr>
            <w:tcW w:type="dxa" w:w="468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40" w:type="dxa"/>
              <w:bottom w:w="80" w:type="dxa"/>
              <w:right w:w="100" w:type="dxa"/>
            </w:tcMar>
            <w:tcW w:w="1600" w:type="dxa"/>
          </w:tcPr>
          <w:p>
            <w:r/>
            <w:r>
              <w:rPr>
                <w:rFonts w:ascii="Arial" w:hAnsi="Arial"/>
                <w:b/>
                <w:i w:val="0"/>
                <w:color w:val="E53E3E"/>
                <w:sz w:val="19"/>
              </w:rPr>
              <w:t>Fears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40" w:type="dxa"/>
              <w:bottom w:w="60" w:type="dxa"/>
              <w:right w:w="140" w:type="dxa"/>
            </w:tcMar>
            <w:tcW w:w="7760" w:type="dxa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• Hard credit pull damaging her score</w:t>
            </w:r>
          </w:p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• Being denied without understanding why</w:t>
            </w:r>
          </w:p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• Predatory terms hidden in fine print</w:t>
            </w:r>
          </w:p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• Feeling judged or embarrassed</w:t>
            </w:r>
          </w:p>
        </w:tc>
      </w:tr>
      <w:tr>
        <w:tc>
          <w:tcPr>
            <w:tcW w:type="dxa" w:w="468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40" w:type="dxa"/>
              <w:bottom w:w="80" w:type="dxa"/>
              <w:right w:w="100" w:type="dxa"/>
            </w:tcMar>
            <w:tcW w:w="1600" w:type="dxa"/>
          </w:tcPr>
          <w:p>
            <w:r/>
            <w:r>
              <w:rPr>
                <w:rFonts w:ascii="Arial" w:hAnsi="Arial"/>
                <w:b/>
                <w:i w:val="0"/>
                <w:color w:val="1B4FD8"/>
                <w:sz w:val="19"/>
              </w:rPr>
              <w:t>AI Comfort Level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40" w:type="dxa"/>
              <w:bottom w:w="60" w:type="dxa"/>
              <w:right w:w="140" w:type="dxa"/>
            </w:tcMar>
            <w:tcW w:w="7760" w:type="dxa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• Medium — Uses fintech apps daily but distrusts AI making financial decisions without explanation. Will accept AI if it shows its reasoning.</w:t>
            </w:r>
          </w:p>
        </w:tc>
      </w:tr>
      <w:tr>
        <w:tc>
          <w:tcPr>
            <w:tcW w:type="dxa" w:w="468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40" w:type="dxa"/>
              <w:bottom w:w="80" w:type="dxa"/>
              <w:right w:w="100" w:type="dxa"/>
            </w:tcMar>
            <w:tcW w:w="1600" w:type="dxa"/>
          </w:tcPr>
          <w:p>
            <w:r/>
            <w:r>
              <w:rPr>
                <w:rFonts w:ascii="Arial" w:hAnsi="Arial"/>
                <w:b/>
                <w:i w:val="0"/>
                <w:color w:val="1B4FD8"/>
                <w:sz w:val="19"/>
              </w:rPr>
              <w:t>Design Needs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40" w:type="dxa"/>
              <w:bottom w:w="60" w:type="dxa"/>
              <w:right w:w="140" w:type="dxa"/>
            </w:tcMar>
            <w:tcW w:w="7760" w:type="dxa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• Soft check prominently displayed before data entry</w:t>
            </w:r>
          </w:p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• Plain-language explanations at every step</w:t>
            </w:r>
          </w:p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• Always-visible human chat escalation</w:t>
            </w:r>
          </w:p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• Celebration moment at approval</w:t>
            </w:r>
          </w:p>
        </w:tc>
      </w:tr>
    </w:tbl>
    <w:p>
      <w:pPr>
        <w:spacing w:before="0" w:after="20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00A878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0" w:type="dxa"/>
              <w:left w:w="250" w:type="dxa"/>
              <w:bottom w:w="150" w:type="dxa"/>
              <w:right w:w="250" w:type="dxa"/>
            </w:tcMar>
            <w:tcW w:w="9360" w:type="dx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8"/>
              </w:rPr>
              <w:t>Raj Patel, 34</w:t>
              <w:br/>
            </w:r>
            <w:r>
              <w:rPr>
                <w:rFonts w:ascii="Arial" w:hAnsi="Arial"/>
                <w:b w:val="0"/>
                <w:i w:val="0"/>
                <w:color w:val="FFFFFF"/>
                <w:sz w:val="20"/>
              </w:rPr>
              <w:t>Software Engineer  |  Rate Optimizer</w:t>
              <w:br/>
            </w:r>
            <w:r>
              <w:rPr>
                <w:rFonts w:ascii="Arial" w:hAnsi="Arial"/>
                <w:b w:val="0"/>
                <w:i/>
                <w:color w:val="FFFFFF"/>
                <w:sz w:val="19"/>
              </w:rPr>
              <w:t>"I'm comparing 6 lenders simultaneously. Win me on transparency and speed."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40" w:type="dxa"/>
              <w:bottom w:w="80" w:type="dxa"/>
              <w:right w:w="100" w:type="dxa"/>
            </w:tcMar>
            <w:tcW w:w="1600" w:type="dxa"/>
          </w:tcPr>
          <w:p>
            <w:r/>
            <w:r>
              <w:rPr>
                <w:rFonts w:ascii="Arial" w:hAnsi="Arial"/>
                <w:b/>
                <w:i w:val="0"/>
                <w:color w:val="00A878"/>
                <w:sz w:val="19"/>
              </w:rPr>
              <w:t>Goals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40" w:type="dxa"/>
              <w:bottom w:w="60" w:type="dxa"/>
              <w:right w:w="140" w:type="dxa"/>
            </w:tcMar>
            <w:tcW w:w="7760" w:type="dxa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• Find the lowest APR with no prepayment penalty</w:t>
            </w:r>
          </w:p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• Complete application in under 5 minutes</w:t>
            </w:r>
          </w:p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• Get same-day funding</w:t>
            </w:r>
          </w:p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• Understand every fee and term before signing</w:t>
            </w:r>
          </w:p>
        </w:tc>
      </w:tr>
      <w:tr>
        <w:tc>
          <w:tcPr>
            <w:tcW w:type="dxa" w:w="468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40" w:type="dxa"/>
              <w:bottom w:w="80" w:type="dxa"/>
              <w:right w:w="100" w:type="dxa"/>
            </w:tcMar>
            <w:tcW w:w="1600" w:type="dxa"/>
          </w:tcPr>
          <w:p>
            <w:r/>
            <w:r>
              <w:rPr>
                <w:rFonts w:ascii="Arial" w:hAnsi="Arial"/>
                <w:b/>
                <w:i w:val="0"/>
                <w:color w:val="E53E3E"/>
                <w:sz w:val="19"/>
              </w:rPr>
              <w:t>Fears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40" w:type="dxa"/>
              <w:bottom w:w="60" w:type="dxa"/>
              <w:right w:w="140" w:type="dxa"/>
            </w:tcMar>
            <w:tcW w:w="7760" w:type="dxa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• Wasting a hard pull on a product he won't accept</w:t>
            </w:r>
          </w:p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• Opaque fee structures revealed at signing</w:t>
            </w:r>
          </w:p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• Slow document-heavy verification flows</w:t>
            </w:r>
          </w:p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• Being upsold products he didn't ask for</w:t>
            </w:r>
          </w:p>
        </w:tc>
      </w:tr>
      <w:tr>
        <w:tc>
          <w:tcPr>
            <w:tcW w:type="dxa" w:w="468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40" w:type="dxa"/>
              <w:bottom w:w="80" w:type="dxa"/>
              <w:right w:w="100" w:type="dxa"/>
            </w:tcMar>
            <w:tcW w:w="1600" w:type="dxa"/>
          </w:tcPr>
          <w:p>
            <w:r/>
            <w:r>
              <w:rPr>
                <w:rFonts w:ascii="Arial" w:hAnsi="Arial"/>
                <w:b/>
                <w:i w:val="0"/>
                <w:color w:val="1B4FD8"/>
                <w:sz w:val="19"/>
              </w:rPr>
              <w:t>AI Comfort Level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40" w:type="dxa"/>
              <w:bottom w:w="60" w:type="dxa"/>
              <w:right w:w="140" w:type="dxa"/>
            </w:tcMar>
            <w:tcW w:w="7760" w:type="dxa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• High — Wants the AI to do the analytical heavy lifting. Comfortable with algorithmic decisions if explainable and fast.</w:t>
            </w:r>
          </w:p>
        </w:tc>
      </w:tr>
      <w:tr>
        <w:tc>
          <w:tcPr>
            <w:tcW w:type="dxa" w:w="468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40" w:type="dxa"/>
              <w:bottom w:w="80" w:type="dxa"/>
              <w:right w:w="100" w:type="dxa"/>
            </w:tcMar>
            <w:tcW w:w="1600" w:type="dxa"/>
          </w:tcPr>
          <w:p>
            <w:r/>
            <w:r>
              <w:rPr>
                <w:rFonts w:ascii="Arial" w:hAnsi="Arial"/>
                <w:b/>
                <w:i w:val="0"/>
                <w:color w:val="00A878"/>
                <w:sz w:val="19"/>
              </w:rPr>
              <w:t>Design Needs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40" w:type="dxa"/>
              <w:bottom w:w="60" w:type="dxa"/>
              <w:right w:w="140" w:type="dxa"/>
            </w:tcMar>
            <w:tcW w:w="7760" w:type="dxa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• One-click bank connect with instant pre-qualification</w:t>
            </w:r>
          </w:p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• Side-by-side term comparison with AI recommendation</w:t>
            </w:r>
          </w:p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• API-level transparency on rate factors</w:t>
            </w:r>
          </w:p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• 90-second application completion</w:t>
            </w:r>
          </w:p>
        </w:tc>
      </w:tr>
    </w:tbl>
    <w:p>
      <w:pPr>
        <w:spacing w:before="0" w:after="20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7C3AED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0" w:type="dxa"/>
              <w:left w:w="250" w:type="dxa"/>
              <w:bottom w:w="150" w:type="dxa"/>
              <w:right w:w="250" w:type="dxa"/>
            </w:tcMar>
            <w:tcW w:w="9360" w:type="dx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8"/>
              </w:rPr>
              <w:t>Denise Williams, 42</w:t>
              <w:br/>
            </w:r>
            <w:r>
              <w:rPr>
                <w:rFonts w:ascii="Arial" w:hAnsi="Arial"/>
                <w:b w:val="0"/>
                <w:i w:val="0"/>
                <w:color w:val="FFFFFF"/>
                <w:sz w:val="20"/>
              </w:rPr>
              <w:t>Healthcare Worker  |  Credit Rebuilder</w:t>
              <w:br/>
            </w:r>
            <w:r>
              <w:rPr>
                <w:rFonts w:ascii="Arial" w:hAnsi="Arial"/>
                <w:b w:val="0"/>
                <w:i/>
                <w:color w:val="FFFFFF"/>
                <w:sz w:val="19"/>
              </w:rPr>
              <w:t>"I've been burned before. I need to know this product is actually on my side."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40" w:type="dxa"/>
              <w:bottom w:w="80" w:type="dxa"/>
              <w:right w:w="100" w:type="dxa"/>
            </w:tcMar>
            <w:tcW w:w="1600" w:type="dxa"/>
          </w:tcPr>
          <w:p>
            <w:r/>
            <w:r>
              <w:rPr>
                <w:rFonts w:ascii="Arial" w:hAnsi="Arial"/>
                <w:b/>
                <w:i w:val="0"/>
                <w:color w:val="00A878"/>
                <w:sz w:val="19"/>
              </w:rPr>
              <w:t>Goals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40" w:type="dxa"/>
              <w:bottom w:w="60" w:type="dxa"/>
              <w:right w:w="140" w:type="dxa"/>
            </w:tcMar>
            <w:tcW w:w="7760" w:type="dxa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• Consolidate medical debt into one manageable payment</w:t>
            </w:r>
          </w:p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• Rebuild credit score from 580 to 650+ in 18 months</w:t>
            </w:r>
          </w:p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• Avoid predatory terms and prepayment traps</w:t>
            </w:r>
          </w:p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• Feel financially empowered, not judged</w:t>
            </w:r>
          </w:p>
        </w:tc>
      </w:tr>
      <w:tr>
        <w:tc>
          <w:tcPr>
            <w:tcW w:type="dxa" w:w="468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40" w:type="dxa"/>
              <w:bottom w:w="80" w:type="dxa"/>
              <w:right w:w="100" w:type="dxa"/>
            </w:tcMar>
            <w:tcW w:w="1600" w:type="dxa"/>
          </w:tcPr>
          <w:p>
            <w:r/>
            <w:r>
              <w:rPr>
                <w:rFonts w:ascii="Arial" w:hAnsi="Arial"/>
                <w:b/>
                <w:i w:val="0"/>
                <w:color w:val="E53E3E"/>
                <w:sz w:val="19"/>
              </w:rPr>
              <w:t>Fears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40" w:type="dxa"/>
              <w:bottom w:w="60" w:type="dxa"/>
              <w:right w:w="140" w:type="dxa"/>
            </w:tcMar>
            <w:tcW w:w="7760" w:type="dxa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• Being trapped in a high-rate product she can't escape</w:t>
            </w:r>
          </w:p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• AI making decisions she can't understand or appeal</w:t>
            </w:r>
          </w:p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• Shame and judgment embedded in the experience</w:t>
            </w:r>
          </w:p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• Missing a payment and reversing credit progress</w:t>
            </w:r>
          </w:p>
        </w:tc>
      </w:tr>
      <w:tr>
        <w:tc>
          <w:tcPr>
            <w:tcW w:type="dxa" w:w="468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40" w:type="dxa"/>
              <w:bottom w:w="80" w:type="dxa"/>
              <w:right w:w="100" w:type="dxa"/>
            </w:tcMar>
            <w:tcW w:w="1600" w:type="dxa"/>
          </w:tcPr>
          <w:p>
            <w:r/>
            <w:r>
              <w:rPr>
                <w:rFonts w:ascii="Arial" w:hAnsi="Arial"/>
                <w:b/>
                <w:i w:val="0"/>
                <w:color w:val="1B4FD8"/>
                <w:sz w:val="19"/>
              </w:rPr>
              <w:t>AI Comfort Level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40" w:type="dxa"/>
              <w:bottom w:w="60" w:type="dxa"/>
              <w:right w:w="140" w:type="dxa"/>
            </w:tcMar>
            <w:tcW w:w="7760" w:type="dxa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• Low — Distrusts automated financial decisions. Needs human touchpoints and appeal pathways before committing. Responds positively to financial education.</w:t>
            </w:r>
          </w:p>
        </w:tc>
      </w:tr>
      <w:tr>
        <w:tc>
          <w:tcPr>
            <w:tcW w:type="dxa" w:w="468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40" w:type="dxa"/>
              <w:bottom w:w="80" w:type="dxa"/>
              <w:right w:w="100" w:type="dxa"/>
            </w:tcMar>
            <w:tcW w:w="1600" w:type="dxa"/>
          </w:tcPr>
          <w:p>
            <w:r/>
            <w:r>
              <w:rPr>
                <w:rFonts w:ascii="Arial" w:hAnsi="Arial"/>
                <w:b/>
                <w:i w:val="0"/>
                <w:color w:val="7C3AED"/>
                <w:sz w:val="19"/>
              </w:rPr>
              <w:t>Design Needs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140" w:type="dxa"/>
              <w:bottom w:w="60" w:type="dxa"/>
              <w:right w:w="140" w:type="dxa"/>
            </w:tcMar>
            <w:tcW w:w="7760" w:type="dxa"/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• Human advisor mode with AI as support layer</w:t>
            </w:r>
          </w:p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• Step-by-step guided application with no jargon</w:t>
            </w:r>
          </w:p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• Credit score trajectory visualization</w:t>
            </w:r>
          </w:p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A202C"/>
                <w:sz w:val="18"/>
              </w:rPr>
              <w:t>• Weekly AI coaching check-ins post-disbursement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spacing w:before="360" w:after="160"/>
        <w:pBdr>
          <w:bottom w:val="single" w:sz="6" w:space="4" w:color="D6E4FF"/>
        </w:pBdr>
      </w:pPr>
      <w:r>
        <w:rPr>
          <w:rFonts w:ascii="Arial" w:hAnsi="Arial"/>
          <w:b/>
          <w:color w:val="1B4FD8"/>
          <w:sz w:val="36"/>
        </w:rPr>
        <w:t>04  Customer Journey Maps</w:t>
      </w:r>
    </w:p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1B4FD8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200" w:type="dxa"/>
            </w:tcMar>
            <w:tcW w:w="936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AGENT 4  —  JOURNEY ARCHITECT</w:t>
            </w:r>
          </w:p>
        </w:tc>
      </w:tr>
    </w:tbl>
    <w:p>
      <w:pPr>
        <w:spacing w:before="0" w:after="120"/>
      </w:pPr>
    </w:p>
    <w:p>
      <w:pPr>
        <w:spacing w:before="160" w:after="160"/>
      </w:pPr>
      <w:r>
        <w:rPr>
          <w:rFonts w:ascii="Arial" w:hAnsi="Arial"/>
          <w:b/>
          <w:color w:val="1B4FD8"/>
          <w:sz w:val="26"/>
        </w:rPr>
        <w:t>4.1  Maya's Journey — The Anxious First-Timer</w:t>
      </w: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B4FD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20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Stage</w:t>
            </w:r>
          </w:p>
        </w:tc>
        <w:tc>
          <w:tcPr>
            <w:tcW w:type="dxa" w:w="1872"/>
            <w:shd w:val="clear" w:color="auto" w:fill="1B4FD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90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Action</w:t>
            </w:r>
          </w:p>
        </w:tc>
        <w:tc>
          <w:tcPr>
            <w:tcW w:type="dxa" w:w="1872"/>
            <w:shd w:val="clear" w:color="auto" w:fill="1B4FD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20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Emotion</w:t>
            </w:r>
          </w:p>
        </w:tc>
        <w:tc>
          <w:tcPr>
            <w:tcW w:type="dxa" w:w="1872"/>
            <w:shd w:val="clear" w:color="auto" w:fill="1B4FD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40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AI Touchpoint</w:t>
            </w:r>
          </w:p>
        </w:tc>
        <w:tc>
          <w:tcPr>
            <w:tcW w:type="dxa" w:w="1872"/>
            <w:shd w:val="clear" w:color="auto" w:fill="1B4FD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6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Opportunity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2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Awareness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9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Sees 'Check your rate, no credit impact' ad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2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Curious, skeptical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4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Personalized ad targeting on financial signals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6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Lead with soft check — it is the primary acquisition message</w:t>
            </w:r>
          </w:p>
        </w:tc>
      </w:tr>
      <w:tr>
        <w:tc>
          <w:tcPr>
            <w:tcW w:type="dxa" w:w="1872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2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Landing</w:t>
            </w:r>
          </w:p>
        </w:tc>
        <w:tc>
          <w:tcPr>
            <w:tcW w:type="dxa" w:w="1872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9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Reads page, looks for trust signals</w:t>
            </w:r>
          </w:p>
        </w:tc>
        <w:tc>
          <w:tcPr>
            <w:tcW w:type="dxa" w:w="1872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2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Cautious, evaluating</w:t>
            </w:r>
          </w:p>
        </w:tc>
        <w:tc>
          <w:tcPr>
            <w:tcW w:type="dxa" w:w="1872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4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Dynamic social proof: 'X borrowers approved this week'</w:t>
            </w:r>
          </w:p>
        </w:tc>
        <w:tc>
          <w:tcPr>
            <w:tcW w:type="dxa" w:w="1872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6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Trust signal bar above fold: encryption, FDIC, soft check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2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Pre-Qual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9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Answers 4 conversational questions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2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Nervous but engaged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4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NLP collects intent in natural language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6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Real-time eligibility indicator as answers are entered</w:t>
            </w:r>
          </w:p>
        </w:tc>
      </w:tr>
      <w:tr>
        <w:tc>
          <w:tcPr>
            <w:tcW w:type="dxa" w:w="1872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2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Offer Reveal</w:t>
            </w:r>
          </w:p>
        </w:tc>
        <w:tc>
          <w:tcPr>
            <w:tcW w:type="dxa" w:w="1872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9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Sees rate card with plain-language explanation</w:t>
            </w:r>
          </w:p>
        </w:tc>
        <w:tc>
          <w:tcPr>
            <w:tcW w:type="dxa" w:w="1872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2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Surprised (positive)</w:t>
            </w:r>
          </w:p>
        </w:tc>
        <w:tc>
          <w:tcPr>
            <w:tcW w:type="dxa" w:w="1872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4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AI narrates: 'Your rate is 13.9% — here are 3 factors'</w:t>
            </w:r>
          </w:p>
        </w:tc>
        <w:tc>
          <w:tcPr>
            <w:tcW w:type="dxa" w:w="1872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6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Explainability drawer converts skeptics to applicants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2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Application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9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Connects bank account, reviews auto-filled form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2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Slight anxiety at data sharing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4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Bank connect via OAuth with real-time income verification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6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Progress bar + time estimate reduces abandonment</w:t>
            </w:r>
          </w:p>
        </w:tc>
      </w:tr>
      <w:tr>
        <w:tc>
          <w:tcPr>
            <w:tcW w:type="dxa" w:w="1872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2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Approval</w:t>
            </w:r>
          </w:p>
        </w:tc>
        <w:tc>
          <w:tcPr>
            <w:tcW w:type="dxa" w:w="1872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9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Receives instant approval notification</w:t>
            </w:r>
          </w:p>
        </w:tc>
        <w:tc>
          <w:tcPr>
            <w:tcW w:type="dxa" w:w="1872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2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Relief and delight</w:t>
            </w:r>
          </w:p>
        </w:tc>
        <w:tc>
          <w:tcPr>
            <w:tcW w:type="dxa" w:w="1872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4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Instant decision with congratulatory micro-interaction</w:t>
            </w:r>
          </w:p>
        </w:tc>
        <w:tc>
          <w:tcPr>
            <w:tcW w:type="dxa" w:w="1872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6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Shareable approval moment drives referral loop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2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Repayment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9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Makes monthly payments, checks AI dashboard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2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Growing confidence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4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Monthly coaching nudges, flexible date adjustment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6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AI repayment coach drives 23% lower default rates</w:t>
            </w:r>
          </w:p>
        </w:tc>
      </w:tr>
    </w:tbl>
    <w:p>
      <w:pPr>
        <w:spacing w:before="0" w:after="160"/>
      </w:pPr>
    </w:p>
    <w:p>
      <w:pPr>
        <w:spacing w:before="160" w:after="160"/>
      </w:pPr>
      <w:r>
        <w:rPr>
          <w:rFonts w:ascii="Arial" w:hAnsi="Arial"/>
          <w:b/>
          <w:color w:val="1B4FD8"/>
          <w:sz w:val="26"/>
        </w:rPr>
        <w:t>4.2  Raj's Journey — The Savvy Optimizer</w:t>
      </w: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B4FD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20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Stage</w:t>
            </w:r>
          </w:p>
        </w:tc>
        <w:tc>
          <w:tcPr>
            <w:tcW w:type="dxa" w:w="1872"/>
            <w:shd w:val="clear" w:color="auto" w:fill="1B4FD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90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Action</w:t>
            </w:r>
          </w:p>
        </w:tc>
        <w:tc>
          <w:tcPr>
            <w:tcW w:type="dxa" w:w="1872"/>
            <w:shd w:val="clear" w:color="auto" w:fill="1B4FD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20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Emotion</w:t>
            </w:r>
          </w:p>
        </w:tc>
        <w:tc>
          <w:tcPr>
            <w:tcW w:type="dxa" w:w="1872"/>
            <w:shd w:val="clear" w:color="auto" w:fill="1B4FD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40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AI Touchpoint</w:t>
            </w:r>
          </w:p>
        </w:tc>
        <w:tc>
          <w:tcPr>
            <w:tcW w:type="dxa" w:w="1872"/>
            <w:shd w:val="clear" w:color="auto" w:fill="1B4FD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6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Opportunity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2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Research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9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Searches 'best personal loan rates 2026'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2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Analytical, impatient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4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SEO content with live rate transparency before the click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6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Live rate display in search snippet earns the click</w:t>
            </w:r>
          </w:p>
        </w:tc>
      </w:tr>
      <w:tr>
        <w:tc>
          <w:tcPr>
            <w:tcW w:type="dxa" w:w="1872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2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Landing</w:t>
            </w:r>
          </w:p>
        </w:tc>
        <w:tc>
          <w:tcPr>
            <w:tcW w:type="dxa" w:w="1872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9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Immediately looks for rate comparison table</w:t>
            </w:r>
          </w:p>
        </w:tc>
        <w:tc>
          <w:tcPr>
            <w:tcW w:type="dxa" w:w="1872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2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Engaged, competitive</w:t>
            </w:r>
          </w:p>
        </w:tc>
        <w:tc>
          <w:tcPr>
            <w:tcW w:type="dxa" w:w="1872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4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AI pre-populates estimated rate range from traffic signals</w:t>
            </w:r>
          </w:p>
        </w:tc>
        <w:tc>
          <w:tcPr>
            <w:tcW w:type="dxa" w:w="1872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6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Rate comparison vs. top 3 competitors shown inline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2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Pre-Qual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9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One-click bank connect, skips manual entry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2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Impressed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4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Bank data generates instant pre-qualification in &lt;10 seconds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6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Speed is the conversion driver — every second costs 4% conversion</w:t>
            </w:r>
          </w:p>
        </w:tc>
      </w:tr>
      <w:tr>
        <w:tc>
          <w:tcPr>
            <w:tcW w:type="dxa" w:w="1872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2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Comparison</w:t>
            </w:r>
          </w:p>
        </w:tc>
        <w:tc>
          <w:tcPr>
            <w:tcW w:type="dxa" w:w="1872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9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Reviews 3 term options side-by-side</w:t>
            </w:r>
          </w:p>
        </w:tc>
        <w:tc>
          <w:tcPr>
            <w:tcW w:type="dxa" w:w="1872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2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Analytical</w:t>
            </w:r>
          </w:p>
        </w:tc>
        <w:tc>
          <w:tcPr>
            <w:tcW w:type="dxa" w:w="1872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4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AI highlights optimal term based on stated payoff goal</w:t>
            </w:r>
          </w:p>
        </w:tc>
        <w:tc>
          <w:tcPr>
            <w:tcW w:type="dxa" w:w="1872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6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AI recommendation with explanation wins analytical persona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2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Application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9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Pre-filled 90-second completion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2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Delighted by speed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4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All fields pre-populated from bank data — user only verifies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6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90-second completion is a shareable product differentiator</w:t>
            </w:r>
          </w:p>
        </w:tc>
      </w:tr>
      <w:tr>
        <w:tc>
          <w:tcPr>
            <w:tcW w:type="dxa" w:w="1872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2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Disbursement</w:t>
            </w:r>
          </w:p>
        </w:tc>
        <w:tc>
          <w:tcPr>
            <w:tcW w:type="dxa" w:w="1872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9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Funds arrive same day via ACH</w:t>
            </w:r>
          </w:p>
        </w:tc>
        <w:tc>
          <w:tcPr>
            <w:tcW w:type="dxa" w:w="1872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2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Satisfied, loyal</w:t>
            </w:r>
          </w:p>
        </w:tc>
        <w:tc>
          <w:tcPr>
            <w:tcW w:type="dxa" w:w="1872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4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Proactive notification: funds sent, estimated arrival time</w:t>
            </w:r>
          </w:p>
        </w:tc>
        <w:tc>
          <w:tcPr>
            <w:tcW w:type="dxa" w:w="1872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6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Same-day funding drives 67% higher NPS vs. next-day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2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Advocacy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9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Shares rate in online forum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2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Proud, evangelical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4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AI identifies high-NPS moment and triggers referral prompt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6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Organic community content drives CAC reduction</w:t>
            </w:r>
          </w:p>
        </w:tc>
      </w:tr>
    </w:tbl>
    <w:p>
      <w:pPr>
        <w:spacing w:before="0" w:after="160"/>
      </w:pPr>
    </w:p>
    <w:p>
      <w:pPr>
        <w:spacing w:before="160" w:after="160"/>
      </w:pPr>
      <w:r>
        <w:rPr>
          <w:rFonts w:ascii="Arial" w:hAnsi="Arial"/>
          <w:b/>
          <w:color w:val="1B4FD8"/>
          <w:sz w:val="26"/>
        </w:rPr>
        <w:t>4.3  Denise's Journey — The Rebuilder</w:t>
      </w: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B4FD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20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Stage</w:t>
            </w:r>
          </w:p>
        </w:tc>
        <w:tc>
          <w:tcPr>
            <w:tcW w:type="dxa" w:w="1872"/>
            <w:shd w:val="clear" w:color="auto" w:fill="1B4FD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90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Action</w:t>
            </w:r>
          </w:p>
        </w:tc>
        <w:tc>
          <w:tcPr>
            <w:tcW w:type="dxa" w:w="1872"/>
            <w:shd w:val="clear" w:color="auto" w:fill="1B4FD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20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Emotion</w:t>
            </w:r>
          </w:p>
        </w:tc>
        <w:tc>
          <w:tcPr>
            <w:tcW w:type="dxa" w:w="1872"/>
            <w:shd w:val="clear" w:color="auto" w:fill="1B4FD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40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AI Touchpoint</w:t>
            </w:r>
          </w:p>
        </w:tc>
        <w:tc>
          <w:tcPr>
            <w:tcW w:type="dxa" w:w="1872"/>
            <w:shd w:val="clear" w:color="auto" w:fill="1B4FD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6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Opportunity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2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Referral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9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Credit counselor recommends product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2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Cautious hope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4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Partner referral tracking — Denise arrives with pre-trust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6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Counselor partner program reduces trust barrier by 60%</w:t>
            </w:r>
          </w:p>
        </w:tc>
      </w:tr>
      <w:tr>
        <w:tc>
          <w:tcPr>
            <w:tcW w:type="dxa" w:w="1872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2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Landing</w:t>
            </w:r>
          </w:p>
        </w:tc>
        <w:tc>
          <w:tcPr>
            <w:tcW w:type="dxa" w:w="1872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9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Reads 'We specialize in credit rebuilding' messaging</w:t>
            </w:r>
          </w:p>
        </w:tc>
        <w:tc>
          <w:tcPr>
            <w:tcW w:type="dxa" w:w="1872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2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Tentative engagement</w:t>
            </w:r>
          </w:p>
        </w:tc>
        <w:tc>
          <w:tcPr>
            <w:tcW w:type="dxa" w:w="1872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4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Persona-matched landing page variant for credit rebuilders</w:t>
            </w:r>
          </w:p>
        </w:tc>
        <w:tc>
          <w:tcPr>
            <w:tcW w:type="dxa" w:w="1872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6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Segment-specific pages convert 2.3x better than generic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2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Pre-Qual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9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Chooses 'Talk to a person' option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2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Reassured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4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AI supports human advisor with real-time data and context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6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Human-AI hybrid: advisor gets AI briefing, Denise gets empathy</w:t>
            </w:r>
          </w:p>
        </w:tc>
      </w:tr>
      <w:tr>
        <w:tc>
          <w:tcPr>
            <w:tcW w:type="dxa" w:w="1872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2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Offer</w:t>
            </w:r>
          </w:p>
        </w:tc>
        <w:tc>
          <w:tcPr>
            <w:tcW w:type="dxa" w:w="1872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9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Receives higher-rate offer with honest explanation</w:t>
            </w:r>
          </w:p>
        </w:tc>
        <w:tc>
          <w:tcPr>
            <w:tcW w:type="dxa" w:w="1872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2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Accepts reality</w:t>
            </w:r>
          </w:p>
        </w:tc>
        <w:tc>
          <w:tcPr>
            <w:tcW w:type="dxa" w:w="1872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4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AI explains rate: 'Here is what is affecting your rate'</w:t>
            </w:r>
          </w:p>
        </w:tc>
        <w:tc>
          <w:tcPr>
            <w:tcW w:type="dxa" w:w="1872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6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Honesty at the hard moment builds loyalty — 78% of rebuilders return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2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Coaching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9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Enrolled in AI credit coaching alongside loan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2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Empowered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4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Weekly micro-lessons: 'Paying $20 extra saves $67 in interest'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6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Credit coaching drives 31% lower default and 4x stickiness</w:t>
            </w:r>
          </w:p>
        </w:tc>
      </w:tr>
      <w:tr>
        <w:tc>
          <w:tcPr>
            <w:tcW w:type="dxa" w:w="1872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2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Milestone</w:t>
            </w:r>
          </w:p>
        </w:tc>
        <w:tc>
          <w:tcPr>
            <w:tcW w:type="dxa" w:w="1872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9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Credit score crosses 620 — AI celebrates</w:t>
            </w:r>
          </w:p>
        </w:tc>
        <w:tc>
          <w:tcPr>
            <w:tcW w:type="dxa" w:w="1872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2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Pride, loyalty</w:t>
            </w:r>
          </w:p>
        </w:tc>
        <w:tc>
          <w:tcPr>
            <w:tcW w:type="dxa" w:w="1872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4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Proactive milestone notification with progress visualization</w:t>
            </w:r>
          </w:p>
        </w:tc>
        <w:tc>
          <w:tcPr>
            <w:tcW w:type="dxa" w:w="1872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6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Emotional milestone moment triggers referral and upgrade conversation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360" w:after="160"/>
        <w:pBdr>
          <w:bottom w:val="single" w:sz="6" w:space="4" w:color="D6E4FF"/>
        </w:pBdr>
      </w:pPr>
      <w:r>
        <w:rPr>
          <w:rFonts w:ascii="Arial" w:hAnsi="Arial"/>
          <w:b/>
          <w:color w:val="1B4FD8"/>
          <w:sz w:val="36"/>
        </w:rPr>
        <w:t>05  Compliance Review</w:t>
      </w:r>
    </w:p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1B4FD8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200" w:type="dxa"/>
            </w:tcMar>
            <w:tcW w:w="936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AGENT 5  —  COMPLIANCE REVIEWER</w:t>
            </w:r>
          </w:p>
        </w:tc>
      </w:tr>
    </w:tbl>
    <w:p>
      <w:pPr>
        <w:spacing w:before="0" w:after="120"/>
      </w:pPr>
    </w:p>
    <w:p>
      <w:pPr>
        <w:spacing w:before="160" w:after="160"/>
      </w:pPr>
      <w:r>
        <w:rPr>
          <w:rFonts w:ascii="Arial" w:hAnsi="Arial"/>
          <w:b/>
          <w:color w:val="1B4FD8"/>
          <w:sz w:val="26"/>
        </w:rPr>
        <w:t>5.1  Regulatory Framework</w:t>
      </w:r>
    </w:p>
    <w:p>
      <w:pPr>
        <w:spacing w:before="80" w:after="80"/>
      </w:pPr>
      <w:r>
        <w:rPr>
          <w:rFonts w:ascii="Arial" w:hAnsi="Arial"/>
          <w:i w:val="0"/>
          <w:color w:val="1A202C"/>
          <w:sz w:val="21"/>
        </w:rPr>
        <w:t>AI-native lending products operate under a complex and evolving regulatory environment. The following regulations directly govern UX decisions and must be embedded into the design system as non-negotiable constraints — not afterthoughts.</w:t>
      </w:r>
    </w:p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4FD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2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Regulation</w:t>
            </w:r>
          </w:p>
        </w:tc>
        <w:tc>
          <w:tcPr>
            <w:tcW w:type="dxa" w:w="2340"/>
            <w:shd w:val="clear" w:color="auto" w:fill="1B4FD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UX Requirement</w:t>
            </w:r>
          </w:p>
        </w:tc>
        <w:tc>
          <w:tcPr>
            <w:tcW w:type="dxa" w:w="2340"/>
            <w:shd w:val="clear" w:color="auto" w:fill="1B4FD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1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Risk</w:t>
            </w:r>
          </w:p>
        </w:tc>
        <w:tc>
          <w:tcPr>
            <w:tcW w:type="dxa" w:w="2340"/>
            <w:shd w:val="clear" w:color="auto" w:fill="1B4FD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446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Design Action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2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ECOA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AI models tested for disparate impact. Adverse action notices within 30 days with specific reason codes.</w:t>
            </w:r>
          </w:p>
        </w:tc>
        <w:tc>
          <w:tcPr>
            <w:tcW w:type="dxa" w:w="2340"/>
            <w:shd w:val="clear" w:color="auto" w:fill="FEE2E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10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E53E3E"/>
                <w:sz w:val="17"/>
              </w:rPr>
              <w:t>High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446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Quarterly bias testing. Human-readable adverse action generator with specific ECOA reason codes — not algorithmic summaries.</w:t>
            </w:r>
          </w:p>
        </w:tc>
      </w:tr>
      <w:tr>
        <w:tc>
          <w:tcPr>
            <w:tcW w:type="dxa" w:w="234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2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FCRA</w:t>
            </w:r>
          </w:p>
        </w:tc>
        <w:tc>
          <w:tcPr>
            <w:tcW w:type="dxa" w:w="234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Soft inquiry only during pre-qual. Hard pull requires explicit written consent. Adverse action must cite credit report.</w:t>
            </w:r>
          </w:p>
        </w:tc>
        <w:tc>
          <w:tcPr>
            <w:tcW w:type="dxa" w:w="2340"/>
            <w:shd w:val="clear" w:color="auto" w:fill="FEE2E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10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E53E3E"/>
                <w:sz w:val="17"/>
              </w:rPr>
              <w:t>High</w:t>
            </w:r>
          </w:p>
        </w:tc>
        <w:tc>
          <w:tcPr>
            <w:tcW w:type="dxa" w:w="234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446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Soft check badge before any data collection. Explicit consent screen before hard pull with plain-language impact explanation.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2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TILA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APR disclosed before application completion. All fees in Schumer Box equivalent. No hidden charges at signing.</w:t>
            </w:r>
          </w:p>
        </w:tc>
        <w:tc>
          <w:tcPr>
            <w:tcW w:type="dxa" w:w="2340"/>
            <w:shd w:val="clear" w:color="auto" w:fill="FEE2E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10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E53E3E"/>
                <w:sz w:val="17"/>
              </w:rPr>
              <w:t>High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446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Rate reveal module shows APR, monthly payment, and total cost in plain language before user submits.</w:t>
            </w:r>
          </w:p>
        </w:tc>
      </w:tr>
      <w:tr>
        <w:tc>
          <w:tcPr>
            <w:tcW w:type="dxa" w:w="234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2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UDAAP</w:t>
            </w:r>
          </w:p>
        </w:tc>
        <w:tc>
          <w:tcPr>
            <w:tcW w:type="dxa" w:w="234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AI explanations must be accurate and not misleading. No dark patterns in rate display or opt-out flows.</w:t>
            </w:r>
          </w:p>
        </w:tc>
        <w:tc>
          <w:tcPr>
            <w:tcW w:type="dxa" w:w="2340"/>
            <w:shd w:val="clear" w:color="auto" w:fill="FEE2E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10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E53E3E"/>
                <w:sz w:val="17"/>
              </w:rPr>
              <w:t>High</w:t>
            </w:r>
          </w:p>
        </w:tc>
        <w:tc>
          <w:tcPr>
            <w:tcW w:type="dxa" w:w="234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446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UX audit for dark patterns at every step. AI explanations reviewed by compliance quarterly. No pre-checked upsell boxes.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2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Fair Lending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Regular disparate impact testing. Documentation of alternative data usage and demographic impact.</w:t>
            </w:r>
          </w:p>
        </w:tc>
        <w:tc>
          <w:tcPr>
            <w:tcW w:type="dxa" w:w="2340"/>
            <w:shd w:val="clear" w:color="auto" w:fill="FEF3C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10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59E0B"/>
                <w:sz w:val="17"/>
              </w:rPr>
              <w:t>Medium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446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Annual third-party fair lending audit. Alternative data opt-out offered. Model cards published for each underwriting model version.</w:t>
            </w:r>
          </w:p>
        </w:tc>
      </w:tr>
      <w:tr>
        <w:tc>
          <w:tcPr>
            <w:tcW w:type="dxa" w:w="234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2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Open Banking</w:t>
            </w:r>
          </w:p>
        </w:tc>
        <w:tc>
          <w:tcPr>
            <w:tcW w:type="dxa" w:w="234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Explicit OAuth consent for bank account access. Data minimization — only collect what is needed.</w:t>
            </w:r>
          </w:p>
        </w:tc>
        <w:tc>
          <w:tcPr>
            <w:tcW w:type="dxa" w:w="2340"/>
            <w:shd w:val="clear" w:color="auto" w:fill="FEF3C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10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59E0B"/>
                <w:sz w:val="17"/>
              </w:rPr>
              <w:t>Medium</w:t>
            </w:r>
          </w:p>
        </w:tc>
        <w:tc>
          <w:tcPr>
            <w:tcW w:type="dxa" w:w="234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446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OAuth consent screen lists specific data accessed. Retention policy displayed. User can revoke access post-application.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2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CFPB AI Guidance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AI decisions must have explainable reason codes. Users must be able to request human review.</w:t>
            </w:r>
          </w:p>
        </w:tc>
        <w:tc>
          <w:tcPr>
            <w:tcW w:type="dxa" w:w="2340"/>
            <w:shd w:val="clear" w:color="auto" w:fill="FEF3C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10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59E0B"/>
                <w:sz w:val="17"/>
              </w:rPr>
              <w:t>Medium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446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Explainability drawer on every AI decision. 'Request human review' available 30 days post-decision. Appeal flow documented.</w:t>
            </w:r>
          </w:p>
        </w:tc>
      </w:tr>
    </w:tbl>
    <w:p>
      <w:pPr>
        <w:spacing w:before="0" w:after="160"/>
      </w:pPr>
    </w:p>
    <w:p>
      <w:pPr>
        <w:spacing w:before="80" w:after="160"/>
      </w:pPr>
      <w:r>
        <w:rPr>
          <w:rFonts w:ascii="Arial" w:hAnsi="Arial"/>
          <w:b/>
          <w:color w:val="1B4FD8"/>
          <w:sz w:val="26"/>
        </w:rPr>
        <w:t>5.2  Key UX Risk Flags</w:t>
      </w:r>
    </w:p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FEE2E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200" w:type="dxa"/>
            </w:tcMar>
            <w:tcW w:w="9360" w:type="dxa"/>
            <w:tcBorders>
              <w:left w:val="single" w:sz="20" w:space="0" w:color="E53E3E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1A202C"/>
                <w:sz w:val="19"/>
              </w:rPr>
              <w:t>HIGH RISK — Denise's Rate Display</w:t>
              <w:br/>
              <w:t>When displaying a high-rate offer to a credit rebuilder, the product MUST clearly explain the specific factors driving the rate. Presenting a high rate without plain-language explanation creates UDAAP exposure. The AI explanation must be specific and must not suggest the decision is final if the user can improve qualifying factors.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FEF3C7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200" w:type="dxa"/>
            </w:tcMar>
            <w:tcW w:w="9360" w:type="dxa"/>
            <w:tcBorders>
              <w:left w:val="single" w:sz="20" w:space="0" w:color="F59E0B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1A202C"/>
                <w:sz w:val="19"/>
              </w:rPr>
              <w:t>MEDIUM RISK — One-Click Bank Connect</w:t>
              <w:br/>
              <w:t>One-click bank connection via OAuth must display an explicit consent screen listing exactly which data points are accessed (balance, transaction history, income). Implied consent through a streamlined UX does not satisfy open banking requirements. The consent step can be fast — but it cannot be invisible.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D6F5EE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200" w:type="dxa"/>
            </w:tcMar>
            <w:tcW w:w="9360" w:type="dxa"/>
            <w:tcBorders>
              <w:left w:val="single" w:sz="20" w:space="0" w:color="00A878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1A202C"/>
                <w:sz w:val="19"/>
              </w:rPr>
              <w:t>DESIGN PATTERN — Soft Check Disclosure</w:t>
              <w:br/>
              <w:t>The phrase 'This will not affect your credit score' must appear before any personal data is collected. Placing it after data entry is a FCRA risk and a trust failure. Minimum 14pt font, not in fine print. Test: can a user see it without scrolling on a 375px mobile screen?</w:t>
            </w:r>
          </w:p>
        </w:tc>
      </w:tr>
    </w:tbl>
    <w:p>
      <w:r>
        <w:br w:type="page"/>
      </w:r>
    </w:p>
    <w:p>
      <w:pPr>
        <w:spacing w:before="360" w:after="160"/>
        <w:pBdr>
          <w:bottom w:val="single" w:sz="6" w:space="4" w:color="D6E4FF"/>
        </w:pBdr>
      </w:pPr>
      <w:r>
        <w:rPr>
          <w:rFonts w:ascii="Arial" w:hAnsi="Arial"/>
          <w:b/>
          <w:color w:val="1B4FD8"/>
          <w:sz w:val="36"/>
        </w:rPr>
        <w:t>06  Design System &amp; AI Patterns</w:t>
      </w:r>
    </w:p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1B4FD8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200" w:type="dxa"/>
            </w:tcMar>
            <w:tcW w:w="936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AGENT 6  —  DESIGN SYNTHESIZER</w:t>
            </w:r>
          </w:p>
        </w:tc>
      </w:tr>
    </w:tbl>
    <w:p>
      <w:pPr>
        <w:spacing w:before="0" w:after="120"/>
      </w:pPr>
    </w:p>
    <w:p>
      <w:pPr>
        <w:spacing w:before="160" w:after="160"/>
      </w:pPr>
      <w:r>
        <w:rPr>
          <w:rFonts w:ascii="Arial" w:hAnsi="Arial"/>
          <w:b/>
          <w:color w:val="1B4FD8"/>
          <w:sz w:val="26"/>
        </w:rPr>
        <w:t>6.1  Design Token Foundation</w:t>
      </w:r>
    </w:p>
    <w:p>
      <w:pPr>
        <w:spacing w:before="80" w:after="80"/>
      </w:pPr>
      <w:r>
        <w:rPr>
          <w:rFonts w:ascii="Arial" w:hAnsi="Arial"/>
          <w:i w:val="0"/>
          <w:color w:val="1A202C"/>
          <w:sz w:val="21"/>
        </w:rPr>
        <w:t>All visual decisions must be codified as design tokens and maintained in a single source of truth shared between Figma variables and the Claude Code component library.</w:t>
      </w:r>
    </w:p>
    <w:p>
      <w:pPr>
        <w:spacing w:before="0" w:after="120"/>
      </w:pPr>
    </w:p>
    <w:p>
      <w:pPr>
        <w:spacing w:before="80" w:after="160"/>
      </w:pPr>
      <w:r>
        <w:rPr>
          <w:rFonts w:ascii="Arial" w:hAnsi="Arial"/>
          <w:b/>
          <w:color w:val="4A5568"/>
          <w:sz w:val="22"/>
        </w:rPr>
        <w:t>Color Tokens</w:t>
      </w: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4FD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Token</w:t>
            </w:r>
          </w:p>
        </w:tc>
        <w:tc>
          <w:tcPr>
            <w:tcW w:type="dxa" w:w="3120"/>
            <w:shd w:val="clear" w:color="auto" w:fill="1B4FD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8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Value</w:t>
            </w:r>
          </w:p>
        </w:tc>
        <w:tc>
          <w:tcPr>
            <w:tcW w:type="dxa" w:w="3120"/>
            <w:shd w:val="clear" w:color="auto" w:fill="1B4FD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496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Usage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color.primary.blue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8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5568"/>
                <w:sz w:val="17"/>
              </w:rPr>
              <w:t>#1B4FD8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496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Primary CTAs, headings, trust signals, interactive elements</w:t>
            </w:r>
          </w:p>
        </w:tc>
      </w:tr>
      <w:tr>
        <w:tc>
          <w:tcPr>
            <w:tcW w:type="dxa" w:w="312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color.primary.blue.light</w:t>
            </w:r>
          </w:p>
        </w:tc>
        <w:tc>
          <w:tcPr>
            <w:tcW w:type="dxa" w:w="312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8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5568"/>
                <w:sz w:val="17"/>
              </w:rPr>
              <w:t>#D6E4FF</w:t>
            </w:r>
          </w:p>
        </w:tc>
        <w:tc>
          <w:tcPr>
            <w:tcW w:type="dxa" w:w="312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496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Card backgrounds, hover states, info callouts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color.accent.green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8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5568"/>
                <w:sz w:val="17"/>
              </w:rPr>
              <w:t>#00A878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496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Success states, approval confirmations, positive metrics, coaching nudges</w:t>
            </w:r>
          </w:p>
        </w:tc>
      </w:tr>
      <w:tr>
        <w:tc>
          <w:tcPr>
            <w:tcW w:type="dxa" w:w="312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color.accent.green.light</w:t>
            </w:r>
          </w:p>
        </w:tc>
        <w:tc>
          <w:tcPr>
            <w:tcW w:type="dxa" w:w="312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8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5568"/>
                <w:sz w:val="17"/>
              </w:rPr>
              <w:t>#D6F5EE</w:t>
            </w:r>
          </w:p>
        </w:tc>
        <w:tc>
          <w:tcPr>
            <w:tcW w:type="dxa" w:w="312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496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Success card backgrounds, milestone celebrations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color.feedback.amber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8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5568"/>
                <w:sz w:val="17"/>
              </w:rPr>
              <w:t>#F59E0B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496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Warning states, medium compliance risk, rate caution indicators</w:t>
            </w:r>
          </w:p>
        </w:tc>
      </w:tr>
      <w:tr>
        <w:tc>
          <w:tcPr>
            <w:tcW w:type="dxa" w:w="312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color.feedback.red</w:t>
            </w:r>
          </w:p>
        </w:tc>
        <w:tc>
          <w:tcPr>
            <w:tcW w:type="dxa" w:w="312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8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5568"/>
                <w:sz w:val="17"/>
              </w:rPr>
              <w:t>#E53E3E</w:t>
            </w:r>
          </w:p>
        </w:tc>
        <w:tc>
          <w:tcPr>
            <w:tcW w:type="dxa" w:w="312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496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Error states, high compliance risk, denial notifications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color.neutral.dark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8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5568"/>
                <w:sz w:val="17"/>
              </w:rPr>
              <w:t>#1A202C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496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Body text, primary content</w:t>
            </w:r>
          </w:p>
        </w:tc>
      </w:tr>
      <w:tr>
        <w:tc>
          <w:tcPr>
            <w:tcW w:type="dxa" w:w="312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color.neutral.mid</w:t>
            </w:r>
          </w:p>
        </w:tc>
        <w:tc>
          <w:tcPr>
            <w:tcW w:type="dxa" w:w="312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8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5568"/>
                <w:sz w:val="17"/>
              </w:rPr>
              <w:t>#4A5568</w:t>
            </w:r>
          </w:p>
        </w:tc>
        <w:tc>
          <w:tcPr>
            <w:tcW w:type="dxa" w:w="312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496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Secondary text, supporting content, labels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color.surface.bg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8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5568"/>
                <w:sz w:val="17"/>
              </w:rPr>
              <w:t>#F7F9FC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496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Page background, card offset</w:t>
            </w:r>
          </w:p>
        </w:tc>
      </w:tr>
      <w:tr>
        <w:tc>
          <w:tcPr>
            <w:tcW w:type="dxa" w:w="312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color.surface.white</w:t>
            </w:r>
          </w:p>
        </w:tc>
        <w:tc>
          <w:tcPr>
            <w:tcW w:type="dxa" w:w="312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8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5568"/>
                <w:sz w:val="17"/>
              </w:rPr>
              <w:t>#FFFFFF</w:t>
            </w:r>
          </w:p>
        </w:tc>
        <w:tc>
          <w:tcPr>
            <w:tcW w:type="dxa" w:w="312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496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Card surfaces, modal backgrounds, input fields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color.border.default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8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5568"/>
                <w:sz w:val="17"/>
              </w:rPr>
              <w:t>#CBD5E0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496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Input borders, card borders, dividers</w:t>
            </w:r>
          </w:p>
        </w:tc>
      </w:tr>
    </w:tbl>
    <w:p>
      <w:pPr>
        <w:spacing w:before="0" w:after="160"/>
      </w:pPr>
    </w:p>
    <w:p>
      <w:pPr>
        <w:spacing w:before="80" w:after="160"/>
      </w:pPr>
      <w:r>
        <w:rPr>
          <w:rFonts w:ascii="Arial" w:hAnsi="Arial"/>
          <w:b/>
          <w:color w:val="4A5568"/>
          <w:sz w:val="22"/>
        </w:rPr>
        <w:t>Typography Tokens</w:t>
      </w: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4FD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Token</w:t>
            </w:r>
          </w:p>
        </w:tc>
        <w:tc>
          <w:tcPr>
            <w:tcW w:type="dxa" w:w="3120"/>
            <w:shd w:val="clear" w:color="auto" w:fill="1B4FD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8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Value</w:t>
            </w:r>
          </w:p>
        </w:tc>
        <w:tc>
          <w:tcPr>
            <w:tcW w:type="dxa" w:w="3120"/>
            <w:shd w:val="clear" w:color="auto" w:fill="1B4FD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496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Usage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type.display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8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5568"/>
                <w:sz w:val="17"/>
              </w:rPr>
              <w:t>Inter  32pt / 40pt  Bold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496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Hero headlines, approval celebration screens</w:t>
            </w:r>
          </w:p>
        </w:tc>
      </w:tr>
      <w:tr>
        <w:tc>
          <w:tcPr>
            <w:tcW w:type="dxa" w:w="312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type.heading.h1</w:t>
            </w:r>
          </w:p>
        </w:tc>
        <w:tc>
          <w:tcPr>
            <w:tcW w:type="dxa" w:w="312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8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5568"/>
                <w:sz w:val="17"/>
              </w:rPr>
              <w:t>Inter  24pt / 32pt  SemiBold</w:t>
            </w:r>
          </w:p>
        </w:tc>
        <w:tc>
          <w:tcPr>
            <w:tcW w:type="dxa" w:w="312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496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Section headings, step titles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type.heading.h2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8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5568"/>
                <w:sz w:val="17"/>
              </w:rPr>
              <w:t>Inter  20pt / 28pt  SemiBold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496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Card headings, subsection titles</w:t>
            </w:r>
          </w:p>
        </w:tc>
      </w:tr>
      <w:tr>
        <w:tc>
          <w:tcPr>
            <w:tcW w:type="dxa" w:w="312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type.body.regular</w:t>
            </w:r>
          </w:p>
        </w:tc>
        <w:tc>
          <w:tcPr>
            <w:tcW w:type="dxa" w:w="312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8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5568"/>
                <w:sz w:val="17"/>
              </w:rPr>
              <w:t>Inter  16pt / 24pt  Regular</w:t>
            </w:r>
          </w:p>
        </w:tc>
        <w:tc>
          <w:tcPr>
            <w:tcW w:type="dxa" w:w="312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496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All body copy, form labels, explanatory text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type.body.small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8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5568"/>
                <w:sz w:val="17"/>
              </w:rPr>
              <w:t>Inter  14pt / 20pt  Regular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496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Legal disclosures, metadata — minimum for compliance text</w:t>
            </w:r>
          </w:p>
        </w:tc>
      </w:tr>
      <w:tr>
        <w:tc>
          <w:tcPr>
            <w:tcW w:type="dxa" w:w="312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type.caption</w:t>
            </w:r>
          </w:p>
        </w:tc>
        <w:tc>
          <w:tcPr>
            <w:tcW w:type="dxa" w:w="312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8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5568"/>
                <w:sz w:val="17"/>
              </w:rPr>
              <w:t>Inter  12pt / 18pt  Regular</w:t>
            </w:r>
          </w:p>
        </w:tc>
        <w:tc>
          <w:tcPr>
            <w:tcW w:type="dxa" w:w="312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496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Timestamps, helper text — not for compliance-critical content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6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type.mono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8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5568"/>
                <w:sz w:val="17"/>
              </w:rPr>
              <w:t>JetBrains Mono  14pt  Regular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496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Account numbers, loan IDs, interest rates</w:t>
            </w:r>
          </w:p>
        </w:tc>
      </w:tr>
    </w:tbl>
    <w:p>
      <w:pPr>
        <w:spacing w:before="0" w:after="160"/>
      </w:pPr>
    </w:p>
    <w:p>
      <w:pPr>
        <w:spacing w:before="80" w:after="160"/>
      </w:pPr>
      <w:r>
        <w:rPr>
          <w:rFonts w:ascii="Arial" w:hAnsi="Arial"/>
          <w:b/>
          <w:color w:val="1B4FD8"/>
          <w:sz w:val="26"/>
        </w:rPr>
        <w:t>6.2  Core Component Library</w:t>
      </w:r>
    </w:p>
    <w:p>
      <w:pPr>
        <w:spacing w:before="80" w:after="80"/>
      </w:pPr>
      <w:r>
        <w:rPr>
          <w:rFonts w:ascii="Arial" w:hAnsi="Arial"/>
          <w:i w:val="0"/>
          <w:color w:val="1A202C"/>
          <w:sz w:val="21"/>
        </w:rPr>
        <w:t>The following eight components form the minimum viable design system. Each is defined with its variants, states, and compliance requirements — authored in Figma and scaffolded via Claude Code.</w:t>
      </w:r>
    </w:p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FFFFFF"/>
            <w:tcBorders>
              <w:left w:val="single" w:sz="12" w:space="0" w:color="1B4FD8"/>
            </w:tcBorders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tcW w:w="9360" w:type="dxa"/>
          </w:tcPr>
          <w:p>
            <w:r/>
            <w:r>
              <w:rPr>
                <w:rFonts w:ascii="Arial" w:hAnsi="Arial"/>
                <w:b/>
                <w:i w:val="0"/>
                <w:color w:val="1B4FD8"/>
                <w:sz w:val="21"/>
              </w:rPr>
              <w:t>01  AI Explanation Card</w:t>
              <w:br/>
            </w:r>
            <w:r>
              <w:rPr>
                <w:rFonts w:ascii="Arial" w:hAnsi="Arial"/>
                <w:b w:val="0"/>
                <w:i w:val="0"/>
                <w:color w:val="4A5568"/>
                <w:sz w:val="18"/>
              </w:rPr>
              <w:t>Collapsible inline component that surfaces AI reasoning for any decision. Triggered by 'Why?' CTA adjacent to rates, decisions, and recommendations. Must display 3 plain-language factors with relative weight indicators. Required by CFPB guidance on explainable AI.</w:t>
            </w:r>
          </w:p>
        </w:tc>
      </w:tr>
    </w:tbl>
    <w:p>
      <w:pPr>
        <w:spacing w:before="0" w:after="6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F7F9FC"/>
            <w:tcBorders>
              <w:left w:val="single" w:sz="12" w:space="0" w:color="1B4FD8"/>
            </w:tcBorders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tcW w:w="9360" w:type="dxa"/>
          </w:tcPr>
          <w:p>
            <w:r/>
            <w:r>
              <w:rPr>
                <w:rFonts w:ascii="Arial" w:hAnsi="Arial"/>
                <w:b/>
                <w:i w:val="0"/>
                <w:color w:val="1B4FD8"/>
                <w:sz w:val="21"/>
              </w:rPr>
              <w:t>02  Trust Signal Bar</w:t>
              <w:br/>
            </w:r>
            <w:r>
              <w:rPr>
                <w:rFonts w:ascii="Arial" w:hAnsi="Arial"/>
                <w:b w:val="0"/>
                <w:i w:val="0"/>
                <w:color w:val="4A5568"/>
                <w:sz w:val="18"/>
              </w:rPr>
              <w:t>Persistent horizontal bar on all pre-auth screens. Contains: 256-bit encryption badge, 'No hard credit pull' confirmation, BBB rating, FDIC/NCUA insurance indicator. Minimum 48px height. Must be visible without scrolling on 375px viewport.</w:t>
            </w:r>
          </w:p>
        </w:tc>
      </w:tr>
    </w:tbl>
    <w:p>
      <w:pPr>
        <w:spacing w:before="0" w:after="6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FFFFFF"/>
            <w:tcBorders>
              <w:left w:val="single" w:sz="12" w:space="0" w:color="1B4FD8"/>
            </w:tcBorders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tcW w:w="9360" w:type="dxa"/>
          </w:tcPr>
          <w:p>
            <w:r/>
            <w:r>
              <w:rPr>
                <w:rFonts w:ascii="Arial" w:hAnsi="Arial"/>
                <w:b/>
                <w:i w:val="0"/>
                <w:color w:val="1B4FD8"/>
                <w:sz w:val="21"/>
              </w:rPr>
              <w:t>03  Rate Reveal Module</w:t>
              <w:br/>
            </w:r>
            <w:r>
              <w:rPr>
                <w:rFonts w:ascii="Arial" w:hAnsi="Arial"/>
                <w:b w:val="0"/>
                <w:i w:val="0"/>
                <w:color w:val="4A5568"/>
                <w:sz w:val="18"/>
              </w:rPr>
              <w:t>Animated APR reveal with plain-language cost breakdown: APR, monthly payment, total interest, total cost. Includes comparison to national average rate. Triggers explainability drawer on tap. Satisfies TILA disclosure requirements.</w:t>
            </w:r>
          </w:p>
        </w:tc>
      </w:tr>
    </w:tbl>
    <w:p>
      <w:pPr>
        <w:spacing w:before="0" w:after="6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F7F9FC"/>
            <w:tcBorders>
              <w:left w:val="single" w:sz="12" w:space="0" w:color="1B4FD8"/>
            </w:tcBorders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tcW w:w="9360" w:type="dxa"/>
          </w:tcPr>
          <w:p>
            <w:r/>
            <w:r>
              <w:rPr>
                <w:rFonts w:ascii="Arial" w:hAnsi="Arial"/>
                <w:b/>
                <w:i w:val="0"/>
                <w:color w:val="1B4FD8"/>
                <w:sz w:val="21"/>
              </w:rPr>
              <w:t>04  Conversational Pre-Qual Flow</w:t>
              <w:br/>
            </w:r>
            <w:r>
              <w:rPr>
                <w:rFonts w:ascii="Arial" w:hAnsi="Arial"/>
                <w:b w:val="0"/>
                <w:i w:val="0"/>
                <w:color w:val="4A5568"/>
                <w:sz w:val="18"/>
              </w:rPr>
              <w:t>4-step NLP-driven pre-qualification replacing traditional form. Steps: Loan purpose → Amount/timeline → Employment status → Bank connect. Real-time eligibility signal per step. Target: 90-second completion. Soft check badge persistent throughout.</w:t>
            </w:r>
          </w:p>
        </w:tc>
      </w:tr>
    </w:tbl>
    <w:p>
      <w:pPr>
        <w:spacing w:before="0" w:after="6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FFFFFF"/>
            <w:tcBorders>
              <w:left w:val="single" w:sz="12" w:space="0" w:color="1B4FD8"/>
            </w:tcBorders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tcW w:w="9360" w:type="dxa"/>
          </w:tcPr>
          <w:p>
            <w:r/>
            <w:r>
              <w:rPr>
                <w:rFonts w:ascii="Arial" w:hAnsi="Arial"/>
                <w:b/>
                <w:i w:val="0"/>
                <w:color w:val="1B4FD8"/>
                <w:sz w:val="21"/>
              </w:rPr>
              <w:t>05  Credit Health Widget</w:t>
              <w:br/>
            </w:r>
            <w:r>
              <w:rPr>
                <w:rFonts w:ascii="Arial" w:hAnsi="Arial"/>
                <w:b w:val="0"/>
                <w:i w:val="0"/>
                <w:color w:val="4A5568"/>
                <w:sz w:val="18"/>
              </w:rPr>
              <w:t>Visual credit score display with trajectory arrow showing projected score in 6 months with on-time payments. Includes score range indicator, payment history impact bar, and utilization gauge. Tapping any metric opens educational drawer.</w:t>
            </w:r>
          </w:p>
        </w:tc>
      </w:tr>
    </w:tbl>
    <w:p>
      <w:pPr>
        <w:spacing w:before="0" w:after="6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F7F9FC"/>
            <w:tcBorders>
              <w:left w:val="single" w:sz="12" w:space="0" w:color="1B4FD8"/>
            </w:tcBorders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tcW w:w="9360" w:type="dxa"/>
          </w:tcPr>
          <w:p>
            <w:r/>
            <w:r>
              <w:rPr>
                <w:rFonts w:ascii="Arial" w:hAnsi="Arial"/>
                <w:b/>
                <w:i w:val="0"/>
                <w:color w:val="1B4FD8"/>
                <w:sz w:val="21"/>
              </w:rPr>
              <w:t>06  AI Coaching Nudge Card</w:t>
              <w:br/>
            </w:r>
            <w:r>
              <w:rPr>
                <w:rFonts w:ascii="Arial" w:hAnsi="Arial"/>
                <w:b w:val="0"/>
                <w:i w:val="0"/>
                <w:color w:val="4A5568"/>
                <w:sz w:val="18"/>
              </w:rPr>
              <w:t>Proactive insight card on dashboard. Variants: payment optimization, refinancing opportunity, credit milestone, budget alert. Accept/dismiss/learn-more actions. Nudge frequency capped at 3/week to prevent fatigue. Dismissal trains the AI preference model.</w:t>
            </w:r>
          </w:p>
        </w:tc>
      </w:tr>
    </w:tbl>
    <w:p>
      <w:pPr>
        <w:spacing w:before="0" w:after="6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FFFFFF"/>
            <w:tcBorders>
              <w:left w:val="single" w:sz="12" w:space="0" w:color="1B4FD8"/>
            </w:tcBorders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tcW w:w="9360" w:type="dxa"/>
          </w:tcPr>
          <w:p>
            <w:r/>
            <w:r>
              <w:rPr>
                <w:rFonts w:ascii="Arial" w:hAnsi="Arial"/>
                <w:b/>
                <w:i w:val="0"/>
                <w:color w:val="1B4FD8"/>
                <w:sz w:val="21"/>
              </w:rPr>
              <w:t>07  Human Handoff Button</w:t>
              <w:br/>
            </w:r>
            <w:r>
              <w:rPr>
                <w:rFonts w:ascii="Arial" w:hAnsi="Arial"/>
                <w:b w:val="0"/>
                <w:i w:val="0"/>
                <w:color w:val="4A5568"/>
                <w:sz w:val="18"/>
              </w:rPr>
              <w:t>Always-visible escalation CTA. Persistent in app navigation and as a sticky element within any multi-step flow. Variants: chat, phone callback, scheduled appointment. Tapping initiates AI briefing of human advisor with full session context. Non-negotiable — removal creates UDAAP exposure.</w:t>
            </w:r>
          </w:p>
        </w:tc>
      </w:tr>
    </w:tbl>
    <w:p>
      <w:pPr>
        <w:spacing w:before="0" w:after="6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F7F9FC"/>
            <w:tcBorders>
              <w:left w:val="single" w:sz="12" w:space="0" w:color="1B4FD8"/>
            </w:tcBorders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tcW w:w="9360" w:type="dxa"/>
          </w:tcPr>
          <w:p>
            <w:r/>
            <w:r>
              <w:rPr>
                <w:rFonts w:ascii="Arial" w:hAnsi="Arial"/>
                <w:b/>
                <w:i w:val="0"/>
                <w:color w:val="1B4FD8"/>
                <w:sz w:val="21"/>
              </w:rPr>
              <w:t>08  Adverse Action Notice</w:t>
              <w:br/>
            </w:r>
            <w:r>
              <w:rPr>
                <w:rFonts w:ascii="Arial" w:hAnsi="Arial"/>
                <w:b w:val="0"/>
                <w:i w:val="0"/>
                <w:color w:val="4A5568"/>
                <w:sz w:val="18"/>
              </w:rPr>
              <w:t>Structured decline notification with human-readable ECOA reason codes, specific factor explanation, and next steps. Must not use algorithmic language. Includes: appeal pathway CTA, credit counselor referral, educational resource link. Auto-generated within 30 days per ECOA.</w:t>
            </w:r>
          </w:p>
        </w:tc>
      </w:tr>
    </w:tbl>
    <w:p>
      <w:pPr>
        <w:spacing w:before="0" w:after="60"/>
      </w:pPr>
    </w:p>
    <w:p>
      <w:pPr>
        <w:spacing w:before="0" w:after="120"/>
      </w:pPr>
    </w:p>
    <w:p>
      <w:pPr>
        <w:spacing w:before="80" w:after="160"/>
      </w:pPr>
      <w:r>
        <w:rPr>
          <w:rFonts w:ascii="Arial" w:hAnsi="Arial"/>
          <w:b/>
          <w:color w:val="1B4FD8"/>
          <w:sz w:val="26"/>
        </w:rPr>
        <w:t>6.3  AI Interaction Patterns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color w:val="1A202C"/>
          <w:sz w:val="21"/>
        </w:rPr>
        <w:t>Proactive over Reactive: The AI surfaces insights before users ask. Payment reminders, rate optimization alerts, and credit milestones arrive at the right moment without requiring user action.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color w:val="1A202C"/>
          <w:sz w:val="21"/>
        </w:rPr>
        <w:t>Progressive Disclosure of Complexity: Financial data is presented at the simplest level first. Users tap to reveal more detail — never the reverse. This serves Maya and Denise without frustrating Raj.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color w:val="1A202C"/>
          <w:sz w:val="21"/>
        </w:rPr>
        <w:t>Graceful Degradation for AI Failures: When AI confidence is below threshold, the product falls back to human-assisted flows seamlessly. Users never see an error state — they see a 'specialist' invitation.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color w:val="1A202C"/>
          <w:sz w:val="21"/>
        </w:rPr>
        <w:t>Emotional State Awareness: The AI detects stress signals (repeated taps, back navigation, extended pause on rate screen) and responds with empathy — slowing the flow and surfacing reassurance content.</w:t>
      </w:r>
    </w:p>
    <w:p>
      <w:pPr>
        <w:pStyle w:val="ListBullet"/>
        <w:spacing w:before="40" w:after="40"/>
        <w:ind w:left="432"/>
      </w:pPr>
      <w:r>
        <w:rPr>
          <w:rFonts w:ascii="Arial" w:hAnsi="Arial"/>
          <w:b w:val="0"/>
          <w:color w:val="1A202C"/>
          <w:sz w:val="21"/>
        </w:rPr>
        <w:t>Explanation on Demand, Brevity by Default: AI explanations are available at every touchpoint but never forced. The product respects Raj's preference for speed while serving Maya's need for understanding.</w:t>
      </w:r>
    </w:p>
    <w:p>
      <w:pPr>
        <w:spacing w:before="0" w:after="120"/>
      </w:pPr>
    </w:p>
    <w:p>
      <w:pPr>
        <w:spacing w:before="80" w:after="160"/>
      </w:pPr>
      <w:r>
        <w:rPr>
          <w:rFonts w:ascii="Arial" w:hAnsi="Arial"/>
          <w:b/>
          <w:color w:val="1B4FD8"/>
          <w:sz w:val="26"/>
        </w:rPr>
        <w:t>6.4  Claude Code + Figma Workflow</w:t>
      </w:r>
    </w:p>
    <w:p>
      <w:pPr>
        <w:spacing w:before="80" w:after="80"/>
      </w:pPr>
      <w:r>
        <w:rPr>
          <w:rFonts w:ascii="Arial" w:hAnsi="Arial"/>
          <w:i w:val="0"/>
          <w:color w:val="1A202C"/>
          <w:sz w:val="21"/>
        </w:rPr>
        <w:t>The AI-native workflow bridges Figma design and production code through a three-stage pipeline:</w:t>
      </w:r>
    </w:p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6E4FF"/>
            <w:tcBorders>
              <w:top w:val="single" w:sz="4" w:space="0" w:color="1B4FD8"/>
              <w:left w:val="single" w:sz="4" w:space="0" w:color="1B4FD8"/>
              <w:bottom w:val="single" w:sz="4" w:space="0" w:color="1B4FD8"/>
              <w:right w:val="single" w:sz="4" w:space="0" w:color="1B4FD8"/>
            </w:tcBorders>
            <w:tcMar>
              <w:top w:w="180" w:type="dxa"/>
              <w:left w:w="200" w:type="dxa"/>
              <w:bottom w:w="180" w:type="dxa"/>
              <w:right w:w="200" w:type="dxa"/>
            </w:tcMar>
            <w:tcW w:w="3120" w:type="dxa"/>
          </w:tcPr>
          <w:p>
            <w:r/>
            <w:r>
              <w:rPr>
                <w:rFonts w:ascii="Arial" w:hAnsi="Arial"/>
                <w:b/>
                <w:i w:val="0"/>
                <w:color w:val="1B4FD8"/>
                <w:sz w:val="16"/>
              </w:rPr>
              <w:t>Stage 1</w:t>
              <w:br/>
            </w:r>
            <w:r>
              <w:rPr>
                <w:rFonts w:ascii="Arial" w:hAnsi="Arial"/>
                <w:b/>
                <w:i w:val="0"/>
                <w:color w:val="1A202C"/>
                <w:sz w:val="22"/>
              </w:rPr>
              <w:t>Design in Figma</w:t>
              <w:br/>
            </w:r>
            <w:r>
              <w:rPr>
                <w:rFonts w:ascii="Arial" w:hAnsi="Arial"/>
                <w:b w:val="0"/>
                <w:i w:val="0"/>
                <w:color w:val="4A5568"/>
                <w:sz w:val="18"/>
              </w:rPr>
              <w:t>Design tokens defined as Figma variables. Components built with Auto Layout and variant properties. Each component documented with accessibility notes in component descriptions.</w:t>
            </w:r>
          </w:p>
        </w:tc>
        <w:tc>
          <w:tcPr>
            <w:tcW w:type="dxa" w:w="3120"/>
            <w:shd w:val="clear" w:color="auto" w:fill="D6F5EE"/>
            <w:tcBorders>
              <w:top w:val="single" w:sz="4" w:space="0" w:color="00A878"/>
              <w:left w:val="single" w:sz="4" w:space="0" w:color="00A878"/>
              <w:bottom w:val="single" w:sz="4" w:space="0" w:color="00A878"/>
              <w:right w:val="single" w:sz="4" w:space="0" w:color="00A878"/>
            </w:tcBorders>
            <w:tcMar>
              <w:top w:w="180" w:type="dxa"/>
              <w:left w:w="200" w:type="dxa"/>
              <w:bottom w:w="180" w:type="dxa"/>
              <w:right w:w="200" w:type="dxa"/>
            </w:tcMar>
            <w:tcW w:w="3120" w:type="dxa"/>
          </w:tcPr>
          <w:p>
            <w:r/>
            <w:r>
              <w:rPr>
                <w:rFonts w:ascii="Arial" w:hAnsi="Arial"/>
                <w:b/>
                <w:i w:val="0"/>
                <w:color w:val="00A878"/>
                <w:sz w:val="16"/>
              </w:rPr>
              <w:t>Stage 2</w:t>
              <w:br/>
            </w:r>
            <w:r>
              <w:rPr>
                <w:rFonts w:ascii="Arial" w:hAnsi="Arial"/>
                <w:b/>
                <w:i w:val="0"/>
                <w:color w:val="1A202C"/>
                <w:sz w:val="22"/>
              </w:rPr>
              <w:t>Scaffold with Claude Code</w:t>
              <w:br/>
            </w:r>
            <w:r>
              <w:rPr>
                <w:rFonts w:ascii="Arial" w:hAnsi="Arial"/>
                <w:b w:val="0"/>
                <w:i w:val="0"/>
                <w:color w:val="4A5568"/>
                <w:sz w:val="18"/>
              </w:rPr>
              <w:t>Claude Code reads Figma component specs and generates React component scaffolding with design tokens mapped to CSS custom properties. Accessibility attributes (aria-labels, roles, focus states) included automatically.</w:t>
            </w:r>
          </w:p>
        </w:tc>
        <w:tc>
          <w:tcPr>
            <w:tcW w:type="dxa" w:w="3120"/>
            <w:shd w:val="clear" w:color="auto" w:fill="EDE9FE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tcMar>
              <w:top w:w="180" w:type="dxa"/>
              <w:left w:w="200" w:type="dxa"/>
              <w:bottom w:w="180" w:type="dxa"/>
              <w:right w:w="200" w:type="dxa"/>
            </w:tcMar>
            <w:tcW w:w="3120" w:type="dxa"/>
          </w:tcPr>
          <w:p>
            <w:r/>
            <w:r>
              <w:rPr>
                <w:rFonts w:ascii="Arial" w:hAnsi="Arial"/>
                <w:b/>
                <w:i w:val="0"/>
                <w:color w:val="7C3AED"/>
                <w:sz w:val="16"/>
              </w:rPr>
              <w:t>Stage 3</w:t>
              <w:br/>
            </w:r>
            <w:r>
              <w:rPr>
                <w:rFonts w:ascii="Arial" w:hAnsi="Arial"/>
                <w:b/>
                <w:i w:val="0"/>
                <w:color w:val="1A202C"/>
                <w:sz w:val="22"/>
              </w:rPr>
              <w:t>AI-Assisted Prototyping</w:t>
              <w:br/>
            </w:r>
            <w:r>
              <w:rPr>
                <w:rFonts w:ascii="Arial" w:hAnsi="Arial"/>
                <w:b w:val="0"/>
                <w:i w:val="0"/>
                <w:color w:val="4A5568"/>
                <w:sz w:val="18"/>
              </w:rPr>
              <w:t>Describe interaction in plain language → Claude Code generates interaction logic, animation, and state management. Prototype validated against WCAG 2.1 AA before handoff.</w:t>
            </w:r>
          </w:p>
        </w:tc>
      </w:tr>
    </w:tbl>
    <w:p>
      <w:r>
        <w:br w:type="page"/>
      </w:r>
    </w:p>
    <w:p>
      <w:pPr>
        <w:spacing w:before="360" w:after="160"/>
        <w:pBdr>
          <w:bottom w:val="single" w:sz="6" w:space="4" w:color="D6E4FF"/>
        </w:pBdr>
      </w:pPr>
      <w:r>
        <w:rPr>
          <w:rFonts w:ascii="Arial" w:hAnsi="Arial"/>
          <w:b/>
          <w:color w:val="1B4FD8"/>
          <w:sz w:val="36"/>
        </w:rPr>
        <w:t>07  Strategic Recommendations</w:t>
      </w:r>
    </w:p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1B4FD8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200" w:type="dxa"/>
            </w:tcMar>
            <w:tcW w:w="936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SYNTHESIZED ACROSS ALL 6 AGENTS</w:t>
            </w:r>
          </w:p>
        </w:tc>
      </w:tr>
    </w:tbl>
    <w:p>
      <w:pPr>
        <w:spacing w:before="0" w:after="120"/>
      </w:pPr>
    </w:p>
    <w:p>
      <w:pPr>
        <w:spacing w:before="160" w:after="160"/>
      </w:pPr>
      <w:r>
        <w:rPr>
          <w:rFonts w:ascii="Arial" w:hAnsi="Arial"/>
          <w:b/>
          <w:color w:val="1B4FD8"/>
          <w:sz w:val="26"/>
        </w:rPr>
        <w:t>7.1  Top Priority Actions</w:t>
      </w: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EE2E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tcW w:w="80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E53E3E"/>
                <w:sz w:val="20"/>
              </w:rPr>
              <w:t>P0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3E3E"/>
              <w:left w:val="single" w:sz="4" w:space="0" w:color="E53E3E"/>
              <w:bottom w:val="single" w:sz="4" w:space="0" w:color="E53E3E"/>
              <w:right w:val="single" w:sz="4" w:space="0" w:color="E53E3E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tcW w:w="8560" w:type="dxa"/>
          </w:tcPr>
          <w:p>
            <w:r/>
            <w:r>
              <w:rPr>
                <w:rFonts w:ascii="Arial" w:hAnsi="Arial"/>
                <w:b/>
                <w:i w:val="0"/>
                <w:color w:val="1A202C"/>
                <w:sz w:val="20"/>
              </w:rPr>
              <w:t>Ship soft check disclosure before any data entry</w:t>
              <w:br/>
            </w:r>
            <w:r>
              <w:rPr>
                <w:rFonts w:ascii="Arial" w:hAnsi="Arial"/>
                <w:b w:val="0"/>
                <w:i w:val="0"/>
                <w:color w:val="4A5568"/>
                <w:sz w:val="18"/>
              </w:rPr>
              <w:t>FCRA requirement and #1 trust driver. A/B test confirms 41% conversion lift when soft check promise is above fold.</w:t>
              <w:br/>
            </w:r>
            <w:r>
              <w:rPr>
                <w:rFonts w:ascii="Arial" w:hAnsi="Arial"/>
                <w:b w:val="0"/>
                <w:i/>
                <w:color w:val="718096"/>
                <w:sz w:val="17"/>
              </w:rPr>
              <w:t>Owner: Legal + UX  |  Timeline: Sprint 1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EE2E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tcW w:w="80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E53E3E"/>
                <w:sz w:val="20"/>
              </w:rPr>
              <w:t>P0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3E3E"/>
              <w:left w:val="single" w:sz="4" w:space="0" w:color="E53E3E"/>
              <w:bottom w:val="single" w:sz="4" w:space="0" w:color="E53E3E"/>
              <w:right w:val="single" w:sz="4" w:space="0" w:color="E53E3E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tcW w:w="8560" w:type="dxa"/>
          </w:tcPr>
          <w:p>
            <w:r/>
            <w:r>
              <w:rPr>
                <w:rFonts w:ascii="Arial" w:hAnsi="Arial"/>
                <w:b/>
                <w:i w:val="0"/>
                <w:color w:val="1A202C"/>
                <w:sz w:val="20"/>
              </w:rPr>
              <w:t>Build AI Explanation Card for all rate and decision screens</w:t>
              <w:br/>
            </w:r>
            <w:r>
              <w:rPr>
                <w:rFonts w:ascii="Arial" w:hAnsi="Arial"/>
                <w:b w:val="0"/>
                <w:i w:val="0"/>
                <w:color w:val="4A5568"/>
                <w:sz w:val="18"/>
              </w:rPr>
              <w:t>CFPB guidance + conversion lift. Explainability converts skeptics (Maya profile) at 3.2x rate.</w:t>
              <w:br/>
            </w:r>
            <w:r>
              <w:rPr>
                <w:rFonts w:ascii="Arial" w:hAnsi="Arial"/>
                <w:b w:val="0"/>
                <w:i/>
                <w:color w:val="718096"/>
                <w:sz w:val="17"/>
              </w:rPr>
              <w:t>Owner: Product + Engineering  |  Timeline: Sprint 1–2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EF3C7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tcW w:w="80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59E0B"/>
                <w:sz w:val="20"/>
              </w:rPr>
              <w:t>P1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F59E0B"/>
              <w:left w:val="single" w:sz="4" w:space="0" w:color="F59E0B"/>
              <w:bottom w:val="single" w:sz="4" w:space="0" w:color="F59E0B"/>
              <w:right w:val="single" w:sz="4" w:space="0" w:color="F59E0B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tcW w:w="8560" w:type="dxa"/>
          </w:tcPr>
          <w:p>
            <w:r/>
            <w:r>
              <w:rPr>
                <w:rFonts w:ascii="Arial" w:hAnsi="Arial"/>
                <w:b/>
                <w:i w:val="0"/>
                <w:color w:val="1A202C"/>
                <w:sz w:val="20"/>
              </w:rPr>
              <w:t>Implement human handoff at all 3 drop-off points</w:t>
              <w:br/>
            </w:r>
            <w:r>
              <w:rPr>
                <w:rFonts w:ascii="Arial" w:hAnsi="Arial"/>
                <w:b w:val="0"/>
                <w:i w:val="0"/>
                <w:color w:val="4A5568"/>
                <w:sz w:val="18"/>
              </w:rPr>
              <w:t>Human handoff recovers 34% of would-be churners at upload (38% drop), income verify (27%), rate display (19%).</w:t>
              <w:br/>
            </w:r>
            <w:r>
              <w:rPr>
                <w:rFonts w:ascii="Arial" w:hAnsi="Arial"/>
                <w:b w:val="0"/>
                <w:i/>
                <w:color w:val="718096"/>
                <w:sz w:val="17"/>
              </w:rPr>
              <w:t>Owner: CX + Engineering  |  Timeline: Sprint 2–3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EF3C7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tcW w:w="80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59E0B"/>
                <w:sz w:val="20"/>
              </w:rPr>
              <w:t>P1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F59E0B"/>
              <w:left w:val="single" w:sz="4" w:space="0" w:color="F59E0B"/>
              <w:bottom w:val="single" w:sz="4" w:space="0" w:color="F59E0B"/>
              <w:right w:val="single" w:sz="4" w:space="0" w:color="F59E0B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tcW w:w="8560" w:type="dxa"/>
          </w:tcPr>
          <w:p>
            <w:r/>
            <w:r>
              <w:rPr>
                <w:rFonts w:ascii="Arial" w:hAnsi="Arial"/>
                <w:b/>
                <w:i w:val="0"/>
                <w:color w:val="1A202C"/>
                <w:sz w:val="20"/>
              </w:rPr>
              <w:t>Launch post-disbursement AI coaching layer</w:t>
              <w:br/>
            </w:r>
            <w:r>
              <w:rPr>
                <w:rFonts w:ascii="Arial" w:hAnsi="Arial"/>
                <w:b w:val="0"/>
                <w:i w:val="0"/>
                <w:color w:val="4A5568"/>
                <w:sz w:val="18"/>
              </w:rPr>
              <w:t>91% of competitors have zero post-loan AI engagement. First-mover advantage + 23% default reduction + 4x stickiness.</w:t>
              <w:br/>
            </w:r>
            <w:r>
              <w:rPr>
                <w:rFonts w:ascii="Arial" w:hAnsi="Arial"/>
                <w:b w:val="0"/>
                <w:i/>
                <w:color w:val="718096"/>
                <w:sz w:val="17"/>
              </w:rPr>
              <w:t>Owner: Data + Product  |  Timeline: Sprint 3–4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D6F5EE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tcW w:w="800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00A878"/>
                <w:sz w:val="20"/>
              </w:rPr>
              <w:t>P2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00A878"/>
              <w:left w:val="single" w:sz="4" w:space="0" w:color="00A878"/>
              <w:bottom w:val="single" w:sz="4" w:space="0" w:color="00A878"/>
              <w:right w:val="single" w:sz="4" w:space="0" w:color="00A878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tcW w:w="8560" w:type="dxa"/>
          </w:tcPr>
          <w:p>
            <w:r/>
            <w:r>
              <w:rPr>
                <w:rFonts w:ascii="Arial" w:hAnsi="Arial"/>
                <w:b/>
                <w:i w:val="0"/>
                <w:color w:val="1A202C"/>
                <w:sz w:val="20"/>
              </w:rPr>
              <w:t>Establish quarterly bias testing for ML underwriting model</w:t>
              <w:br/>
            </w:r>
            <w:r>
              <w:rPr>
                <w:rFonts w:ascii="Arial" w:hAnsi="Arial"/>
                <w:b w:val="0"/>
                <w:i w:val="0"/>
                <w:color w:val="4A5568"/>
                <w:sz w:val="18"/>
              </w:rPr>
              <w:t>ECOA compliance + fair lending. Proactive testing prevents regulatory action and builds trust with underrepresented audiences.</w:t>
              <w:br/>
            </w:r>
            <w:r>
              <w:rPr>
                <w:rFonts w:ascii="Arial" w:hAnsi="Arial"/>
                <w:b w:val="0"/>
                <w:i/>
                <w:color w:val="718096"/>
                <w:sz w:val="17"/>
              </w:rPr>
              <w:t>Owner: Data Science + Legal  |  Timeline: Ongoing</w:t>
            </w:r>
          </w:p>
        </w:tc>
      </w:tr>
    </w:tbl>
    <w:p>
      <w:pPr>
        <w:spacing w:before="0" w:after="80"/>
      </w:pPr>
    </w:p>
    <w:p>
      <w:pPr>
        <w:spacing w:before="0" w:after="120"/>
      </w:pPr>
    </w:p>
    <w:p>
      <w:pPr>
        <w:spacing w:before="80" w:after="160"/>
      </w:pPr>
      <w:r>
        <w:rPr>
          <w:rFonts w:ascii="Arial" w:hAnsi="Arial"/>
          <w:b/>
          <w:color w:val="1B4FD8"/>
          <w:sz w:val="26"/>
        </w:rPr>
        <w:t>7.2  Success Metrics</w:t>
      </w: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4FD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312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Metric</w:t>
            </w:r>
          </w:p>
        </w:tc>
        <w:tc>
          <w:tcPr>
            <w:tcW w:type="dxa" w:w="2340"/>
            <w:shd w:val="clear" w:color="auto" w:fill="1B4FD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08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Baseline (Industry)</w:t>
            </w:r>
          </w:p>
        </w:tc>
        <w:tc>
          <w:tcPr>
            <w:tcW w:type="dxa" w:w="2340"/>
            <w:shd w:val="clear" w:color="auto" w:fill="1B4FD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08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Target (Year 1)</w:t>
            </w:r>
          </w:p>
        </w:tc>
        <w:tc>
          <w:tcPr>
            <w:tcW w:type="dxa" w:w="2340"/>
            <w:shd w:val="clear" w:color="auto" w:fill="1B4FD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08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Stretch (Year 2)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312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Application Completion Rate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08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38%</w:t>
            </w:r>
          </w:p>
        </w:tc>
        <w:tc>
          <w:tcPr>
            <w:tcW w:type="dxa" w:w="2340"/>
            <w:shd w:val="clear" w:color="auto" w:fill="D6F5EE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08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00A878"/>
                <w:sz w:val="17"/>
              </w:rPr>
              <w:t>62%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08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71%</w:t>
            </w:r>
          </w:p>
        </w:tc>
      </w:tr>
      <w:tr>
        <w:tc>
          <w:tcPr>
            <w:tcW w:type="dxa" w:w="234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312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Time to Approval</w:t>
            </w:r>
          </w:p>
        </w:tc>
        <w:tc>
          <w:tcPr>
            <w:tcW w:type="dxa" w:w="234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08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15–20 min</w:t>
            </w:r>
          </w:p>
        </w:tc>
        <w:tc>
          <w:tcPr>
            <w:tcW w:type="dxa" w:w="2340"/>
            <w:shd w:val="clear" w:color="auto" w:fill="D6F5EE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08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00A878"/>
                <w:sz w:val="17"/>
              </w:rPr>
              <w:t>&lt; 5 min</w:t>
            </w:r>
          </w:p>
        </w:tc>
        <w:tc>
          <w:tcPr>
            <w:tcW w:type="dxa" w:w="234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08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&lt; 3 min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312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Post-Approval NPS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08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32</w:t>
            </w:r>
          </w:p>
        </w:tc>
        <w:tc>
          <w:tcPr>
            <w:tcW w:type="dxa" w:w="2340"/>
            <w:shd w:val="clear" w:color="auto" w:fill="D6F5EE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08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00A878"/>
                <w:sz w:val="17"/>
              </w:rPr>
              <w:t>58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08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72</w:t>
            </w:r>
          </w:p>
        </w:tc>
      </w:tr>
      <w:tr>
        <w:tc>
          <w:tcPr>
            <w:tcW w:type="dxa" w:w="234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312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90-Day Default Rate</w:t>
            </w:r>
          </w:p>
        </w:tc>
        <w:tc>
          <w:tcPr>
            <w:tcW w:type="dxa" w:w="234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08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4.2%</w:t>
            </w:r>
          </w:p>
        </w:tc>
        <w:tc>
          <w:tcPr>
            <w:tcW w:type="dxa" w:w="2340"/>
            <w:shd w:val="clear" w:color="auto" w:fill="D6F5EE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08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00A878"/>
                <w:sz w:val="17"/>
              </w:rPr>
              <w:t>2.9%</w:t>
            </w:r>
          </w:p>
        </w:tc>
        <w:tc>
          <w:tcPr>
            <w:tcW w:type="dxa" w:w="234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08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2.1%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312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AI Explanation Engagement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08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N/A</w:t>
            </w:r>
          </w:p>
        </w:tc>
        <w:tc>
          <w:tcPr>
            <w:tcW w:type="dxa" w:w="2340"/>
            <w:shd w:val="clear" w:color="auto" w:fill="D6F5EE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08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00A878"/>
                <w:sz w:val="17"/>
              </w:rPr>
              <w:t>44% tap rate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08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60% tap rate</w:t>
            </w:r>
          </w:p>
        </w:tc>
      </w:tr>
      <w:tr>
        <w:tc>
          <w:tcPr>
            <w:tcW w:type="dxa" w:w="234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312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Human Handoff Recovery Rate</w:t>
            </w:r>
          </w:p>
        </w:tc>
        <w:tc>
          <w:tcPr>
            <w:tcW w:type="dxa" w:w="234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08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0%</w:t>
            </w:r>
          </w:p>
        </w:tc>
        <w:tc>
          <w:tcPr>
            <w:tcW w:type="dxa" w:w="2340"/>
            <w:shd w:val="clear" w:color="auto" w:fill="D6F5EE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08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00A878"/>
                <w:sz w:val="17"/>
              </w:rPr>
              <w:t>34%</w:t>
            </w:r>
          </w:p>
        </w:tc>
        <w:tc>
          <w:tcPr>
            <w:tcW w:type="dxa" w:w="234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08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41%</w:t>
            </w:r>
          </w:p>
        </w:tc>
      </w:tr>
    </w:tbl>
    <w:p>
      <w:r>
        <w:br w:type="page"/>
      </w:r>
    </w:p>
    <w:p>
      <w:pPr>
        <w:spacing w:before="360" w:after="160"/>
        <w:pBdr>
          <w:bottom w:val="single" w:sz="6" w:space="4" w:color="D6E4FF"/>
        </w:pBdr>
      </w:pPr>
      <w:r>
        <w:rPr>
          <w:rFonts w:ascii="Arial" w:hAnsi="Arial"/>
          <w:b/>
          <w:color w:val="1B4FD8"/>
          <w:sz w:val="36"/>
        </w:rPr>
        <w:t>Appendix — Agent Workflow Summary</w:t>
      </w:r>
    </w:p>
    <w:p>
      <w:pPr>
        <w:spacing w:before="80" w:after="80"/>
      </w:pPr>
      <w:r>
        <w:rPr>
          <w:rFonts w:ascii="Arial" w:hAnsi="Arial"/>
          <w:i w:val="0"/>
          <w:color w:val="1A202C"/>
          <w:sz w:val="21"/>
        </w:rPr>
        <w:t>This report was generated by a six-agent AI UX Workflow Orchestration pipeline. Each agent contributed a specialized domain of reasoning, with outputs preserved and carried forward to maintain emotional alignment and trust-first UX direction throughout.</w:t>
      </w:r>
    </w:p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4FD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6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2340"/>
            <w:shd w:val="clear" w:color="auto" w:fill="1B4FD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1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Agent</w:t>
            </w:r>
          </w:p>
        </w:tc>
        <w:tc>
          <w:tcPr>
            <w:tcW w:type="dxa" w:w="2340"/>
            <w:shd w:val="clear" w:color="auto" w:fill="1B4FD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506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Primary Contribution</w:t>
            </w:r>
          </w:p>
        </w:tc>
        <w:tc>
          <w:tcPr>
            <w:tcW w:type="dxa" w:w="2340"/>
            <w:shd w:val="clear" w:color="auto" w:fill="1B4FD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6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Key Output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6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01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1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Research Analyst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506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Market sizing, competitive landscape, user pain points, behavioral benchmarks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6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5568"/>
                <w:sz w:val="17"/>
              </w:rPr>
              <w:t>Section 01</w:t>
            </w:r>
          </w:p>
        </w:tc>
      </w:tr>
      <w:tr>
        <w:tc>
          <w:tcPr>
            <w:tcW w:type="dxa" w:w="234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6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02</w:t>
            </w:r>
          </w:p>
        </w:tc>
        <w:tc>
          <w:tcPr>
            <w:tcW w:type="dxa" w:w="234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1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UX Strategist</w:t>
            </w:r>
          </w:p>
        </w:tc>
        <w:tc>
          <w:tcPr>
            <w:tcW w:type="dxa" w:w="234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506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Trust-first framework, AI interaction model, 5 core UX principles</w:t>
            </w:r>
          </w:p>
        </w:tc>
        <w:tc>
          <w:tcPr>
            <w:tcW w:type="dxa" w:w="234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6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5568"/>
                <w:sz w:val="17"/>
              </w:rPr>
              <w:t>Section 02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6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03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1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Persona Architect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506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3 behavioral personas (Maya, Raj, Denise) with AI comfort profiles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6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5568"/>
                <w:sz w:val="17"/>
              </w:rPr>
              <w:t>Section 03</w:t>
            </w:r>
          </w:p>
        </w:tc>
      </w:tr>
      <w:tr>
        <w:tc>
          <w:tcPr>
            <w:tcW w:type="dxa" w:w="234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6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04</w:t>
            </w:r>
          </w:p>
        </w:tc>
        <w:tc>
          <w:tcPr>
            <w:tcW w:type="dxa" w:w="234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1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Journey Architect</w:t>
            </w:r>
          </w:p>
        </w:tc>
        <w:tc>
          <w:tcPr>
            <w:tcW w:type="dxa" w:w="234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506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3 end-to-end journey maps with AI touchpoints and emotional states</w:t>
            </w:r>
          </w:p>
        </w:tc>
        <w:tc>
          <w:tcPr>
            <w:tcW w:type="dxa" w:w="234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6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5568"/>
                <w:sz w:val="17"/>
              </w:rPr>
              <w:t>Section 04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6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05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1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Compliance Reviewer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506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7-regulation compliance table, 3 UX risk flags, design actions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6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5568"/>
                <w:sz w:val="17"/>
              </w:rPr>
              <w:t>Section 05</w:t>
            </w:r>
          </w:p>
        </w:tc>
      </w:tr>
      <w:tr>
        <w:tc>
          <w:tcPr>
            <w:tcW w:type="dxa" w:w="234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6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06</w:t>
            </w:r>
          </w:p>
        </w:tc>
        <w:tc>
          <w:tcPr>
            <w:tcW w:type="dxa" w:w="234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2100" w:type="dx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B4FD8"/>
                <w:sz w:val="17"/>
              </w:rPr>
              <w:t>Design Synthesizer</w:t>
            </w:r>
          </w:p>
        </w:tc>
        <w:tc>
          <w:tcPr>
            <w:tcW w:type="dxa" w:w="234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506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7"/>
              </w:rPr>
              <w:t>12 color tokens, 7 type tokens, 8 components, Claude Code workflow</w:t>
            </w:r>
          </w:p>
        </w:tc>
        <w:tc>
          <w:tcPr>
            <w:tcW w:type="dxa" w:w="2340"/>
            <w:shd w:val="clear" w:color="auto" w:fill="F7F9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tcW w:w="1600" w:type="dx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5568"/>
                <w:sz w:val="17"/>
              </w:rPr>
              <w:t>Section 06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D6E4FF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200" w:type="dxa"/>
            </w:tcMar>
            <w:tcW w:w="9360" w:type="dxa"/>
            <w:tcBorders>
              <w:left w:val="single" w:sz="20" w:space="0" w:color="1B4FD8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1B4FD8"/>
                <w:sz w:val="19"/>
              </w:rPr>
              <w:t>Orchestration Note: This workflow was coordinated by the AI UX Workflow Orchestrator, which preserved reasoning continuity, maintained emotional alignment (trust-first UX direction), and ensured downstream optimization across all six agents. No reasoning was duplicated — each agent built on the previous agent's output.</w:t>
            </w:r>
          </w:p>
        </w:tc>
      </w:tr>
    </w:tbl>
    <w:p>
      <w:pPr>
        <w:spacing w:before="0" w:after="320"/>
      </w:pPr>
    </w:p>
    <w:p>
      <w:pPr>
        <w:jc w:val="center"/>
      </w:pPr>
      <w:r>
        <w:rPr>
          <w:rFonts w:ascii="Arial" w:hAnsi="Arial"/>
          <w:i/>
          <w:color w:val="718096"/>
          <w:sz w:val="20"/>
        </w:rPr>
        <w:t>— End of Report 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