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9878" w14:textId="77777777" w:rsidR="00861E4E" w:rsidRDefault="0049238A">
      <w:pPr>
        <w:pStyle w:val="Heading2"/>
        <w:jc w:val="center"/>
      </w:pPr>
      <w:bookmarkStart w:id="0" w:name="_gjdgxs" w:colFirst="0" w:colLast="0"/>
      <w:bookmarkEnd w:id="0"/>
      <w:r>
        <w:t>Electronic Supplementary Materials – Quantifying a wildlife conflict: estimates of seabird predation by recovering fur seals across southeastern Australia</w:t>
      </w:r>
    </w:p>
    <w:p w14:paraId="6904F0B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7D943E86" w14:textId="77777777" w:rsidR="00861E4E" w:rsidRDefault="0049238A">
      <w:pPr>
        <w:pStyle w:val="Heading2"/>
      </w:pPr>
      <w:bookmarkStart w:id="1" w:name="_30j0zll" w:colFirst="0" w:colLast="0"/>
      <w:bookmarkEnd w:id="1"/>
      <w:r>
        <w:t>S1 Methods</w:t>
      </w:r>
    </w:p>
    <w:p w14:paraId="3B2F9FE7" w14:textId="77777777" w:rsidR="00861E4E" w:rsidRDefault="00861E4E"/>
    <w:p w14:paraId="2D163943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i/>
        </w:rPr>
        <w:t>S1.1 Sample collections and site background information</w:t>
      </w:r>
    </w:p>
    <w:p w14:paraId="489F78B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28E7A362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 w:rsidRPr="00B357B1">
        <w:rPr>
          <w:rFonts w:ascii="Times" w:eastAsia="Times" w:hAnsi="Times" w:cs="Times"/>
        </w:rPr>
        <w:t xml:space="preserve">Long-nosed fur seal pups have been recorded (to the best of our knowledge) at </w:t>
      </w:r>
      <w:proofErr w:type="spellStart"/>
      <w:r w:rsidRPr="00B357B1">
        <w:rPr>
          <w:rFonts w:ascii="Times" w:eastAsia="Times" w:hAnsi="Times" w:cs="Times"/>
        </w:rPr>
        <w:t>Deen</w:t>
      </w:r>
      <w:proofErr w:type="spellEnd"/>
      <w:r w:rsidRPr="00B357B1">
        <w:rPr>
          <w:rFonts w:ascii="Times" w:eastAsia="Times" w:hAnsi="Times" w:cs="Times"/>
        </w:rPr>
        <w:t xml:space="preserve"> Maar Island since 2002, Cape Bridgewater since 2008, Gabo Island since 2016, and </w:t>
      </w:r>
      <w:proofErr w:type="spellStart"/>
      <w:r w:rsidRPr="00B357B1">
        <w:rPr>
          <w:rFonts w:ascii="Times" w:eastAsia="Times" w:hAnsi="Times" w:cs="Times"/>
        </w:rPr>
        <w:t>Barunguba</w:t>
      </w:r>
      <w:proofErr w:type="spellEnd"/>
      <w:r w:rsidRPr="00B357B1">
        <w:rPr>
          <w:rFonts w:ascii="Times" w:eastAsia="Times" w:hAnsi="Times" w:cs="Times"/>
        </w:rPr>
        <w:t xml:space="preserve"> since 2000 </w:t>
      </w:r>
      <w:hyperlink r:id="rId6">
        <w:r w:rsidRPr="00B357B1">
          <w:rPr>
            <w:rFonts w:ascii="Times" w:eastAsia="Times" w:hAnsi="Times" w:cs="Times"/>
          </w:rPr>
          <w:t>(</w:t>
        </w:r>
        <w:proofErr w:type="spellStart"/>
        <w:r w:rsidRPr="00B357B1">
          <w:rPr>
            <w:rFonts w:ascii="Times" w:eastAsia="Times" w:hAnsi="Times" w:cs="Times"/>
          </w:rPr>
          <w:t>Arnould</w:t>
        </w:r>
        <w:proofErr w:type="spellEnd"/>
        <w:r w:rsidRPr="00B357B1">
          <w:rPr>
            <w:rFonts w:ascii="Times" w:eastAsia="Times" w:hAnsi="Times" w:cs="Times"/>
          </w:rPr>
          <w:t xml:space="preserve"> et al., 2003; </w:t>
        </w:r>
      </w:hyperlink>
      <w:r w:rsidRPr="00B357B1">
        <w:rPr>
          <w:rFonts w:ascii="Times" w:eastAsia="Times" w:hAnsi="Times" w:cs="Times"/>
        </w:rPr>
        <w:t xml:space="preserve">McIntosh et al. </w:t>
      </w:r>
      <w:proofErr w:type="spellStart"/>
      <w:r w:rsidRPr="00B357B1">
        <w:rPr>
          <w:rFonts w:ascii="Times" w:eastAsia="Times" w:hAnsi="Times" w:cs="Times"/>
        </w:rPr>
        <w:t>unpub</w:t>
      </w:r>
      <w:proofErr w:type="spellEnd"/>
      <w:r w:rsidRPr="00B357B1">
        <w:rPr>
          <w:rFonts w:ascii="Times" w:eastAsia="Times" w:hAnsi="Times" w:cs="Times"/>
        </w:rPr>
        <w:t xml:space="preserve">. data; </w:t>
      </w:r>
      <w:hyperlink r:id="rId7">
        <w:r w:rsidRPr="00B357B1">
          <w:rPr>
            <w:rFonts w:ascii="Times" w:eastAsia="Times" w:hAnsi="Times" w:cs="Times"/>
          </w:rPr>
          <w:t>Shaughnessy et al., 2001)</w:t>
        </w:r>
      </w:hyperlink>
      <w:r w:rsidRPr="00B357B1">
        <w:rPr>
          <w:rFonts w:ascii="Times" w:eastAsia="Times" w:hAnsi="Times" w:cs="Times"/>
        </w:rPr>
        <w:t xml:space="preserve">. Pup numbers, as an index of population size in 2013, were ~100 at Cape Bridgewater, ~ 24 at </w:t>
      </w:r>
      <w:proofErr w:type="spellStart"/>
      <w:r w:rsidRPr="00B357B1">
        <w:rPr>
          <w:rFonts w:ascii="Times" w:eastAsia="Times" w:hAnsi="Times" w:cs="Times"/>
        </w:rPr>
        <w:t>Deen</w:t>
      </w:r>
      <w:proofErr w:type="spellEnd"/>
      <w:r w:rsidRPr="00B357B1">
        <w:rPr>
          <w:rFonts w:ascii="Times" w:eastAsia="Times" w:hAnsi="Times" w:cs="Times"/>
        </w:rPr>
        <w:t xml:space="preserve"> Maar Island (and in 2017), 8 at Gabo Island and ~42 at </w:t>
      </w:r>
      <w:proofErr w:type="spellStart"/>
      <w:r w:rsidRPr="00B357B1">
        <w:rPr>
          <w:rFonts w:ascii="Times" w:eastAsia="Times" w:hAnsi="Times" w:cs="Times"/>
        </w:rPr>
        <w:t>Barunguba</w:t>
      </w:r>
      <w:proofErr w:type="spellEnd"/>
      <w:r w:rsidRPr="00B357B1">
        <w:rPr>
          <w:rFonts w:ascii="Times" w:eastAsia="Times" w:hAnsi="Times" w:cs="Times"/>
        </w:rPr>
        <w:t xml:space="preserve"> </w:t>
      </w:r>
      <w:hyperlink r:id="rId8">
        <w:r w:rsidRPr="00B357B1">
          <w:rPr>
            <w:rFonts w:ascii="Times" w:eastAsia="Times" w:hAnsi="Times" w:cs="Times"/>
          </w:rPr>
          <w:t xml:space="preserve">(McIntosh et al., 2014; </w:t>
        </w:r>
      </w:hyperlink>
      <w:r w:rsidRPr="00B357B1">
        <w:rPr>
          <w:rFonts w:ascii="Times" w:eastAsia="Times" w:hAnsi="Times" w:cs="Times"/>
        </w:rPr>
        <w:t>McIntosh et al. unpublished data</w:t>
      </w:r>
      <w:hyperlink r:id="rId9">
        <w:r w:rsidRPr="00B357B1">
          <w:rPr>
            <w:rFonts w:ascii="Times" w:eastAsia="Times" w:hAnsi="Times" w:cs="Times"/>
          </w:rPr>
          <w:t>)</w:t>
        </w:r>
      </w:hyperlink>
      <w:r w:rsidRPr="00B357B1">
        <w:rPr>
          <w:rFonts w:ascii="Times" w:eastAsia="Times" w:hAnsi="Times" w:cs="Times"/>
        </w:rPr>
        <w:t xml:space="preserve"> (Fig.</w:t>
      </w:r>
      <w:r>
        <w:rPr>
          <w:rFonts w:ascii="Times" w:eastAsia="Times" w:hAnsi="Times" w:cs="Times"/>
        </w:rPr>
        <w:t xml:space="preserve"> 1).</w:t>
      </w:r>
    </w:p>
    <w:p w14:paraId="5973AD55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  <w:t xml:space="preserve">Additionally, </w:t>
      </w:r>
      <w:r>
        <w:t>Phillip Island, in north-central Bass Strait, is home to the largest little penguin colony</w:t>
      </w:r>
      <w:r>
        <w:rPr>
          <w:rFonts w:ascii="Times" w:eastAsia="Times" w:hAnsi="Times" w:cs="Times"/>
        </w:rPr>
        <w:t xml:space="preserve">, with an estimated 31,000 breeding pairs of penguins in 2010 </w:t>
      </w:r>
      <w:hyperlink r:id="rId10">
        <w:r>
          <w:t>(Sutherland &amp; Dann, 2014)</w:t>
        </w:r>
      </w:hyperlink>
      <w:r>
        <w:rPr>
          <w:rFonts w:ascii="Times" w:eastAsia="Times" w:hAnsi="Times" w:cs="Times"/>
        </w:rPr>
        <w:t xml:space="preserve">. The success of this colony is largely attributed to fox eradication and habitat restoration </w:t>
      </w:r>
      <w:hyperlink r:id="rId11">
        <w:r>
          <w:t>(Rout et al., 2014; Sutherland &amp; Dann, 2014)</w:t>
        </w:r>
      </w:hyperlink>
      <w:r>
        <w:t xml:space="preserve">. </w:t>
      </w:r>
      <w:r>
        <w:rPr>
          <w:rFonts w:ascii="Times" w:eastAsia="Times" w:hAnsi="Times" w:cs="Times"/>
        </w:rPr>
        <w:t xml:space="preserve">The internationally popular Penguin Parade, managed by Phillip Island Nature Parks (The Nature Parks), provided little penguin viewing experiences for over 757,846 visitors in 2019-20 </w:t>
      </w:r>
      <w:hyperlink r:id="rId12">
        <w:r>
          <w:t>(Phillip Island Nature Parks, 2020)</w:t>
        </w:r>
      </w:hyperlink>
      <w:r>
        <w:rPr>
          <w:rFonts w:ascii="Times" w:eastAsia="Times" w:hAnsi="Times" w:cs="Times"/>
        </w:rPr>
        <w:t>.</w:t>
      </w:r>
    </w:p>
    <w:p w14:paraId="45CD81B3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77F59879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i/>
          <w:color w:val="211E1E"/>
        </w:rPr>
      </w:pPr>
      <w:r>
        <w:rPr>
          <w:i/>
          <w:color w:val="000000"/>
        </w:rPr>
        <w:t>S1.</w:t>
      </w:r>
      <w:r>
        <w:rPr>
          <w:i/>
        </w:rPr>
        <w:t>2</w:t>
      </w:r>
      <w:r>
        <w:rPr>
          <w:i/>
          <w:color w:val="000000"/>
        </w:rPr>
        <w:t xml:space="preserve"> Morphological identification of seabird remains in long-nosed fur seal scats</w:t>
      </w:r>
    </w:p>
    <w:p w14:paraId="23E7621B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</w:p>
    <w:p w14:paraId="7EAB5AEE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  <w:r>
        <w:rPr>
          <w:color w:val="211E1E"/>
        </w:rPr>
        <w:t xml:space="preserve">Little penguin feathers are </w:t>
      </w:r>
      <w:proofErr w:type="spellStart"/>
      <w:r>
        <w:rPr>
          <w:color w:val="211E1E"/>
        </w:rPr>
        <w:t>recognisable</w:t>
      </w:r>
      <w:proofErr w:type="spellEnd"/>
      <w:r>
        <w:rPr>
          <w:color w:val="211E1E"/>
        </w:rPr>
        <w:t xml:space="preserve"> by their blue tinge and compact shape (Fig. 2d). Shearwater feathers are long, tapered and grey in </w:t>
      </w:r>
      <w:proofErr w:type="spellStart"/>
      <w:r>
        <w:rPr>
          <w:color w:val="211E1E"/>
        </w:rPr>
        <w:t>colour</w:t>
      </w:r>
      <w:proofErr w:type="spellEnd"/>
      <w:r>
        <w:rPr>
          <w:color w:val="211E1E"/>
        </w:rPr>
        <w:t xml:space="preserve">. Seabird carcasses </w:t>
      </w:r>
      <w:r>
        <w:rPr>
          <w:color w:val="211E1E"/>
        </w:rPr>
        <w:lastRenderedPageBreak/>
        <w:t>collected at Phillip Island were used to verify feather identity. The presence of bird hard parts in a single scat was recorded as one bird unless multiple appendages or heads suggested otherwise.</w:t>
      </w:r>
    </w:p>
    <w:p w14:paraId="0ECC545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4FCCA5C9" w14:textId="77777777" w:rsidR="00861E4E" w:rsidRDefault="0049238A">
      <w:pPr>
        <w:pStyle w:val="Heading3"/>
      </w:pPr>
      <w:bookmarkStart w:id="2" w:name="_1fob9te" w:colFirst="0" w:colLast="0"/>
      <w:bookmarkEnd w:id="2"/>
      <w:r>
        <w:t>S1.2 DNA metabarcoding of seabird genetic material &amp; reaction conditions</w:t>
      </w:r>
    </w:p>
    <w:p w14:paraId="7900E67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3297146A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DNA was extracted from 250 mg of </w:t>
      </w:r>
      <w:proofErr w:type="spellStart"/>
      <w:r>
        <w:rPr>
          <w:color w:val="000000"/>
        </w:rPr>
        <w:t>faecal</w:t>
      </w:r>
      <w:proofErr w:type="spellEnd"/>
      <w:r>
        <w:rPr>
          <w:color w:val="000000"/>
        </w:rPr>
        <w:t xml:space="preserve"> subsamples using </w:t>
      </w:r>
      <w:proofErr w:type="spellStart"/>
      <w:r>
        <w:rPr>
          <w:color w:val="000000"/>
        </w:rPr>
        <w:t>MoBio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PowerSoil</w:t>
      </w:r>
      <w:proofErr w:type="spellEnd"/>
      <w:r>
        <w:rPr>
          <w:color w:val="000000"/>
        </w:rPr>
        <w:t>® DNA Isolation Kits (</w:t>
      </w:r>
      <w:hyperlink r:id="rId13">
        <w:r>
          <w:rPr>
            <w:color w:val="0563C1"/>
            <w:u w:val="single"/>
          </w:rPr>
          <w:t>www.mobio.com</w:t>
        </w:r>
      </w:hyperlink>
      <w:r>
        <w:rPr>
          <w:color w:val="000000"/>
        </w:rPr>
        <w:t xml:space="preserve">) with modifications to the manufacturer’s instructions made in response to the extraction </w:t>
      </w:r>
      <w:proofErr w:type="spellStart"/>
      <w:r>
        <w:rPr>
          <w:color w:val="000000"/>
        </w:rPr>
        <w:t>optimisation</w:t>
      </w:r>
      <w:proofErr w:type="spellEnd"/>
      <w:r>
        <w:rPr>
          <w:color w:val="000000"/>
        </w:rPr>
        <w:t xml:space="preserve"> described herein. These included an overnight digestion phase in cell lysis buffer (C2 solution) at 4˚C, and the incubation step in inhibitor removal solution was extended from 5 to 60 minutes at 4˚C. The eluted DNA was stored at -20˚C. DNA was extracted from a domestic chicken (</w:t>
      </w:r>
      <w:r>
        <w:rPr>
          <w:i/>
          <w:color w:val="000000"/>
        </w:rPr>
        <w:t xml:space="preserve">Gallus </w:t>
      </w:r>
      <w:proofErr w:type="spellStart"/>
      <w:r>
        <w:rPr>
          <w:i/>
          <w:color w:val="000000"/>
        </w:rPr>
        <w:t>gallus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domesticus</w:t>
      </w:r>
      <w:proofErr w:type="spellEnd"/>
      <w:r>
        <w:rPr>
          <w:color w:val="000000"/>
        </w:rPr>
        <w:t>), and one of the target taxa, a little penguin (</w:t>
      </w:r>
      <w:r>
        <w:rPr>
          <w:i/>
          <w:color w:val="000000"/>
        </w:rPr>
        <w:t>Eudyptula minor</w:t>
      </w:r>
      <w:r>
        <w:rPr>
          <w:color w:val="000000"/>
        </w:rPr>
        <w:t xml:space="preserve">) carcass obtained by Phillip Island Nature Parks, and both were used as both positive controls and to test primer specificity. Extraction was from muscle tissue, from the </w:t>
      </w:r>
      <w:proofErr w:type="spellStart"/>
      <w:r>
        <w:rPr>
          <w:color w:val="000000"/>
        </w:rPr>
        <w:t>centre</w:t>
      </w:r>
      <w:proofErr w:type="spellEnd"/>
      <w:r>
        <w:rPr>
          <w:color w:val="000000"/>
        </w:rPr>
        <w:t xml:space="preserve"> of the birds’ tissue matrix (25mg), using </w:t>
      </w:r>
      <w:proofErr w:type="spellStart"/>
      <w:r>
        <w:rPr>
          <w:color w:val="000000"/>
        </w:rPr>
        <w:t>Bioline</w:t>
      </w:r>
      <w:proofErr w:type="spellEnd"/>
      <w:r>
        <w:rPr>
          <w:color w:val="000000"/>
        </w:rPr>
        <w:t xml:space="preserve"> Isolate II Genomic DNA Kits (</w:t>
      </w:r>
      <w:hyperlink r:id="rId14">
        <w:r>
          <w:rPr>
            <w:color w:val="0563C1"/>
            <w:u w:val="single"/>
          </w:rPr>
          <w:t>https://www.bioline.com/us/</w:t>
        </w:r>
      </w:hyperlink>
      <w:r>
        <w:rPr>
          <w:color w:val="000000"/>
        </w:rPr>
        <w:t xml:space="preserve">) as per manufacturer instructions. The DNA was stored in multiple aliquots to avoid freeze/thawing effects. A dedicated controlled eDNA laboratory was used at RMIT University, Bundoora, Victoria, with separate spaces and rooms designated for the physical separation of eDNA extraction, pre-PCR preparations and post-PCR procedures. Positive and negative controls (extraction and PCR) were used to identify potential contamination at each laboratory procedural step from DNA extraction to diagnostic PCR steps. </w:t>
      </w:r>
    </w:p>
    <w:p w14:paraId="68F6F99A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  <w:bookmarkStart w:id="3" w:name="_3znysh7" w:colFirst="0" w:colLast="0"/>
      <w:bookmarkEnd w:id="3"/>
      <w:r>
        <w:rPr>
          <w:color w:val="000000"/>
        </w:rPr>
        <w:t>Two diagnostic endpoint PCR (</w:t>
      </w:r>
      <w:proofErr w:type="spellStart"/>
      <w:r>
        <w:rPr>
          <w:color w:val="000000"/>
        </w:rPr>
        <w:t>dPCR</w:t>
      </w:r>
      <w:proofErr w:type="spellEnd"/>
      <w:r>
        <w:rPr>
          <w:color w:val="000000"/>
        </w:rPr>
        <w:t xml:space="preserve">) assays were tested on a subset of sample extracts (n =10, at both neat and 1:10 concentrations) and positive controls </w:t>
      </w:r>
      <w:r>
        <w:rPr>
          <w:color w:val="000000"/>
        </w:rPr>
        <w:lastRenderedPageBreak/>
        <w:t xml:space="preserve">(chicken and penguin) using two primers. The Bird12sa/h primer pair targets the 12S ribosomal RNA (rRNA) gene </w:t>
      </w:r>
      <w:hyperlink r:id="rId15">
        <w:r>
          <w:t>(Cooper, 1994)</w:t>
        </w:r>
      </w:hyperlink>
      <w:r>
        <w:rPr>
          <w:color w:val="000000"/>
        </w:rPr>
        <w:t>, and the AWCF1/R6 primer pair targets the</w:t>
      </w:r>
      <w:r>
        <w:rPr>
          <w:color w:val="000000"/>
          <w:highlight w:val="white"/>
        </w:rPr>
        <w:t xml:space="preserve"> cytochrome c oxidase 1 gene (COI</w:t>
      </w:r>
      <w:r>
        <w:rPr>
          <w:color w:val="000000"/>
        </w:rPr>
        <w:t xml:space="preserve">; Table S1) </w:t>
      </w:r>
      <w:hyperlink r:id="rId16">
        <w:r>
          <w:t>(Patel et al., 2010)</w:t>
        </w:r>
      </w:hyperlink>
      <w:r>
        <w:rPr>
          <w:color w:val="000000"/>
        </w:rPr>
        <w:t xml:space="preserve">. </w:t>
      </w:r>
      <w:r>
        <w:rPr>
          <w:rFonts w:ascii="Times" w:eastAsia="Times" w:hAnsi="Times" w:cs="Times"/>
          <w:color w:val="000000"/>
        </w:rPr>
        <w:t xml:space="preserve">Diagnostic </w:t>
      </w:r>
      <w:proofErr w:type="spellStart"/>
      <w:r>
        <w:rPr>
          <w:rFonts w:ascii="Times" w:eastAsia="Times" w:hAnsi="Times" w:cs="Times"/>
          <w:color w:val="000000"/>
        </w:rPr>
        <w:t>dPCRs</w:t>
      </w:r>
      <w:proofErr w:type="spellEnd"/>
      <w:r>
        <w:rPr>
          <w:rFonts w:ascii="Times" w:eastAsia="Times" w:hAnsi="Times" w:cs="Times"/>
          <w:color w:val="000000"/>
        </w:rPr>
        <w:t xml:space="preserve"> were run on Bio Rad C1000 Touch thermal cycler using cycling steps outlined in Table S2. We used the </w:t>
      </w:r>
      <w:proofErr w:type="spellStart"/>
      <w:r>
        <w:rPr>
          <w:rFonts w:ascii="Times" w:eastAsia="Times" w:hAnsi="Times" w:cs="Times"/>
          <w:color w:val="000000"/>
        </w:rPr>
        <w:t>AmpliTaq</w:t>
      </w:r>
      <w:proofErr w:type="spellEnd"/>
      <w:r>
        <w:rPr>
          <w:rFonts w:ascii="Times" w:eastAsia="Times" w:hAnsi="Times" w:cs="Times"/>
          <w:color w:val="000000"/>
        </w:rPr>
        <w:t xml:space="preserve"> Gold® 360 Master Mix using reagents and concentrations provided by the manufacturers (Table S2). Both primers were tested using positive controls and run on a gradient PCR from 52–58˚C (with 1˚C increments) to </w:t>
      </w:r>
      <w:proofErr w:type="spellStart"/>
      <w:r>
        <w:rPr>
          <w:rFonts w:ascii="Times" w:eastAsia="Times" w:hAnsi="Times" w:cs="Times"/>
          <w:color w:val="000000"/>
        </w:rPr>
        <w:t>optimise</w:t>
      </w:r>
      <w:proofErr w:type="spellEnd"/>
      <w:r>
        <w:rPr>
          <w:rFonts w:ascii="Times" w:eastAsia="Times" w:hAnsi="Times" w:cs="Times"/>
          <w:color w:val="000000"/>
        </w:rPr>
        <w:t xml:space="preserve"> the annealing temperature. Amplification was successful and similar at each temperature on that gradient. Ultimately, we selected 57˚C for the Bird12sa/h primer </w:t>
      </w:r>
      <w:hyperlink r:id="rId17">
        <w:r>
          <w:t>(Cooper, 1994)</w:t>
        </w:r>
      </w:hyperlink>
      <w:r>
        <w:rPr>
          <w:rFonts w:ascii="Times" w:eastAsia="Times" w:hAnsi="Times" w:cs="Times"/>
          <w:color w:val="000000"/>
        </w:rPr>
        <w:t xml:space="preserve">, and 54˚C for AWCF1/R6 </w:t>
      </w:r>
      <w:hyperlink r:id="rId18">
        <w:r>
          <w:t>(Patel et al., 2010)</w:t>
        </w:r>
      </w:hyperlink>
      <w:r>
        <w:rPr>
          <w:rFonts w:ascii="Times" w:eastAsia="Times" w:hAnsi="Times" w:cs="Times"/>
          <w:color w:val="000000"/>
        </w:rPr>
        <w:t>.</w:t>
      </w:r>
      <w:r>
        <w:rPr>
          <w:color w:val="000000"/>
        </w:rPr>
        <w:t xml:space="preserve"> Diagnostic endpoint PCR </w:t>
      </w:r>
      <w:r>
        <w:rPr>
          <w:rFonts w:ascii="Times" w:eastAsia="Times" w:hAnsi="Times" w:cs="Times"/>
          <w:color w:val="000000"/>
        </w:rPr>
        <w:t xml:space="preserve">products were run on 1.5% agarose gels to determine the presence/absence of amplified target bird DNA. While the COI assay successfully amplified penguin, and more so chicken, it detected bird DNA in &lt; 5% of the subset of samples. </w:t>
      </w:r>
      <w:r>
        <w:rPr>
          <w:rFonts w:ascii="Times" w:eastAsia="Times" w:hAnsi="Times" w:cs="Times"/>
        </w:rPr>
        <w:t xml:space="preserve">The shorter Bird12sa/h assay was found to be more sensitive than COI. Given the degraded nature of DNA found in </w:t>
      </w:r>
      <w:proofErr w:type="spellStart"/>
      <w:r>
        <w:rPr>
          <w:rFonts w:ascii="Times" w:eastAsia="Times" w:hAnsi="Times" w:cs="Times"/>
        </w:rPr>
        <w:t>faecal</w:t>
      </w:r>
      <w:proofErr w:type="spellEnd"/>
      <w:r>
        <w:rPr>
          <w:rFonts w:ascii="Times" w:eastAsia="Times" w:hAnsi="Times" w:cs="Times"/>
        </w:rPr>
        <w:t xml:space="preserve"> samples this was expected. </w:t>
      </w:r>
      <w:r>
        <w:rPr>
          <w:rFonts w:ascii="Times" w:eastAsia="Times" w:hAnsi="Times" w:cs="Times"/>
          <w:color w:val="000000"/>
        </w:rPr>
        <w:t xml:space="preserve">Consequently, due to time constraints and costs, we chose to continue with only the Bird 12sah assay. </w:t>
      </w:r>
    </w:p>
    <w:p w14:paraId="65D273A4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The </w:t>
      </w:r>
      <w:proofErr w:type="spellStart"/>
      <w:r>
        <w:rPr>
          <w:rFonts w:ascii="Times" w:eastAsia="Times" w:hAnsi="Times" w:cs="Times"/>
          <w:color w:val="000000"/>
        </w:rPr>
        <w:t>Ramaciotti</w:t>
      </w:r>
      <w:proofErr w:type="spellEnd"/>
      <w:r>
        <w:rPr>
          <w:rFonts w:ascii="Times" w:eastAsia="Times" w:hAnsi="Times" w:cs="Times"/>
          <w:color w:val="000000"/>
        </w:rPr>
        <w:t xml:space="preserve"> Centre for Genomics (RCG) laboratories, at the University of NSW, Sydney performed the library build and sequencing. Samples were assigned a unique MID (Multiplex </w:t>
      </w:r>
      <w:proofErr w:type="spellStart"/>
      <w:r>
        <w:rPr>
          <w:rFonts w:ascii="Times" w:eastAsia="Times" w:hAnsi="Times" w:cs="Times"/>
          <w:color w:val="000000"/>
        </w:rPr>
        <w:t>IDentifier</w:t>
      </w:r>
      <w:proofErr w:type="spellEnd"/>
      <w:r>
        <w:rPr>
          <w:rFonts w:ascii="Times" w:eastAsia="Times" w:hAnsi="Times" w:cs="Times"/>
          <w:color w:val="000000"/>
        </w:rPr>
        <w:t xml:space="preserve">) tag combination, next generation sequencing (NGS) adaptors and the Bird12sa/h primer using single-step fusion tag PCR. The amplicons were purified and blended in equimolar concentrations to form a library, which was sequenced with a 150 bp paired-end sequencing kit (Illumina </w:t>
      </w:r>
      <w:proofErr w:type="spellStart"/>
      <w:r>
        <w:rPr>
          <w:rFonts w:ascii="Times" w:eastAsia="Times" w:hAnsi="Times" w:cs="Times"/>
          <w:color w:val="000000"/>
        </w:rPr>
        <w:t>Miseq</w:t>
      </w:r>
      <w:proofErr w:type="spellEnd"/>
      <w:r>
        <w:rPr>
          <w:rFonts w:ascii="Times" w:eastAsia="Times" w:hAnsi="Times" w:cs="Times"/>
          <w:color w:val="000000"/>
        </w:rPr>
        <w:t xml:space="preserve"> v2 Nano 150 bp). We chose to use the single-step fusion PCR procedure over the cheaper and faster two-step PCR approach because cross contamination of amplified DNA can </w:t>
      </w:r>
      <w:r>
        <w:rPr>
          <w:rFonts w:ascii="Times" w:eastAsia="Times" w:hAnsi="Times" w:cs="Times"/>
          <w:color w:val="000000"/>
        </w:rPr>
        <w:lastRenderedPageBreak/>
        <w:t xml:space="preserve">occur among samples within the initial diagnostic step of a two-step PCR. That cross-contamination, however minor, can become significant during the second amplification step where MID tags are assigned; and where there is the potential for the tags to be paired and amplified with the wrong sample. This type of error is difficult to detect and risks cross-contamination of amplified DNA among samples between initial PCR products and terminal PCR products. </w:t>
      </w:r>
    </w:p>
    <w:p w14:paraId="55AB4D98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</w:p>
    <w:p w14:paraId="27CC9317" w14:textId="77777777" w:rsidR="00861E4E" w:rsidRDefault="0049238A">
      <w:pPr>
        <w:pStyle w:val="Heading3"/>
      </w:pPr>
      <w:bookmarkStart w:id="4" w:name="_2et92p0" w:colFirst="0" w:colLast="0"/>
      <w:bookmarkEnd w:id="4"/>
      <w:r>
        <w:t>S1.3 Bioinformatics pipeline and sequence quality filtering</w:t>
      </w:r>
    </w:p>
    <w:p w14:paraId="6E33AF25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i/>
        </w:rPr>
      </w:pPr>
    </w:p>
    <w:p w14:paraId="4FD31DD2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The demultiplexed sequence reads were assigned to the correct sample using the unique MID tag combinations. Pairs of forward and reverse target sequences were then stitched in </w:t>
      </w:r>
      <w:proofErr w:type="spellStart"/>
      <w:r>
        <w:rPr>
          <w:rFonts w:ascii="Times" w:eastAsia="Times" w:hAnsi="Times" w:cs="Times"/>
        </w:rPr>
        <w:t>Geneious</w:t>
      </w:r>
      <w:proofErr w:type="spellEnd"/>
      <w:r>
        <w:rPr>
          <w:rFonts w:ascii="Times" w:eastAsia="Times" w:hAnsi="Times" w:cs="Times"/>
        </w:rPr>
        <w:t xml:space="preserve"> (overlap = 70 bp). The MID tags, NGS adaptor sequences and the Bird12sa/h forward and reverse primers, were subsequently trimmed using </w:t>
      </w:r>
      <w:proofErr w:type="spellStart"/>
      <w:r>
        <w:rPr>
          <w:rFonts w:ascii="Times" w:eastAsia="Times" w:hAnsi="Times" w:cs="Times"/>
        </w:rPr>
        <w:t>Geneious</w:t>
      </w:r>
      <w:proofErr w:type="spellEnd"/>
      <w:r>
        <w:rPr>
          <w:rFonts w:ascii="Times" w:eastAsia="Times" w:hAnsi="Times" w:cs="Times"/>
        </w:rPr>
        <w:t xml:space="preserve"> R8.1.5 </w:t>
      </w:r>
      <w:hyperlink r:id="rId19">
        <w:r>
          <w:rPr>
            <w:rFonts w:ascii="Times" w:eastAsia="Times" w:hAnsi="Times" w:cs="Times"/>
          </w:rPr>
          <w:t>(Kearse et al., 2012)</w:t>
        </w:r>
      </w:hyperlink>
      <w:r>
        <w:rPr>
          <w:rFonts w:ascii="Times" w:eastAsia="Times" w:hAnsi="Times" w:cs="Times"/>
        </w:rPr>
        <w:t>. Sequences were discarded if they did not contain exact matches to both the forward and reverse PCR primers, tags and adaptor sequences; failed to pair; or, were shorter than the primer product length (&lt; 200 bp). Discarded sequences typically corresponded to low-quality reads or primer dimer.</w:t>
      </w:r>
    </w:p>
    <w:p w14:paraId="712BD308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ab/>
        <w:t xml:space="preserve">Target sequences were merged and clustered into molecular operational taxonomic units (OTUs) using the </w:t>
      </w:r>
      <w:r>
        <w:rPr>
          <w:rFonts w:ascii="Times" w:eastAsia="Times" w:hAnsi="Times" w:cs="Times"/>
          <w:i/>
          <w:color w:val="000000"/>
        </w:rPr>
        <w:t xml:space="preserve">UPARSE </w:t>
      </w:r>
      <w:r>
        <w:rPr>
          <w:rFonts w:ascii="Times" w:eastAsia="Times" w:hAnsi="Times" w:cs="Times"/>
          <w:color w:val="000000"/>
        </w:rPr>
        <w:t>algorithm (</w:t>
      </w:r>
      <w:r>
        <w:rPr>
          <w:rFonts w:ascii="Times" w:eastAsia="Times" w:hAnsi="Times" w:cs="Times"/>
          <w:i/>
          <w:color w:val="000000"/>
        </w:rPr>
        <w:t>USEARCH</w:t>
      </w:r>
      <w:r>
        <w:rPr>
          <w:rFonts w:ascii="Times" w:eastAsia="Times" w:hAnsi="Times" w:cs="Times"/>
          <w:color w:val="000000"/>
        </w:rPr>
        <w:t xml:space="preserve">) </w:t>
      </w:r>
      <w:hyperlink r:id="rId20">
        <w:r>
          <w:rPr>
            <w:rFonts w:ascii="Times" w:eastAsia="Times" w:hAnsi="Times" w:cs="Times"/>
            <w:color w:val="000000"/>
          </w:rPr>
          <w:t xml:space="preserve">(Edgar, 2010; Edgar &amp; </w:t>
        </w:r>
        <w:proofErr w:type="spellStart"/>
        <w:r>
          <w:rPr>
            <w:rFonts w:ascii="Times" w:eastAsia="Times" w:hAnsi="Times" w:cs="Times"/>
            <w:color w:val="000000"/>
          </w:rPr>
          <w:t>Flyvbjerg</w:t>
        </w:r>
        <w:proofErr w:type="spellEnd"/>
        <w:r>
          <w:rPr>
            <w:rFonts w:ascii="Times" w:eastAsia="Times" w:hAnsi="Times" w:cs="Times"/>
            <w:color w:val="000000"/>
          </w:rPr>
          <w:t>, 2015)</w:t>
        </w:r>
      </w:hyperlink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This filtering process: (</w:t>
      </w:r>
      <w:proofErr w:type="spellStart"/>
      <w:r>
        <w:rPr>
          <w:rFonts w:ascii="Times" w:eastAsia="Times" w:hAnsi="Times" w:cs="Times"/>
        </w:rPr>
        <w:t>i</w:t>
      </w:r>
      <w:proofErr w:type="spellEnd"/>
      <w:r>
        <w:rPr>
          <w:rFonts w:ascii="Times" w:eastAsia="Times" w:hAnsi="Times" w:cs="Times"/>
        </w:rPr>
        <w:t xml:space="preserve">) removes chimeric sequences; (ii) low abundance sequences are discarded below expected threshold abundances accounting for sequencing platform error (threshold value: &lt; 1% of total number of unique sequences); (iii) and sequences are clustered using a 97% similarity criterion </w:t>
      </w:r>
      <w:hyperlink r:id="rId21">
        <w:r>
          <w:rPr>
            <w:rFonts w:ascii="Times" w:eastAsia="Times" w:hAnsi="Times" w:cs="Times"/>
            <w:shd w:val="clear" w:color="auto" w:fill="DDDDDD"/>
          </w:rPr>
          <w:t>(similar to Berry et al., 2017; Hardy et al., 2017)</w:t>
        </w:r>
      </w:hyperlink>
      <w:r>
        <w:rPr>
          <w:rFonts w:ascii="Times" w:eastAsia="Times" w:hAnsi="Times" w:cs="Times"/>
        </w:rPr>
        <w:t xml:space="preserve">. Discarding sequence clusters containing &lt;1% of the total number of unique sequences removes low abundance </w:t>
      </w:r>
      <w:r>
        <w:rPr>
          <w:rFonts w:ascii="Times" w:eastAsia="Times" w:hAnsi="Times" w:cs="Times"/>
        </w:rPr>
        <w:lastRenderedPageBreak/>
        <w:t xml:space="preserve">sequences thereby </w:t>
      </w:r>
      <w:proofErr w:type="spellStart"/>
      <w:r>
        <w:rPr>
          <w:rFonts w:ascii="Times" w:eastAsia="Times" w:hAnsi="Times" w:cs="Times"/>
        </w:rPr>
        <w:t>minimising</w:t>
      </w:r>
      <w:proofErr w:type="spellEnd"/>
      <w:r>
        <w:rPr>
          <w:rFonts w:ascii="Times" w:eastAsia="Times" w:hAnsi="Times" w:cs="Times"/>
        </w:rPr>
        <w:t xml:space="preserve"> the risk of erroneous sequences and false positives from sequencing error, and vastly improves confidence in the analysis of the remaining sequences </w:t>
      </w:r>
      <w:hyperlink r:id="rId22">
        <w:r>
          <w:rPr>
            <w:rFonts w:ascii="Times" w:eastAsia="Times" w:hAnsi="Times" w:cs="Times"/>
          </w:rPr>
          <w:t>(Berry et al., 2017)</w:t>
        </w:r>
      </w:hyperlink>
      <w:r>
        <w:rPr>
          <w:rFonts w:ascii="Times" w:eastAsia="Times" w:hAnsi="Times" w:cs="Times"/>
        </w:rPr>
        <w:t xml:space="preserve">. </w:t>
      </w:r>
      <w:proofErr w:type="gramStart"/>
      <w:r>
        <w:rPr>
          <w:rFonts w:ascii="Times" w:eastAsia="Times" w:hAnsi="Times" w:cs="Times"/>
          <w:color w:val="000000"/>
        </w:rPr>
        <w:t>Thus</w:t>
      </w:r>
      <w:proofErr w:type="gramEnd"/>
      <w:r>
        <w:rPr>
          <w:rFonts w:ascii="Times" w:eastAsia="Times" w:hAnsi="Times" w:cs="Times"/>
          <w:color w:val="000000"/>
        </w:rPr>
        <w:t xml:space="preserve"> a total of 7370 unfiltered unique seabird DNA sequences were parsed to the standard QC and OTU analysis pipeline, using a threshold value of 73 (1% of unique sequences) as the minimum cluster size. This is a conservative threshold to account for any sequencing platform bias </w:t>
      </w:r>
      <w:hyperlink r:id="rId23">
        <w:r>
          <w:rPr>
            <w:rFonts w:ascii="Times" w:eastAsia="Times" w:hAnsi="Times" w:cs="Times"/>
          </w:rPr>
          <w:t>(Berry et al., 2017)</w:t>
        </w:r>
      </w:hyperlink>
      <w:r>
        <w:rPr>
          <w:rFonts w:ascii="Times" w:eastAsia="Times" w:hAnsi="Times" w:cs="Times"/>
          <w:color w:val="000000"/>
        </w:rPr>
        <w:t>. This effectively filtered over 64,700 down to 35,353 individual seabird DNA sequences across all 99 samples.</w:t>
      </w:r>
    </w:p>
    <w:p w14:paraId="394BE0A1" w14:textId="64AC18DF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Consensus sequences for each OTU (Table S3) were queried against the National Center for Biotechnology Information’s (NCBI) GenBank nucleotide database using </w:t>
      </w:r>
      <w:proofErr w:type="spellStart"/>
      <w:r>
        <w:rPr>
          <w:rFonts w:ascii="Times" w:eastAsia="Times" w:hAnsi="Times" w:cs="Times"/>
          <w:color w:val="000000"/>
        </w:rPr>
        <w:t>BLASTn</w:t>
      </w:r>
      <w:proofErr w:type="spellEnd"/>
      <w:r>
        <w:rPr>
          <w:rFonts w:ascii="Times" w:eastAsia="Times" w:hAnsi="Times" w:cs="Times"/>
          <w:color w:val="000000"/>
        </w:rPr>
        <w:t xml:space="preserve"> (Basic Local Alignment Search Tool) </w:t>
      </w:r>
      <w:hyperlink r:id="rId24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Altschul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1990; Benson et al., 2005)</w:t>
        </w:r>
      </w:hyperlink>
      <w:r>
        <w:rPr>
          <w:rFonts w:ascii="Times" w:eastAsia="Times" w:hAnsi="Times" w:cs="Times"/>
          <w:color w:val="000000"/>
        </w:rPr>
        <w:t xml:space="preserve">. The results were then </w:t>
      </w:r>
      <w:proofErr w:type="spellStart"/>
      <w:r>
        <w:rPr>
          <w:rFonts w:ascii="Times" w:eastAsia="Times" w:hAnsi="Times" w:cs="Times"/>
          <w:color w:val="000000"/>
        </w:rPr>
        <w:t>visualised</w:t>
      </w:r>
      <w:proofErr w:type="spellEnd"/>
      <w:r>
        <w:rPr>
          <w:rFonts w:ascii="Times" w:eastAsia="Times" w:hAnsi="Times" w:cs="Times"/>
          <w:color w:val="000000"/>
        </w:rPr>
        <w:t xml:space="preserve"> in MEGAN (</w:t>
      </w:r>
      <w:proofErr w:type="spellStart"/>
      <w:r>
        <w:rPr>
          <w:rFonts w:ascii="Times" w:eastAsia="Times" w:hAnsi="Times" w:cs="Times"/>
          <w:color w:val="000000"/>
        </w:rPr>
        <w:t>MEtaGenome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ANalyser</w:t>
      </w:r>
      <w:proofErr w:type="spellEnd"/>
      <w:r>
        <w:rPr>
          <w:rFonts w:ascii="Times" w:eastAsia="Times" w:hAnsi="Times" w:cs="Times"/>
          <w:color w:val="000000"/>
        </w:rPr>
        <w:t xml:space="preserve">) </w:t>
      </w:r>
      <w:hyperlink r:id="rId25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Huson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2007)</w:t>
        </w:r>
      </w:hyperlink>
      <w:r>
        <w:rPr>
          <w:rFonts w:ascii="Times" w:eastAsia="Times" w:hAnsi="Times" w:cs="Times"/>
          <w:color w:val="000000"/>
        </w:rPr>
        <w:t xml:space="preserve">. Assignments to taxa were made following criteria and taxonomic reference databases outlined in </w:t>
      </w:r>
      <w:hyperlink r:id="rId26">
        <w:r>
          <w:rPr>
            <w:rFonts w:ascii="Times" w:eastAsia="Times" w:hAnsi="Times" w:cs="Times"/>
            <w:color w:val="000000"/>
          </w:rPr>
          <w:t>Hardy et al. (2017)</w:t>
        </w:r>
      </w:hyperlink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and </w:t>
      </w:r>
      <w:hyperlink r:id="rId27">
        <w:proofErr w:type="spellStart"/>
        <w:r>
          <w:rPr>
            <w:rFonts w:ascii="Times" w:eastAsia="Times" w:hAnsi="Times" w:cs="Times"/>
            <w:color w:val="000000"/>
          </w:rPr>
          <w:t>Deagle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 (2009)</w:t>
        </w:r>
      </w:hyperlink>
      <w:r>
        <w:rPr>
          <w:rFonts w:ascii="Times" w:eastAsia="Times" w:hAnsi="Times" w:cs="Times"/>
          <w:color w:val="000000"/>
        </w:rPr>
        <w:t xml:space="preserve">. The objective of these criteria was to further ensure maximum confidence in making a taxonomic identification, and </w:t>
      </w:r>
      <w:proofErr w:type="spellStart"/>
      <w:r>
        <w:rPr>
          <w:rFonts w:ascii="Times" w:eastAsia="Times" w:hAnsi="Times" w:cs="Times"/>
          <w:color w:val="000000"/>
        </w:rPr>
        <w:t>minimise</w:t>
      </w:r>
      <w:proofErr w:type="spellEnd"/>
      <w:r>
        <w:rPr>
          <w:rFonts w:ascii="Times" w:eastAsia="Times" w:hAnsi="Times" w:cs="Times"/>
          <w:color w:val="000000"/>
        </w:rPr>
        <w:t xml:space="preserve"> the risk of false positives. Potential prey identifications were individually investigated by consulting reference resources to assess their likelihood. The factors considered include: (1) ensuring that the prey’s geographic distribution broadly matched that of the expected southeast Australian foraging areas of the long-nosed fur seals, and (2) checking the diversity of closely related species and the presence/absence of voucher sequences for these in GenBank to ensure that any other likely prey species were not overlooked for want of genetic reference information. A range of reference databases were consulted, including: Atlas of Living Australia </w:t>
      </w:r>
      <w:hyperlink r:id="rId28">
        <w:r>
          <w:rPr>
            <w:rFonts w:ascii="Times" w:eastAsia="Times" w:hAnsi="Times" w:cs="Times"/>
          </w:rPr>
          <w:t>(ALA, 2019)</w:t>
        </w:r>
      </w:hyperlink>
      <w:r>
        <w:rPr>
          <w:rFonts w:ascii="Times" w:eastAsia="Times" w:hAnsi="Times" w:cs="Times"/>
          <w:color w:val="000000"/>
        </w:rPr>
        <w:t xml:space="preserve">, the </w:t>
      </w:r>
      <w:hyperlink r:id="rId29">
        <w:r>
          <w:rPr>
            <w:rFonts w:ascii="Times" w:eastAsia="Times" w:hAnsi="Times" w:cs="Times"/>
          </w:rPr>
          <w:t>Australian Museum (2019)</w:t>
        </w:r>
      </w:hyperlink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reference base </w:t>
      </w:r>
      <w:r>
        <w:rPr>
          <w:rFonts w:ascii="Times" w:eastAsia="Times" w:hAnsi="Times" w:cs="Times"/>
          <w:color w:val="000000"/>
        </w:rPr>
        <w:lastRenderedPageBreak/>
        <w:t xml:space="preserve">and </w:t>
      </w:r>
      <w:hyperlink r:id="rId30">
        <w:proofErr w:type="spellStart"/>
        <w:r>
          <w:rPr>
            <w:rFonts w:ascii="Times" w:eastAsia="Times" w:hAnsi="Times" w:cs="Times"/>
          </w:rPr>
          <w:t>Redmap</w:t>
        </w:r>
        <w:proofErr w:type="spellEnd"/>
        <w:r>
          <w:rPr>
            <w:rFonts w:ascii="Times" w:eastAsia="Times" w:hAnsi="Times" w:cs="Times"/>
          </w:rPr>
          <w:t xml:space="preserve"> </w:t>
        </w:r>
        <w:r w:rsidR="003E66AB">
          <w:rPr>
            <w:rFonts w:ascii="Times" w:eastAsia="Times" w:hAnsi="Times" w:cs="Times"/>
          </w:rPr>
          <w:t>(</w:t>
        </w:r>
        <w:r>
          <w:rPr>
            <w:rFonts w:ascii="Times" w:eastAsia="Times" w:hAnsi="Times" w:cs="Times"/>
          </w:rPr>
          <w:t>2019)</w:t>
        </w:r>
      </w:hyperlink>
      <w:r>
        <w:rPr>
          <w:rFonts w:ascii="Times" w:eastAsia="Times" w:hAnsi="Times" w:cs="Times"/>
          <w:color w:val="000000"/>
        </w:rPr>
        <w:t>. All the identified seabirds occurred within the geographic ranges of the LNFS and are considered viable prey species for LNFS.</w:t>
      </w:r>
    </w:p>
    <w:p w14:paraId="2EF54ABE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 w:rsidSect="00F64DA3">
          <w:pgSz w:w="11900" w:h="16840"/>
          <w:pgMar w:top="1440" w:right="1800" w:bottom="1440" w:left="1800" w:header="708" w:footer="708" w:gutter="0"/>
          <w:lnNumType w:countBy="1" w:restart="continuous"/>
          <w:pgNumType w:start="1"/>
          <w:cols w:space="720"/>
          <w:docGrid w:linePitch="326"/>
        </w:sectPr>
      </w:pPr>
    </w:p>
    <w:p w14:paraId="13413517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479E7392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Table S1. </w:t>
      </w:r>
      <w:r>
        <w:rPr>
          <w:rFonts w:ascii="Times" w:eastAsia="Times" w:hAnsi="Times" w:cs="Times"/>
          <w:color w:val="000000"/>
          <w:highlight w:val="white"/>
        </w:rPr>
        <w:t>Details for primers used, target taxa and gene, as well as designer references.</w:t>
      </w:r>
    </w:p>
    <w:tbl>
      <w:tblPr>
        <w:tblStyle w:val="a"/>
        <w:tblW w:w="13960" w:type="dxa"/>
        <w:tblLayout w:type="fixed"/>
        <w:tblLook w:val="0400" w:firstRow="0" w:lastRow="0" w:firstColumn="0" w:lastColumn="0" w:noHBand="0" w:noVBand="1"/>
      </w:tblPr>
      <w:tblGrid>
        <w:gridCol w:w="1221"/>
        <w:gridCol w:w="1659"/>
        <w:gridCol w:w="992"/>
        <w:gridCol w:w="808"/>
        <w:gridCol w:w="4860"/>
        <w:gridCol w:w="1521"/>
        <w:gridCol w:w="1539"/>
        <w:gridCol w:w="1360"/>
      </w:tblGrid>
      <w:tr w:rsidR="00861E4E" w14:paraId="054EF313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4C4751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PCR Assay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FCBDC8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set used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AD7E83A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Target Taxa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7F4FA5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Gene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C34025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sequence 5' to 3'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24B9D4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Amplicon length (base pairs)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9DC769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Reference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9BD7C1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Assay Temp (˚C)</w:t>
            </w:r>
          </w:p>
        </w:tc>
      </w:tr>
      <w:tr w:rsidR="00861E4E" w14:paraId="5937C738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FDC8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Bird12S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BB22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12Sa (F)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D97B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15D3C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 rRNA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52966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F909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~230 bp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3B58D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BCB0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57˚</w:t>
            </w:r>
          </w:p>
        </w:tc>
      </w:tr>
      <w:tr w:rsidR="00861E4E" w14:paraId="06F807F0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E291B9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FD530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12Sh (R)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661D51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F58A3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781F2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CCTTGACCTGTCTTGTTAGC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F44D9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112F72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55F080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861E4E" w14:paraId="01314433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5546D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BirdCOI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ACED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AWCF1 (F)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CEA64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28B63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COI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395E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CGCYTWAACAYTCYGCCATCTTACC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F9A52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~848 bp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42209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Patel et al. (2010)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E8FCA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54–55˚</w:t>
            </w:r>
          </w:p>
        </w:tc>
      </w:tr>
      <w:tr w:rsidR="00861E4E" w14:paraId="5F46EDE2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A120E7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1C22FC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AWCR6 (R)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1AF688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1496288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63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755A5F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ATTCCTATGTAGCCGAATGGTTCTTT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BCCD52A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C1A7D5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</w:tr>
    </w:tbl>
    <w:p w14:paraId="3F20E64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 w:rsidSect="00F64DA3"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6C2FBA5D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lastRenderedPageBreak/>
        <w:t>Table S2.</w:t>
      </w:r>
      <w:r>
        <w:rPr>
          <w:rFonts w:ascii="Times" w:eastAsia="Times" w:hAnsi="Times" w:cs="Times"/>
          <w:color w:val="000000"/>
        </w:rPr>
        <w:t xml:space="preserve"> PCR reaction reagent concentrations and conditions.</w:t>
      </w:r>
    </w:p>
    <w:tbl>
      <w:tblPr>
        <w:tblStyle w:val="a0"/>
        <w:tblW w:w="719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598"/>
        <w:gridCol w:w="2298"/>
        <w:gridCol w:w="2298"/>
      </w:tblGrid>
      <w:tr w:rsidR="00861E4E" w14:paraId="1364901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E0D69E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Reagents/Concentration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3A5E23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E55E6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Patel et al. (2010)</w:t>
            </w:r>
          </w:p>
        </w:tc>
      </w:tr>
      <w:tr w:rsidR="00861E4E" w14:paraId="06297978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3F9364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Primer: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AA2F1F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Bird12sa/h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8895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b/>
                <w:color w:val="000000"/>
              </w:rPr>
              <w:t>AWCF1/R6</w:t>
            </w:r>
          </w:p>
        </w:tc>
      </w:tr>
      <w:tr w:rsidR="00861E4E" w14:paraId="266D43C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25A02D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E7E9EF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A426B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</w:tr>
      <w:tr w:rsidR="00861E4E" w14:paraId="1F1A97BB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CEA76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Molecular grade H2O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F7E58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8.5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532DCCE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6.5</w:t>
            </w:r>
          </w:p>
        </w:tc>
      </w:tr>
      <w:tr w:rsidR="00861E4E" w14:paraId="1F0694A4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BA44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AmpliTaq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Gold®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AB6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44D4492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</w:tr>
      <w:tr w:rsidR="00861E4E" w14:paraId="521AF4B7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8111A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EDE6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17F5F73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2B589888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2AFF9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9C78B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10D08A5C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57F51B92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E05A3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Template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9F1F4C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4764D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6E1A0D95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12F8D1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Total master-mix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844E8D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A5B4E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</w:tr>
      <w:tr w:rsidR="00861E4E" w14:paraId="1A34843A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887FD2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PCR cycling conditions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4076390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834D2C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</w:tr>
      <w:tr w:rsidR="00861E4E" w14:paraId="7595FC45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BC166A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Denaturing step: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58B2C3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2C326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</w:tr>
      <w:tr w:rsidR="00861E4E" w14:paraId="35A2B9D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5FBCA1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annealing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784CB4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57˚C for 30s and 72°C for 45s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76D3A8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54˚C for 30s and 72°C for 45s</w:t>
            </w:r>
          </w:p>
        </w:tc>
      </w:tr>
      <w:tr w:rsidR="00861E4E" w14:paraId="15FF95C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EC100F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Number of cycles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D4FE27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AFF9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</w:tr>
      <w:tr w:rsidR="00861E4E" w14:paraId="19A4E553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922817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Final extension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BCE4BB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3C55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</w:tr>
    </w:tbl>
    <w:p w14:paraId="65FE6EA0" w14:textId="5C198F53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>
          <w:type w:val="continuous"/>
          <w:pgSz w:w="11900" w:h="16840"/>
          <w:pgMar w:top="1440" w:right="1800" w:bottom="1440" w:left="1800" w:header="708" w:footer="708" w:gutter="0"/>
          <w:pgNumType w:start="1"/>
          <w:cols w:space="720"/>
        </w:sectPr>
      </w:pPr>
    </w:p>
    <w:p w14:paraId="4B66611B" w14:textId="18BC35D2" w:rsidR="00861E4E" w:rsidRDefault="0049238A">
      <w:pPr>
        <w:pStyle w:val="Heading2"/>
      </w:pPr>
      <w:bookmarkStart w:id="5" w:name="_tyjcwt" w:colFirst="0" w:colLast="0"/>
      <w:bookmarkEnd w:id="5"/>
      <w:r>
        <w:lastRenderedPageBreak/>
        <w:t>S</w:t>
      </w:r>
      <w:r w:rsidR="00BE3E2F">
        <w:t>2</w:t>
      </w:r>
      <w:r>
        <w:t>. R</w:t>
      </w:r>
      <w:r w:rsidR="00793873">
        <w:t>esults supplement</w:t>
      </w:r>
    </w:p>
    <w:p w14:paraId="1C905D72" w14:textId="51FC877A" w:rsidR="00793873" w:rsidRDefault="00793873" w:rsidP="00793873"/>
    <w:p w14:paraId="5FE63600" w14:textId="77777777" w:rsidR="00793873" w:rsidRPr="00793873" w:rsidRDefault="00793873" w:rsidP="00793873"/>
    <w:p w14:paraId="0A9B904D" w14:textId="1CC6B56B" w:rsidR="001A461A" w:rsidRDefault="001A461A" w:rsidP="00E75B7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b/>
          <w:color w:val="000000"/>
        </w:rPr>
        <w:t xml:space="preserve">Table </w:t>
      </w:r>
      <w:r w:rsidR="00E75B75">
        <w:rPr>
          <w:b/>
          <w:color w:val="000000"/>
        </w:rPr>
        <w:t>S3</w:t>
      </w:r>
      <w:r>
        <w:rPr>
          <w:b/>
          <w:color w:val="000000"/>
        </w:rPr>
        <w:t xml:space="preserve">. </w:t>
      </w:r>
      <w:proofErr w:type="spellStart"/>
      <w:r>
        <w:rPr>
          <w:color w:val="000000"/>
        </w:rPr>
        <w:t>Generalised</w:t>
      </w:r>
      <w:proofErr w:type="spellEnd"/>
      <w:r>
        <w:rPr>
          <w:color w:val="000000"/>
        </w:rPr>
        <w:t xml:space="preserve"> linear model with binomial distribution for a) seabird and b) little penguin detections in long-nosed fur seal scats across sampling group (combined location and sampling time) for seabird diagnostic morphological remains or genetic material (significant variables in </w:t>
      </w:r>
      <w:r>
        <w:rPr>
          <w:b/>
          <w:color w:val="000000"/>
        </w:rPr>
        <w:t>bold</w:t>
      </w:r>
      <w:r>
        <w:rPr>
          <w:color w:val="000000"/>
        </w:rPr>
        <w:t>,</w:t>
      </w:r>
      <w:r>
        <w:rPr>
          <w:b/>
          <w:color w:val="000000"/>
        </w:rPr>
        <w:t xml:space="preserve"> </w:t>
      </w:r>
      <w:r>
        <w:rPr>
          <w:color w:val="000000"/>
        </w:rPr>
        <w:t>P &gt; 0.05).</w:t>
      </w:r>
    </w:p>
    <w:tbl>
      <w:tblPr>
        <w:tblStyle w:val="a"/>
        <w:tblW w:w="9828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6"/>
        <w:gridCol w:w="2153"/>
        <w:gridCol w:w="1680"/>
        <w:gridCol w:w="554"/>
        <w:gridCol w:w="1109"/>
        <w:gridCol w:w="1160"/>
        <w:gridCol w:w="1074"/>
        <w:gridCol w:w="1142"/>
      </w:tblGrid>
      <w:tr w:rsidR="001A461A" w14:paraId="24524B87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FB9E8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FDA8F7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 type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47D23D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Explanatory variables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594515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df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BBDEB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Residual deviance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5BF32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Residual df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8B6BB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Deviance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AF476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</w:t>
            </w:r>
          </w:p>
        </w:tc>
      </w:tr>
      <w:tr w:rsidR="001A461A" w14:paraId="3FE39B47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28341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Seabird</w:t>
            </w: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640D9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6AE1A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0990B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DC03C0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0.2081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88C4E6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F697D4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114.403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2B658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0.6483</w:t>
            </w:r>
          </w:p>
        </w:tc>
      </w:tr>
      <w:tr w:rsidR="001A461A" w14:paraId="472CD3CB" w14:textId="77777777" w:rsidTr="00212BF7">
        <w:trPr>
          <w:trHeight w:val="324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C8D08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F4ADC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BC546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FE154F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844C24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15.4554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69F61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13AC1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98.948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BE14B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0.0170 *</w:t>
            </w:r>
          </w:p>
        </w:tc>
      </w:tr>
      <w:tr w:rsidR="001A461A" w14:paraId="4B5B9E48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C5F89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Penguin</w:t>
            </w: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DDF37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D23B2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342AF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616A3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1.6403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33F4E6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471B9B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95.604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FAF37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0.2003</w:t>
            </w:r>
          </w:p>
        </w:tc>
      </w:tr>
      <w:tr w:rsidR="001A461A" w14:paraId="147432A3" w14:textId="77777777" w:rsidTr="00212BF7">
        <w:trPr>
          <w:trHeight w:val="324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D41FE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D7A78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43712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920CA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4BB8A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8.1254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F6CAC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D5F40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87.479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CBEDF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0.2291</w:t>
            </w:r>
          </w:p>
        </w:tc>
      </w:tr>
    </w:tbl>
    <w:p w14:paraId="48C742E6" w14:textId="77777777" w:rsidR="001A461A" w:rsidRDefault="001A461A" w:rsidP="001A46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81A42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19041A77" w14:textId="129868A8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Table S</w:t>
      </w:r>
      <w:r w:rsidR="00E75B75">
        <w:rPr>
          <w:b/>
          <w:color w:val="000000"/>
        </w:rPr>
        <w:t>4</w:t>
      </w:r>
      <w:r>
        <w:rPr>
          <w:b/>
          <w:color w:val="000000"/>
        </w:rPr>
        <w:t>.</w:t>
      </w:r>
      <w:r>
        <w:rPr>
          <w:color w:val="000000"/>
        </w:rPr>
        <w:t xml:space="preserve"> Genetic blast identifications of operational taxonomic units (OTUs), including information on query length and coverage, accession number and consensus sequence for the identification. </w:t>
      </w:r>
    </w:p>
    <w:tbl>
      <w:tblPr>
        <w:tblStyle w:val="a1"/>
        <w:tblW w:w="13402" w:type="dxa"/>
        <w:tblLayout w:type="fixed"/>
        <w:tblLook w:val="0400" w:firstRow="0" w:lastRow="0" w:firstColumn="0" w:lastColumn="0" w:noHBand="0" w:noVBand="1"/>
      </w:tblPr>
      <w:tblGrid>
        <w:gridCol w:w="1342"/>
        <w:gridCol w:w="1260"/>
        <w:gridCol w:w="1620"/>
        <w:gridCol w:w="1980"/>
        <w:gridCol w:w="7200"/>
      </w:tblGrid>
      <w:tr w:rsidR="00861E4E" w14:paraId="619097A2" w14:textId="77777777">
        <w:trPr>
          <w:trHeight w:val="312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77FB74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OTU # (sequence abundance)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F68223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Query base-pair length (coverage)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EB28E5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ID (classification)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8CAB29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Representative taxon (accession number)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8F3929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Consensus sequence</w:t>
            </w:r>
          </w:p>
        </w:tc>
      </w:tr>
      <w:tr w:rsidR="00861E4E" w14:paraId="60181B4F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161578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OTU_1 (17,558)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425A7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231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96223C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Eudyptula minor</w:t>
            </w:r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AC4ACE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Eudyptula minor</w:t>
            </w:r>
            <w:r>
              <w:rPr>
                <w:rFonts w:ascii="Times" w:eastAsia="Times" w:hAnsi="Times" w:cs="Times"/>
                <w:color w:val="000000"/>
              </w:rPr>
              <w:t xml:space="preserve"> (MF370525)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FBEA6F6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GCCTAGCCCTAAATCTTGATACTTTCTATCACCAAAGTATCCGCCTGAGAACTACGAGCACAAACGCTTAAAACTCTAAGGACTTGG</w:t>
            </w:r>
            <w:r>
              <w:rPr>
                <w:rFonts w:ascii="Times" w:eastAsia="Times" w:hAnsi="Times" w:cs="Times"/>
                <w:color w:val="000000"/>
              </w:rPr>
              <w:lastRenderedPageBreak/>
              <w:t>CGGTGCCCCAAACCCACCTAGAGGAGCCTGTTCTATAATCGATAACCCACGATGCACCCAACCACTCCTTGCCAAAACAGCCTATATACCGCCGTCGCCAGCCCACCTCCCCTGAGAGCCTAACAGTGAGCCTAATAGCCCTCC</w:t>
            </w:r>
          </w:p>
        </w:tc>
      </w:tr>
      <w:tr w:rsidR="00861E4E" w14:paraId="5B4B8048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DC8DC7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OTU_2 (12,413)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37CA3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256 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562974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sp.1 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810FD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Pterodroma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brevirostris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(AY158678)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448E37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CTGGGATTAGATACCCCACTATGCTTAGCCCTAAATCTTGATACTTACCCTACTGAAGTATCCGCCTGAGAACTACGAGCACAAACGCTTAAAACTCTAAGGACTTGGCGGTGCCCCAAACCCACCTAGAGGAGCCTGTTCTATAATCGATAACCCACGATACACCCGACCACTCCTTGCCGAAGCAGCCTACATACCGCCGTCGCCAGCTCACCTTTC-TGAAAGCACAGCAGTGAGCACAATAGCAACCAACATC</w:t>
            </w:r>
          </w:p>
        </w:tc>
      </w:tr>
      <w:tr w:rsidR="00861E4E" w14:paraId="25566A2D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853680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OTU_3 (3,902)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88BF5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257 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223E29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sp.2 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B7698A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Puffinus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 (AF173572)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35880E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GCTTAGCCCTAAATCTTGATACTTACCTTACTGAAGTATCCGCCTGAGAACTACGAGCACAAACGCTTAAAACTCTAAGGACTTGGCGGTGCTCCAAACCCACCTAGAGGAGCCTGTTCTATAATCGATAACCCACGATAAACCCAACCGCTCTTTGCCAAAGCAGCCTACATACCGCCGTCGCCAGCTCACCTTTCCTGAAAGTATAACAGTGAGCACAATAGCCCCCAGCATC</w:t>
            </w:r>
          </w:p>
        </w:tc>
      </w:tr>
      <w:tr w:rsidR="00861E4E" w14:paraId="3A7B2C44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33F9D0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OTU_4 (1,598)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03ACFB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254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0FDBF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75A6AF" w14:textId="77777777" w:rsidR="00861E4E" w:rsidRDefault="0049238A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(AY158677)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B886442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CTGGGATTAGATACCCCACTATGCCTAGCCCTAAATCTTGATACTTACCCCACCAAAGTATCCGCCCGAGAACTACGAGCGCAAACGCTTAAAACTCTAAGGACTTGGCGGTGTCCCAAATCCACCTAGAGGAGCCTGTTCTATAATCGATAACCCACGATACACCCAACCGTTCCTTGCCAAAACAGCCTACATACCGCCGTCGCCAGCCCACCTCCCCTGAGAGCTCAACAGTGGACACAATAGCCTACCCC</w:t>
            </w:r>
          </w:p>
        </w:tc>
      </w:tr>
      <w:tr w:rsidR="00861E4E" w14:paraId="65838C2D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5E02F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OTU_5 (16)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A3DA61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232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FD744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61EA95" w14:textId="77777777" w:rsidR="00861E4E" w:rsidRDefault="0049238A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(MH006905.1)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64713177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GCCTAGCCCTAAATCTTGATGTTTGTCATACTAAAGCATCCGCCTGAGAACTACGAGCACAAACGCTTAAAACTCTAAGG ACTTGGCGGTGCCCCAAACCCACCTAGAGGAGCCTGTTCTGTAATCGATAACCCACGATTTACCCGACCACCCCTTGCTA AGGCAGCCTACATACCGCCGTCGCCAGCTCACCTTCACTGAGAGCCAAACAGTGAGCGCAATAGCTCAACTC</w:t>
            </w:r>
          </w:p>
        </w:tc>
      </w:tr>
    </w:tbl>
    <w:p w14:paraId="02A5946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253B2F80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6A9A138C" w14:textId="5D7B9F09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lastRenderedPageBreak/>
        <w:t>Table S</w:t>
      </w:r>
      <w:r w:rsidR="00E75B75">
        <w:rPr>
          <w:b/>
          <w:color w:val="000000"/>
        </w:rPr>
        <w:t>5</w:t>
      </w:r>
      <w:r>
        <w:rPr>
          <w:b/>
          <w:color w:val="000000"/>
        </w:rPr>
        <w:t>.</w:t>
      </w:r>
      <w:r>
        <w:rPr>
          <w:color w:val="000000"/>
        </w:rPr>
        <w:t xml:space="preserve"> Individual sample composition and OTU analysis output table. </w:t>
      </w:r>
    </w:p>
    <w:tbl>
      <w:tblPr>
        <w:tblStyle w:val="a2"/>
        <w:tblW w:w="14193" w:type="dxa"/>
        <w:tblLayout w:type="fixed"/>
        <w:tblLook w:val="0400" w:firstRow="0" w:lastRow="0" w:firstColumn="0" w:lastColumn="0" w:noHBand="0" w:noVBand="1"/>
      </w:tblPr>
      <w:tblGrid>
        <w:gridCol w:w="3741"/>
        <w:gridCol w:w="2002"/>
        <w:gridCol w:w="2035"/>
        <w:gridCol w:w="2035"/>
        <w:gridCol w:w="2384"/>
        <w:gridCol w:w="1996"/>
      </w:tblGrid>
      <w:tr w:rsidR="00861E4E" w14:paraId="5D0873F5" w14:textId="77777777">
        <w:trPr>
          <w:trHeight w:val="279"/>
        </w:trPr>
        <w:tc>
          <w:tcPr>
            <w:tcW w:w="374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ECCEBB" w14:textId="77777777" w:rsidR="00861E4E" w:rsidRDefault="0049238A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Prey ID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C3B2DA" w14:textId="77777777" w:rsidR="00861E4E" w:rsidRDefault="0049238A">
            <w:pPr>
              <w:rPr>
                <w:rFonts w:ascii="Times" w:eastAsia="Times" w:hAnsi="Times" w:cs="Times"/>
                <w:b/>
                <w:i/>
                <w:color w:val="000000"/>
              </w:rPr>
            </w:pPr>
            <w:r>
              <w:rPr>
                <w:rFonts w:ascii="Times" w:eastAsia="Times" w:hAnsi="Times" w:cs="Times"/>
                <w:b/>
                <w:i/>
                <w:color w:val="000000"/>
              </w:rPr>
              <w:t>Eudyptula minor (MF370525)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B123A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</w:rPr>
              <w:t xml:space="preserve"> sp.1 (family)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B1519A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</w:rPr>
              <w:t xml:space="preserve"> sp.2 (family)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94408F" w14:textId="77777777" w:rsidR="00861E4E" w:rsidRDefault="0049238A">
            <w:pPr>
              <w:rPr>
                <w:rFonts w:ascii="Times" w:eastAsia="Times" w:hAnsi="Times" w:cs="Times"/>
                <w:b/>
                <w:i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b/>
                <w:i/>
                <w:color w:val="000000"/>
              </w:rPr>
              <w:t xml:space="preserve"> (AY158677)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7D8FF5" w14:textId="77777777" w:rsidR="00861E4E" w:rsidRDefault="0049238A">
            <w:pPr>
              <w:rPr>
                <w:rFonts w:ascii="Times" w:eastAsia="Times" w:hAnsi="Times" w:cs="Times"/>
                <w:b/>
                <w:i/>
              </w:rPr>
            </w:pPr>
            <w:r>
              <w:rPr>
                <w:rFonts w:ascii="Times" w:eastAsia="Times" w:hAnsi="Times" w:cs="Times"/>
                <w:b/>
                <w:i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b/>
                <w:i/>
              </w:rPr>
              <w:t>bergii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(MH006905.1)</w:t>
            </w:r>
          </w:p>
        </w:tc>
      </w:tr>
      <w:tr w:rsidR="00861E4E" w14:paraId="7757726C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55628F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 ID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B2D8A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OTU_1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E23D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217FD1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313BCF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OTU_4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D04798" w14:textId="77777777" w:rsidR="00861E4E" w:rsidRDefault="0049238A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OTU_5</w:t>
            </w:r>
          </w:p>
        </w:tc>
      </w:tr>
      <w:tr w:rsidR="00861E4E" w14:paraId="4830306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CDA220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CBW1_16_7_S78_Bird12sB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D1A06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5520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04911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3E5C1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EF40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AC4BA6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59B997B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BCB1BB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CBW1_16_13_S81_Bird12sB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FB517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71FA4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9C70A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99B8B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50116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7F1AA0C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FDC010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CBW1_17_5_S91_Bird12sB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BE005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1F5A2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D34B0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F183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55C95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C39A168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9670F2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CBW1_17_9_S92_Bird12sB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77C39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96486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63554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CB6CC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19861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7EA69BA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F1DB16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CBW1_17_10_S93_Bird12sB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6EBF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BCEE4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0EC35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68791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FAE9D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2AA8FC9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E6BF03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CBW1_17_12_S94_Bird12sB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3ACA0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64622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1556B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ABA1D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6B766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06C09DA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5ACC3E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CBW1_17_17_S95_Bird12sB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5A2AA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23D6E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F7FF8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1372B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24B8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A38E47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6BC98F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CBW9_15_1_S75_Bird12sB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2042E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B3442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495FE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3890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F130C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E938E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6E2EEFD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A07374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CBW9_15_4_S76_Bird12sB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7A100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5525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F52BE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A2E5D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58FC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2612ACF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F72DD5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CBW9_15_5_S77_Bird12sB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A640F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17E01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3302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FC6BF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C75AA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EE2DD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8E57B8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B4065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CBW9_16_1_S83_Bird12sB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64FC5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319EA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A028B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45AE5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3F427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7FF52AE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C037D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CBW9_16_2_S84_Bird12sB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2B187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571DA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9094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1A140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7FCBA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B3ACF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FE46F76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13939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CBW9_16_3_S85_Bird12sB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129C9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0D38C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48C6F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050DC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EE594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3B158AF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94B3D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CBW9_16_4_S86_Bird12sB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C4453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A0A12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5342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24D00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4DA73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4E502C3E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808A8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CBW9_16_5_S87_Bird12sB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4F5FB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6348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17E74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10ECB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569C8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1599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BF8B5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041EC87C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BE187E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CBW9_16_11_S90_Bird12sB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BE8F0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82307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897FF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0039C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5162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F4972FD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FDDE1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MI9_16_11_S100_Bird12sB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3DF62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1992F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288C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9CA17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2EB7DE5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16</w:t>
            </w:r>
          </w:p>
        </w:tc>
      </w:tr>
      <w:tr w:rsidR="00861E4E" w14:paraId="7049234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CD219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MI1_17_5_S102_Bird12sB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8F5C6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4415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D7AEA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535BE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EFACCE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943F3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8AA3583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DA300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MI1_17_6_S103_Bird12sB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717E6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894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0ABA3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969B6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D5C7C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5E81E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6E885262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D3BE14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MI1_17_8_S104_Bird12sB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2FD6C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206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4FCED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BEBE3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93E8A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4FEEC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5B7FD7DB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CD70BC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Total sequence abundance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6AD54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17558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85F8A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12413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A157B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3902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AFE08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1598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455FF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  <w:r>
              <w:rPr>
                <w:rFonts w:ascii="Times" w:eastAsia="Times" w:hAnsi="Times" w:cs="Times"/>
              </w:rPr>
              <w:t>6</w:t>
            </w:r>
          </w:p>
        </w:tc>
      </w:tr>
      <w:tr w:rsidR="00861E4E" w14:paraId="1EAB84F7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88C4D3" w14:textId="77777777" w:rsidR="00861E4E" w:rsidRDefault="0049238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Total of samples containing each seabird taxon (n)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F3AB71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04F142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A83755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5FA73A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9F0C67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</w:tr>
    </w:tbl>
    <w:p w14:paraId="6DED7E26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1590C807" w14:textId="77777777" w:rsid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560629C0" w14:textId="3B7FF936" w:rsid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Cs/>
          <w:color w:val="000000"/>
        </w:rPr>
      </w:pPr>
      <w:r w:rsidRPr="00A96230">
        <w:rPr>
          <w:rFonts w:ascii="Times" w:eastAsia="Times" w:hAnsi="Times" w:cs="Times"/>
          <w:b/>
          <w:color w:val="000000"/>
        </w:rPr>
        <w:t>Table S6.</w:t>
      </w:r>
      <w:r>
        <w:rPr>
          <w:rFonts w:ascii="Times" w:eastAsia="Times" w:hAnsi="Times" w:cs="Times"/>
          <w:bCs/>
          <w:color w:val="000000"/>
        </w:rPr>
        <w:t xml:space="preserve"> </w:t>
      </w:r>
      <w:r w:rsidR="009E21B0">
        <w:rPr>
          <w:rFonts w:ascii="Times" w:eastAsia="Times" w:hAnsi="Times" w:cs="Times"/>
          <w:bCs/>
          <w:color w:val="000000"/>
        </w:rPr>
        <w:t xml:space="preserve">Haplotype abundance from each sample. </w:t>
      </w:r>
      <w:r w:rsidR="00FB32F8">
        <w:rPr>
          <w:rFonts w:ascii="Times" w:eastAsia="Times" w:hAnsi="Times" w:cs="Times"/>
          <w:bCs/>
          <w:color w:val="000000"/>
        </w:rPr>
        <w:t xml:space="preserve">From the six samples containing abundant little penguin DNA (OTU1), the nine most abundant sequences were extracted for haplotype </w:t>
      </w:r>
      <w:commentRangeStart w:id="6"/>
      <w:r w:rsidR="00FB32F8">
        <w:rPr>
          <w:rFonts w:ascii="Times" w:eastAsia="Times" w:hAnsi="Times" w:cs="Times"/>
          <w:bCs/>
          <w:color w:val="000000"/>
        </w:rPr>
        <w:t xml:space="preserve">analysis. </w:t>
      </w:r>
      <w:commentRangeEnd w:id="6"/>
      <w:r w:rsidR="00D51B80">
        <w:rPr>
          <w:rStyle w:val="CommentReference"/>
        </w:rPr>
        <w:commentReference w:id="6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63"/>
        <w:gridCol w:w="1476"/>
        <w:gridCol w:w="1490"/>
        <w:gridCol w:w="1463"/>
      </w:tblGrid>
      <w:tr w:rsidR="00FB32F8" w14:paraId="5353ECE7" w14:textId="77777777" w:rsidTr="00FB32F8">
        <w:trPr>
          <w:trHeight w:val="36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999D7C" w14:textId="77777777" w:rsidR="00B25A42" w:rsidRDefault="00FB32F8" w:rsidP="009E21B0">
            <w:pPr>
              <w:rPr>
                <w:ins w:id="7" w:author="Natasha Hardy" w:date="2021-11-30T15:17:00Z"/>
                <w:rFonts w:eastAsia="Times" w:cs="Times"/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 xml:space="preserve">Sample ID </w:t>
            </w:r>
          </w:p>
          <w:p w14:paraId="320E7A07" w14:textId="2AD57FEE" w:rsidR="00FB32F8" w:rsidRDefault="00FB32F8" w:rsidP="009E21B0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>(</w:t>
            </w:r>
            <w:proofErr w:type="gramStart"/>
            <w:r w:rsidR="00950EB6">
              <w:rPr>
                <w:rFonts w:eastAsia="Times" w:cs="Times"/>
                <w:b/>
                <w:bCs/>
                <w:color w:val="000000"/>
              </w:rPr>
              <w:t>total</w:t>
            </w:r>
            <w:proofErr w:type="gramEnd"/>
            <w:r w:rsidR="00950EB6">
              <w:rPr>
                <w:rFonts w:eastAsia="Times" w:cs="Times"/>
                <w:b/>
                <w:bCs/>
                <w:color w:val="000000"/>
              </w:rPr>
              <w:t xml:space="preserve"> </w:t>
            </w:r>
            <w:r>
              <w:rPr>
                <w:rFonts w:eastAsia="Times" w:cs="Times"/>
                <w:b/>
                <w:bCs/>
                <w:color w:val="000000"/>
              </w:rPr>
              <w:t>number of little penguin sequences)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66B16A" w14:textId="77777777" w:rsidR="00B25A42" w:rsidRDefault="00FB32F8" w:rsidP="00B25A42">
            <w:pPr>
              <w:rPr>
                <w:ins w:id="8" w:author="Natasha Hardy" w:date="2021-11-30T15:17:00Z"/>
                <w:rFonts w:eastAsia="Times" w:cs="Times"/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 xml:space="preserve">Sequence </w:t>
            </w:r>
            <w:del w:id="9" w:author="Natasha Hardy" w:date="2021-11-30T14:00:00Z">
              <w:r w:rsidDel="001D42A6">
                <w:rPr>
                  <w:rFonts w:eastAsia="Times" w:cs="Times"/>
                  <w:b/>
                  <w:bCs/>
                  <w:color w:val="000000"/>
                </w:rPr>
                <w:delText>1</w:delText>
              </w:r>
            </w:del>
            <w:ins w:id="10" w:author="Natasha Hardy" w:date="2021-11-30T14:00:00Z">
              <w:r w:rsidR="001D42A6">
                <w:rPr>
                  <w:rFonts w:eastAsia="Times" w:cs="Times"/>
                  <w:b/>
                  <w:bCs/>
                  <w:color w:val="000000"/>
                </w:rPr>
                <w:t>a</w:t>
              </w:r>
            </w:ins>
          </w:p>
          <w:p w14:paraId="7F7D1EA5" w14:textId="10B10CF2" w:rsidR="00FB32F8" w:rsidRDefault="00B25A42" w:rsidP="00B25A42">
            <w:pPr>
              <w:rPr>
                <w:b/>
                <w:bCs/>
                <w:color w:val="000000"/>
              </w:rPr>
            </w:pPr>
            <w:ins w:id="11" w:author="Natasha Hardy" w:date="2021-11-30T15:17:00Z">
              <w:r>
                <w:rPr>
                  <w:b/>
                  <w:bCs/>
                  <w:color w:val="000000"/>
                </w:rPr>
                <w:t>(haplotype)</w:t>
              </w:r>
            </w:ins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20D3DE" w14:textId="77777777" w:rsidR="00B25A42" w:rsidRDefault="00FB32F8" w:rsidP="00B25A42">
            <w:pPr>
              <w:rPr>
                <w:ins w:id="12" w:author="Natasha Hardy" w:date="2021-11-30T15:17:00Z"/>
                <w:rFonts w:eastAsia="Times" w:cs="Times"/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 xml:space="preserve">Sequence </w:t>
            </w:r>
            <w:del w:id="13" w:author="Natasha Hardy" w:date="2021-11-30T14:00:00Z">
              <w:r w:rsidDel="001D42A6">
                <w:rPr>
                  <w:rFonts w:eastAsia="Times" w:cs="Times"/>
                  <w:b/>
                  <w:bCs/>
                  <w:color w:val="000000"/>
                </w:rPr>
                <w:delText>2</w:delText>
              </w:r>
            </w:del>
            <w:ins w:id="14" w:author="Natasha Hardy" w:date="2021-11-30T14:00:00Z">
              <w:r w:rsidR="001D42A6">
                <w:rPr>
                  <w:rFonts w:eastAsia="Times" w:cs="Times"/>
                  <w:b/>
                  <w:bCs/>
                  <w:color w:val="000000"/>
                </w:rPr>
                <w:t>b</w:t>
              </w:r>
            </w:ins>
          </w:p>
          <w:p w14:paraId="7E0DA17D" w14:textId="0E6CACB1" w:rsidR="00FB32F8" w:rsidRDefault="00B25A42" w:rsidP="00B25A42">
            <w:pPr>
              <w:rPr>
                <w:b/>
                <w:bCs/>
                <w:color w:val="000000"/>
              </w:rPr>
            </w:pPr>
            <w:ins w:id="15" w:author="Natasha Hardy" w:date="2021-11-30T15:17:00Z">
              <w:r>
                <w:rPr>
                  <w:b/>
                  <w:bCs/>
                  <w:color w:val="000000"/>
                </w:rPr>
                <w:t>(haplotype)</w:t>
              </w:r>
            </w:ins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383F75" w14:textId="77777777" w:rsidR="00FB32F8" w:rsidRDefault="00FB32F8" w:rsidP="00FB32F8">
            <w:pPr>
              <w:rPr>
                <w:ins w:id="16" w:author="Natasha Hardy" w:date="2021-11-30T15:17:00Z"/>
                <w:rFonts w:eastAsia="Times" w:cs="Times"/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 xml:space="preserve">Sequence </w:t>
            </w:r>
            <w:del w:id="17" w:author="Natasha Hardy" w:date="2021-11-30T14:00:00Z">
              <w:r w:rsidDel="001D42A6">
                <w:rPr>
                  <w:rFonts w:eastAsia="Times" w:cs="Times"/>
                  <w:b/>
                  <w:bCs/>
                  <w:color w:val="000000"/>
                </w:rPr>
                <w:delText>3</w:delText>
              </w:r>
            </w:del>
            <w:ins w:id="18" w:author="Natasha Hardy" w:date="2021-11-30T14:00:00Z">
              <w:r w:rsidR="001D42A6">
                <w:rPr>
                  <w:rFonts w:eastAsia="Times" w:cs="Times"/>
                  <w:b/>
                  <w:bCs/>
                  <w:color w:val="000000"/>
                </w:rPr>
                <w:t>c</w:t>
              </w:r>
            </w:ins>
          </w:p>
          <w:p w14:paraId="6BF93ADC" w14:textId="0EDD0636" w:rsidR="00B25A42" w:rsidRDefault="00B25A42" w:rsidP="00FB32F8">
            <w:pPr>
              <w:rPr>
                <w:b/>
                <w:bCs/>
                <w:color w:val="000000"/>
              </w:rPr>
            </w:pPr>
            <w:ins w:id="19" w:author="Natasha Hardy" w:date="2021-11-30T15:17:00Z">
              <w:r>
                <w:rPr>
                  <w:b/>
                  <w:bCs/>
                  <w:color w:val="000000"/>
                </w:rPr>
                <w:t>(haplotype)</w:t>
              </w:r>
            </w:ins>
          </w:p>
        </w:tc>
      </w:tr>
      <w:tr w:rsidR="00FB32F8" w14:paraId="0EF1F5EF" w14:textId="77777777" w:rsidTr="00FB32F8">
        <w:trPr>
          <w:trHeight w:val="36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B431CF" w14:textId="55CF6B3B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CBW1_16_7_S78_Bird12sB (5520)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A909" w14:textId="474811D4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5315</w:t>
            </w:r>
            <w:ins w:id="20" w:author="Natasha Hardy" w:date="2021-11-30T14:01:00Z">
              <w:r w:rsidR="00D51B80">
                <w:rPr>
                  <w:color w:val="000000"/>
                </w:rPr>
                <w:t xml:space="preserve"> (1)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A931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9E5B" w14:textId="77777777" w:rsidR="00FB32F8" w:rsidRDefault="00FB32F8" w:rsidP="00950EB6">
            <w:pPr>
              <w:jc w:val="center"/>
              <w:rPr>
                <w:sz w:val="20"/>
                <w:szCs w:val="20"/>
              </w:rPr>
            </w:pPr>
          </w:p>
        </w:tc>
      </w:tr>
      <w:tr w:rsidR="00FB32F8" w14:paraId="3A47FAD9" w14:textId="77777777" w:rsidTr="00FB32F8">
        <w:trPr>
          <w:trHeight w:val="360"/>
        </w:trPr>
        <w:tc>
          <w:tcPr>
            <w:tcW w:w="0" w:type="auto"/>
            <w:shd w:val="clear" w:color="auto" w:fill="auto"/>
            <w:vAlign w:val="center"/>
            <w:hideMark/>
          </w:tcPr>
          <w:p w14:paraId="73748273" w14:textId="61AE9998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CBW1_17_10_S93_Bird12sB (159)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BA577D" w14:textId="70C6CDC3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</w:t>
            </w:r>
            <w:ins w:id="21" w:author="Natasha Hardy" w:date="2021-11-30T14:08:00Z">
              <w:r w:rsidR="00D51B80">
                <w:rPr>
                  <w:color w:val="000000"/>
                </w:rPr>
                <w:t xml:space="preserve"> (4)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BB1667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57258A" w14:textId="77777777" w:rsidR="00FB32F8" w:rsidRDefault="00FB32F8" w:rsidP="00950EB6">
            <w:pPr>
              <w:jc w:val="center"/>
              <w:rPr>
                <w:sz w:val="20"/>
                <w:szCs w:val="20"/>
              </w:rPr>
            </w:pPr>
          </w:p>
        </w:tc>
      </w:tr>
      <w:tr w:rsidR="00FB32F8" w14:paraId="28210CD5" w14:textId="77777777" w:rsidTr="00FB32F8">
        <w:trPr>
          <w:trHeight w:val="360"/>
        </w:trPr>
        <w:tc>
          <w:tcPr>
            <w:tcW w:w="0" w:type="auto"/>
            <w:shd w:val="clear" w:color="auto" w:fill="auto"/>
            <w:vAlign w:val="center"/>
            <w:hideMark/>
          </w:tcPr>
          <w:p w14:paraId="766F16E5" w14:textId="59E35FC0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CBW9_16_5_S87_Bird12sB (6348)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C675AE" w14:textId="551EF2BE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5210</w:t>
            </w:r>
            <w:ins w:id="22" w:author="Natasha Hardy" w:date="2021-11-30T14:01:00Z">
              <w:r w:rsidR="00D51B80">
                <w:rPr>
                  <w:color w:val="000000"/>
                </w:rPr>
                <w:t xml:space="preserve"> </w:t>
              </w:r>
              <w:r w:rsidR="00D51B80">
                <w:rPr>
                  <w:color w:val="000000"/>
                </w:rPr>
                <w:t>(1)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9D88F3" w14:textId="6E38D5EA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454</w:t>
            </w:r>
            <w:ins w:id="23" w:author="Natasha Hardy" w:date="2021-11-30T14:02:00Z">
              <w:r w:rsidR="00D51B80">
                <w:rPr>
                  <w:color w:val="000000"/>
                </w:rPr>
                <w:t xml:space="preserve"> (</w:t>
              </w:r>
            </w:ins>
            <w:ins w:id="24" w:author="Natasha Hardy" w:date="2021-11-30T15:15:00Z">
              <w:r w:rsidR="00B25A42">
                <w:rPr>
                  <w:color w:val="000000"/>
                </w:rPr>
                <w:t>5</w:t>
              </w:r>
            </w:ins>
            <w:ins w:id="25" w:author="Natasha Hardy" w:date="2021-11-30T14:02:00Z">
              <w:r w:rsidR="00D51B80">
                <w:rPr>
                  <w:color w:val="000000"/>
                </w:rPr>
                <w:t>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9BABF8" w14:textId="15B4BE91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400</w:t>
            </w:r>
            <w:ins w:id="26" w:author="Natasha Hardy" w:date="2021-11-30T14:02:00Z">
              <w:r w:rsidR="00D51B80">
                <w:rPr>
                  <w:color w:val="000000"/>
                </w:rPr>
                <w:t xml:space="preserve"> (</w:t>
              </w:r>
            </w:ins>
            <w:ins w:id="27" w:author="Natasha Hardy" w:date="2021-11-30T15:15:00Z">
              <w:r w:rsidR="00B25A42">
                <w:rPr>
                  <w:color w:val="000000"/>
                </w:rPr>
                <w:t>4</w:t>
              </w:r>
            </w:ins>
            <w:ins w:id="28" w:author="Natasha Hardy" w:date="2021-11-30T14:02:00Z">
              <w:r w:rsidR="00D51B80">
                <w:rPr>
                  <w:color w:val="000000"/>
                </w:rPr>
                <w:t>)</w:t>
              </w:r>
            </w:ins>
          </w:p>
        </w:tc>
      </w:tr>
      <w:tr w:rsidR="00FB32F8" w14:paraId="36F99DE9" w14:textId="77777777" w:rsidTr="00FB32F8">
        <w:trPr>
          <w:trHeight w:val="360"/>
        </w:trPr>
        <w:tc>
          <w:tcPr>
            <w:tcW w:w="0" w:type="auto"/>
            <w:shd w:val="clear" w:color="auto" w:fill="auto"/>
            <w:vAlign w:val="center"/>
            <w:hideMark/>
          </w:tcPr>
          <w:p w14:paraId="16F602A6" w14:textId="2F83D0D2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MI1_17_5_S102_Bird12sB (4415)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2A3674" w14:textId="5A4FBD23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4289</w:t>
            </w:r>
            <w:ins w:id="29" w:author="Natasha Hardy" w:date="2021-11-30T14:01:00Z">
              <w:r w:rsidR="00D51B80">
                <w:rPr>
                  <w:color w:val="000000"/>
                </w:rPr>
                <w:t xml:space="preserve"> </w:t>
              </w:r>
              <w:r w:rsidR="00D51B80">
                <w:rPr>
                  <w:color w:val="000000"/>
                </w:rPr>
                <w:t>(1)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77CF0A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4E96BC" w14:textId="77777777" w:rsidR="00FB32F8" w:rsidRDefault="00FB32F8" w:rsidP="00950EB6">
            <w:pPr>
              <w:jc w:val="center"/>
              <w:rPr>
                <w:sz w:val="20"/>
                <w:szCs w:val="20"/>
              </w:rPr>
            </w:pPr>
          </w:p>
        </w:tc>
      </w:tr>
      <w:tr w:rsidR="00FB32F8" w14:paraId="339E94CC" w14:textId="77777777" w:rsidTr="00FB32F8">
        <w:trPr>
          <w:trHeight w:val="380"/>
        </w:trPr>
        <w:tc>
          <w:tcPr>
            <w:tcW w:w="0" w:type="auto"/>
            <w:shd w:val="clear" w:color="auto" w:fill="auto"/>
            <w:vAlign w:val="center"/>
            <w:hideMark/>
          </w:tcPr>
          <w:p w14:paraId="212BD7E7" w14:textId="05C70FF2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MI1_17_6_S103_Bird12sB (894)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ACEE09" w14:textId="09CCB6CC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589</w:t>
            </w:r>
            <w:ins w:id="30" w:author="Natasha Hardy" w:date="2021-11-30T14:01:00Z">
              <w:r w:rsidR="00D51B80">
                <w:rPr>
                  <w:color w:val="000000"/>
                </w:rPr>
                <w:t xml:space="preserve"> </w:t>
              </w:r>
              <w:r w:rsidR="00D51B80">
                <w:rPr>
                  <w:color w:val="000000"/>
                </w:rPr>
                <w:t>(1)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34AB35" w14:textId="701CDAC0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262</w:t>
            </w:r>
            <w:ins w:id="31" w:author="Natasha Hardy" w:date="2021-11-30T14:03:00Z">
              <w:r w:rsidR="00D51B80">
                <w:rPr>
                  <w:color w:val="000000"/>
                </w:rPr>
                <w:t xml:space="preserve"> (H</w:t>
              </w:r>
            </w:ins>
            <w:ins w:id="32" w:author="Natasha Hardy" w:date="2021-11-30T15:15:00Z">
              <w:r w:rsidR="00B25A42">
                <w:rPr>
                  <w:color w:val="000000"/>
                </w:rPr>
                <w:t>2</w:t>
              </w:r>
            </w:ins>
            <w:ins w:id="33" w:author="Natasha Hardy" w:date="2021-11-30T14:03:00Z">
              <w:r w:rsidR="00D51B80">
                <w:rPr>
                  <w:color w:val="000000"/>
                </w:rPr>
                <w:t>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98E538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</w:tr>
      <w:tr w:rsidR="00FB32F8" w14:paraId="396A8E52" w14:textId="77777777" w:rsidTr="00FB32F8">
        <w:trPr>
          <w:trHeight w:val="3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BF2EE6" w14:textId="17C9C0A1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MI1_17_8_S104_Bird12sB (206)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CACF32" w14:textId="772FF622" w:rsidR="00FB32F8" w:rsidRDefault="00FB32F8" w:rsidP="001D42A6">
            <w:pPr>
              <w:jc w:val="center"/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200</w:t>
            </w:r>
            <w:ins w:id="34" w:author="Natasha Hardy" w:date="2021-11-30T14:02:00Z">
              <w:r w:rsidR="00D51B80">
                <w:rPr>
                  <w:rFonts w:eastAsia="Times" w:cs="Times"/>
                  <w:color w:val="000000"/>
                </w:rPr>
                <w:t xml:space="preserve"> </w:t>
              </w:r>
              <w:r w:rsidR="00D51B80">
                <w:rPr>
                  <w:color w:val="000000"/>
                </w:rPr>
                <w:t>(1)</w:t>
              </w:r>
            </w:ins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7BA095" w14:textId="426A8746" w:rsidR="00FB32F8" w:rsidRDefault="00FB32F8" w:rsidP="001D42A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CC51CB" w14:textId="0BD45CF4" w:rsidR="00FB32F8" w:rsidRDefault="00FB32F8" w:rsidP="001D42A6">
            <w:pPr>
              <w:jc w:val="center"/>
              <w:rPr>
                <w:color w:val="000000"/>
              </w:rPr>
            </w:pPr>
          </w:p>
        </w:tc>
      </w:tr>
    </w:tbl>
    <w:p w14:paraId="3518BE64" w14:textId="096A81E7" w:rsidR="00A96230" w:rsidRP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Cs/>
          <w:color w:val="000000"/>
        </w:rPr>
        <w:sectPr w:rsidR="00A96230" w:rsidRPr="00A96230">
          <w:headerReference w:type="default" r:id="rId35"/>
          <w:footerReference w:type="default" r:id="rId36"/>
          <w:type w:val="continuous"/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5C36491E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62054A09" wp14:editId="7FF62930">
            <wp:extent cx="5270500" cy="527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FF7F7" w14:textId="164FCA72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Fig</w:t>
      </w:r>
      <w:r>
        <w:rPr>
          <w:b/>
        </w:rPr>
        <w:t>ure</w:t>
      </w:r>
      <w:r>
        <w:rPr>
          <w:b/>
          <w:color w:val="000000"/>
        </w:rPr>
        <w:t xml:space="preserve"> S</w:t>
      </w:r>
      <w:r w:rsidR="006942FE">
        <w:rPr>
          <w:b/>
          <w:color w:val="000000"/>
        </w:rPr>
        <w:t>1</w:t>
      </w:r>
      <w:r>
        <w:rPr>
          <w:b/>
          <w:color w:val="000000"/>
        </w:rPr>
        <w:t>.</w:t>
      </w:r>
      <w:r>
        <w:rPr>
          <w:color w:val="000000"/>
        </w:rPr>
        <w:t xml:space="preserve"> Total abundance of DNA sequences obtained within samples</w:t>
      </w:r>
      <w:r w:rsidR="00545A49">
        <w:rPr>
          <w:color w:val="000000"/>
        </w:rPr>
        <w:t xml:space="preserve"> (n = 99),</w:t>
      </w:r>
      <w:r>
        <w:rPr>
          <w:color w:val="000000"/>
        </w:rPr>
        <w:t xml:space="preserve"> for</w:t>
      </w:r>
      <w:r w:rsidR="00545A49">
        <w:rPr>
          <w:color w:val="000000"/>
        </w:rPr>
        <w:t xml:space="preserve"> all</w:t>
      </w:r>
      <w:r>
        <w:rPr>
          <w:color w:val="000000"/>
        </w:rPr>
        <w:t xml:space="preserve"> five seabird taxa</w:t>
      </w:r>
      <w:r w:rsidR="00545A49">
        <w:rPr>
          <w:color w:val="000000"/>
        </w:rPr>
        <w:t xml:space="preserve"> and after sequence quality filtering procedures described in section S1.3.</w:t>
      </w:r>
    </w:p>
    <w:p w14:paraId="78F88E73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21970230" wp14:editId="393BA6B5">
            <wp:extent cx="5270500" cy="5270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DDC2B" w14:textId="0421D6E0" w:rsidR="00861E4E" w:rsidRDefault="0049238A" w:rsidP="00545A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Figure S</w:t>
      </w:r>
      <w:r w:rsidR="006942FE">
        <w:rPr>
          <w:b/>
          <w:color w:val="000000"/>
        </w:rPr>
        <w:t>2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Relative </w:t>
      </w:r>
      <w:r w:rsidR="00545A49">
        <w:rPr>
          <w:color w:val="000000"/>
        </w:rPr>
        <w:t xml:space="preserve">genetic </w:t>
      </w:r>
      <w:r>
        <w:rPr>
          <w:color w:val="000000"/>
        </w:rPr>
        <w:t xml:space="preserve">contribution within </w:t>
      </w:r>
      <w:r w:rsidR="00545A49">
        <w:rPr>
          <w:color w:val="000000"/>
        </w:rPr>
        <w:t xml:space="preserve">seabird-positive </w:t>
      </w:r>
      <w:r>
        <w:rPr>
          <w:color w:val="000000"/>
        </w:rPr>
        <w:t>LNFS samples (n = 21) of seabird taxa identified and illustrated as a proportion of DNA abundance recovered for each taxon within samples, across locations and sampling time.</w:t>
      </w:r>
    </w:p>
    <w:p w14:paraId="61744A57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54DB06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636352D7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40773B3B" wp14:editId="3928193B">
            <wp:extent cx="5274000" cy="3771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DDDE4" w14:textId="3AA0AE04" w:rsidR="00861E4E" w:rsidRDefault="0049238A">
      <w:pPr>
        <w:spacing w:line="480" w:lineRule="auto"/>
      </w:pPr>
      <w:r>
        <w:rPr>
          <w:rFonts w:ascii="Times" w:eastAsia="Times" w:hAnsi="Times" w:cs="Times"/>
          <w:b/>
        </w:rPr>
        <w:t xml:space="preserve">Figure </w:t>
      </w:r>
      <w:r w:rsidR="00545A49">
        <w:rPr>
          <w:rFonts w:ascii="Times" w:eastAsia="Times" w:hAnsi="Times" w:cs="Times"/>
          <w:b/>
        </w:rPr>
        <w:t>S</w:t>
      </w:r>
      <w:r w:rsidR="006942FE">
        <w:rPr>
          <w:rFonts w:ascii="Times" w:eastAsia="Times" w:hAnsi="Times" w:cs="Times"/>
          <w:b/>
        </w:rPr>
        <w:t>3</w:t>
      </w:r>
      <w:r>
        <w:rPr>
          <w:rFonts w:ascii="Times" w:eastAsia="Times" w:hAnsi="Times" w:cs="Times"/>
          <w:b/>
        </w:rPr>
        <w:t>.</w:t>
      </w:r>
      <w:r>
        <w:rPr>
          <w:rFonts w:ascii="Times" w:eastAsia="Times" w:hAnsi="Times" w:cs="Times"/>
        </w:rPr>
        <w:t xml:space="preserve"> Percentage of samples detecting seabirds by method (hp = hard-part analysis, </w:t>
      </w:r>
      <w:proofErr w:type="spellStart"/>
      <w:r>
        <w:rPr>
          <w:rFonts w:ascii="Times" w:eastAsia="Times" w:hAnsi="Times" w:cs="Times"/>
        </w:rPr>
        <w:t>dna</w:t>
      </w:r>
      <w:proofErr w:type="spellEnd"/>
      <w:r>
        <w:rPr>
          <w:rFonts w:ascii="Times" w:eastAsia="Times" w:hAnsi="Times" w:cs="Times"/>
        </w:rPr>
        <w:t xml:space="preserve"> = DNA metabarcoding), location, and sampling time, for a) all seabird detections and b) little penguin (</w:t>
      </w:r>
      <w:r>
        <w:rPr>
          <w:rFonts w:ascii="Times" w:eastAsia="Times" w:hAnsi="Times" w:cs="Times"/>
          <w:i/>
        </w:rPr>
        <w:t>E. minor</w:t>
      </w:r>
      <w:r>
        <w:rPr>
          <w:rFonts w:ascii="Times" w:eastAsia="Times" w:hAnsi="Times" w:cs="Times"/>
        </w:rPr>
        <w:t xml:space="preserve">) detections, at Cape Bridgewater, Gabo Island and </w:t>
      </w:r>
      <w:proofErr w:type="spellStart"/>
      <w:r>
        <w:rPr>
          <w:rFonts w:ascii="Times" w:eastAsia="Times" w:hAnsi="Times" w:cs="Times"/>
        </w:rPr>
        <w:t>Barunguba</w:t>
      </w:r>
      <w:proofErr w:type="spellEnd"/>
      <w:r>
        <w:rPr>
          <w:rFonts w:ascii="Times" w:eastAsia="Times" w:hAnsi="Times" w:cs="Times"/>
        </w:rPr>
        <w:t>.</w:t>
      </w:r>
    </w:p>
    <w:p w14:paraId="35E66139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noProof/>
          <w:color w:val="000000"/>
        </w:rPr>
        <w:lastRenderedPageBreak/>
        <w:drawing>
          <wp:inline distT="0" distB="0" distL="0" distR="0" wp14:anchorId="525CBB42" wp14:editId="4A88B01D">
            <wp:extent cx="5270500" cy="451612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CA90A" w14:textId="69EA858F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bookmarkStart w:id="35" w:name="_3dy6vkm" w:colFirst="0" w:colLast="0"/>
      <w:bookmarkEnd w:id="35"/>
      <w:r>
        <w:rPr>
          <w:rFonts w:ascii="Times" w:eastAsia="Times" w:hAnsi="Times" w:cs="Times"/>
          <w:b/>
          <w:color w:val="000000"/>
        </w:rPr>
        <w:t>Figure S</w:t>
      </w:r>
      <w:r w:rsidR="006942FE">
        <w:rPr>
          <w:rFonts w:ascii="Times" w:eastAsia="Times" w:hAnsi="Times" w:cs="Times"/>
          <w:b/>
        </w:rPr>
        <w:t>4</w:t>
      </w:r>
      <w:r>
        <w:rPr>
          <w:rFonts w:ascii="Times" w:eastAsia="Times" w:hAnsi="Times" w:cs="Times"/>
          <w:b/>
          <w:color w:val="000000"/>
        </w:rPr>
        <w:t>.</w:t>
      </w:r>
      <w:r>
        <w:rPr>
          <w:rFonts w:ascii="Times" w:eastAsia="Times" w:hAnsi="Times" w:cs="Times"/>
          <w:color w:val="000000"/>
        </w:rPr>
        <w:t xml:space="preserve"> Numerical detections of seabirds by method (hp = hard-part analysis, </w:t>
      </w:r>
      <w:proofErr w:type="spellStart"/>
      <w:r>
        <w:rPr>
          <w:rFonts w:ascii="Times" w:eastAsia="Times" w:hAnsi="Times" w:cs="Times"/>
          <w:color w:val="000000"/>
        </w:rPr>
        <w:t>dna</w:t>
      </w:r>
      <w:proofErr w:type="spellEnd"/>
      <w:r>
        <w:rPr>
          <w:rFonts w:ascii="Times" w:eastAsia="Times" w:hAnsi="Times" w:cs="Times"/>
          <w:color w:val="000000"/>
        </w:rPr>
        <w:t xml:space="preserve"> = DNA metabarcoding), location, and sample date (month’ year), for a) all seabird and b) little penguins (</w:t>
      </w:r>
      <w:r>
        <w:rPr>
          <w:rFonts w:ascii="Times" w:eastAsia="Times" w:hAnsi="Times" w:cs="Times"/>
          <w:i/>
          <w:color w:val="000000"/>
        </w:rPr>
        <w:t>E. minor</w:t>
      </w:r>
      <w:r>
        <w:rPr>
          <w:rFonts w:ascii="Times" w:eastAsia="Times" w:hAnsi="Times" w:cs="Times"/>
          <w:color w:val="000000"/>
        </w:rPr>
        <w:t>)</w:t>
      </w:r>
      <w:r>
        <w:rPr>
          <w:color w:val="000000"/>
        </w:rPr>
        <w:t>.</w:t>
      </w:r>
    </w:p>
    <w:p w14:paraId="665DBC9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36" w:name="_tqbxotc6yirb" w:colFirst="0" w:colLast="0"/>
      <w:bookmarkEnd w:id="36"/>
    </w:p>
    <w:p w14:paraId="35191CDD" w14:textId="77777777" w:rsidR="00861E4E" w:rsidRDefault="00861E4E"/>
    <w:p w14:paraId="1F75179D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References</w:t>
      </w:r>
    </w:p>
    <w:p w14:paraId="6A17A6E4" w14:textId="77777777" w:rsidR="00861E4E" w:rsidRDefault="00861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b/>
          <w:color w:val="000000"/>
        </w:rPr>
      </w:pPr>
    </w:p>
    <w:p w14:paraId="286A7643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1">
        <w:r w:rsidR="0049238A">
          <w:t xml:space="preserve">ALA. (2019). </w:t>
        </w:r>
      </w:hyperlink>
      <w:hyperlink r:id="rId42">
        <w:r w:rsidR="0049238A">
          <w:rPr>
            <w:i/>
          </w:rPr>
          <w:t>Atlas of Living Australia.</w:t>
        </w:r>
      </w:hyperlink>
      <w:hyperlink r:id="rId43">
        <w:r w:rsidR="0049238A">
          <w:t xml:space="preserve"> Global Biodiversity Information Facility. World Wide Web electronic publication, http://www.ala.org.au</w:t>
        </w:r>
      </w:hyperlink>
    </w:p>
    <w:p w14:paraId="17479E5E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4">
        <w:r w:rsidR="0049238A">
          <w:t xml:space="preserve">Altschul, S. F., Gish, W., Miller, W., Myers, E. W., &amp; Lipman, D. J. (1990). Basic local alignment search tool. </w:t>
        </w:r>
      </w:hyperlink>
      <w:hyperlink r:id="rId45">
        <w:r w:rsidR="0049238A">
          <w:rPr>
            <w:i/>
          </w:rPr>
          <w:t>Journal of Molecular Biology</w:t>
        </w:r>
      </w:hyperlink>
      <w:hyperlink r:id="rId46">
        <w:r w:rsidR="0049238A">
          <w:t xml:space="preserve">, </w:t>
        </w:r>
      </w:hyperlink>
      <w:hyperlink r:id="rId47">
        <w:r w:rsidR="0049238A">
          <w:rPr>
            <w:i/>
          </w:rPr>
          <w:t>215</w:t>
        </w:r>
      </w:hyperlink>
      <w:hyperlink r:id="rId48">
        <w:r w:rsidR="0049238A">
          <w:t>(3), 403–410. https://doi.org/10.1016/S0022-2836(05)80360-2</w:t>
        </w:r>
      </w:hyperlink>
    </w:p>
    <w:p w14:paraId="31932E34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9">
        <w:r w:rsidR="0049238A">
          <w:t xml:space="preserve">Arnould, J. P. Y., Boyd, I. L., &amp; Warneke, R. M. (2003). Historical dynamics of the Australian fur seal population: Evidence of regulation by man? </w:t>
        </w:r>
      </w:hyperlink>
      <w:hyperlink r:id="rId50">
        <w:r w:rsidR="0049238A">
          <w:rPr>
            <w:i/>
          </w:rPr>
          <w:t>Canadian Journal of Zoology</w:t>
        </w:r>
      </w:hyperlink>
      <w:hyperlink r:id="rId51">
        <w:r w:rsidR="0049238A">
          <w:t>. https://doi.org/10.1139/z03-134</w:t>
        </w:r>
      </w:hyperlink>
    </w:p>
    <w:p w14:paraId="76604140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2">
        <w:r w:rsidR="0049238A">
          <w:t xml:space="preserve">Australian Museum. (2019). </w:t>
        </w:r>
      </w:hyperlink>
      <w:hyperlink r:id="rId53">
        <w:r w:rsidR="0049238A">
          <w:rPr>
            <w:i/>
          </w:rPr>
          <w:t>Birds</w:t>
        </w:r>
      </w:hyperlink>
      <w:hyperlink r:id="rId54">
        <w:r w:rsidR="0049238A">
          <w:t>. World Wide Web electronic publication, accessed 01/2019: http://australianmuseum.net.au/animals</w:t>
        </w:r>
      </w:hyperlink>
    </w:p>
    <w:p w14:paraId="65B43593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5">
        <w:r w:rsidR="0049238A">
          <w:t xml:space="preserve">Benson, D. A., Karsch-Mizrachi, I., Lipman, D. J., Ostell, J., &amp; Wheeler, D. L. (2005). GenBank. </w:t>
        </w:r>
      </w:hyperlink>
      <w:hyperlink r:id="rId56">
        <w:r w:rsidR="0049238A">
          <w:rPr>
            <w:i/>
          </w:rPr>
          <w:t>Nucleic Acids Research</w:t>
        </w:r>
      </w:hyperlink>
      <w:hyperlink r:id="rId57">
        <w:r w:rsidR="0049238A">
          <w:t xml:space="preserve">, </w:t>
        </w:r>
      </w:hyperlink>
      <w:hyperlink r:id="rId58">
        <w:r w:rsidR="0049238A">
          <w:rPr>
            <w:i/>
          </w:rPr>
          <w:t>33</w:t>
        </w:r>
      </w:hyperlink>
      <w:hyperlink r:id="rId59">
        <w:r w:rsidR="0049238A">
          <w:t>(suppl_1), D34–D38. https://doi.org/10.1093/nar/gki063</w:t>
        </w:r>
      </w:hyperlink>
    </w:p>
    <w:p w14:paraId="4D783606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0">
        <w:r w:rsidR="0049238A">
          <w:t xml:space="preserve">Berry, T. E., Osterrieder, S. K., Murray, D. C., Coghlan, M. L., Richardson, A. J., Grealy, A. K., Stat, M., Bejder, L., &amp; Bunce, M. (2017). DNA metabarcoding for diet analysis and biodiversity: A case study using the endangered Australian sea lion (Neophoca cinerea). </w:t>
        </w:r>
      </w:hyperlink>
      <w:hyperlink r:id="rId61">
        <w:r w:rsidR="0049238A">
          <w:rPr>
            <w:i/>
          </w:rPr>
          <w:t>Ecology and Evolution</w:t>
        </w:r>
      </w:hyperlink>
      <w:hyperlink r:id="rId62">
        <w:r w:rsidR="0049238A">
          <w:t xml:space="preserve">, </w:t>
        </w:r>
      </w:hyperlink>
      <w:hyperlink r:id="rId63">
        <w:r w:rsidR="0049238A">
          <w:rPr>
            <w:i/>
          </w:rPr>
          <w:t>7</w:t>
        </w:r>
      </w:hyperlink>
      <w:hyperlink r:id="rId64">
        <w:r w:rsidR="0049238A">
          <w:t>(14), 5435–5453. https://doi.org/10.1002/ece3.3123</w:t>
        </w:r>
      </w:hyperlink>
    </w:p>
    <w:p w14:paraId="17BD540E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5">
        <w:r w:rsidR="0049238A">
          <w:t xml:space="preserve">Cooper, A. (1994). DNA from Museum Specimens. In B. Herrmann &amp; S. Hummel (Eds.), </w:t>
        </w:r>
      </w:hyperlink>
      <w:hyperlink r:id="rId66">
        <w:r w:rsidR="0049238A">
          <w:rPr>
            <w:i/>
          </w:rPr>
          <w:t>Ancient DNA: Recovery and Analysis of Genetic Material from Paleontological, Archaeological, Museum, Medical, and Forensic Specimens</w:t>
        </w:r>
      </w:hyperlink>
      <w:hyperlink r:id="rId67">
        <w:r w:rsidR="0049238A">
          <w:t xml:space="preserve"> (pp. 149–165). Springer. https://doi.org/10.1007/978-1-4612-4318-2_10</w:t>
        </w:r>
      </w:hyperlink>
    </w:p>
    <w:p w14:paraId="554E68B0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8">
        <w:r w:rsidR="0049238A">
          <w:t xml:space="preserve">Deagle, B. E., Kirkwood, R., &amp; Jarman, S. N. (2009). Analysis of Australian fur seal diet by pyrosequencing prey DNA in faeces. </w:t>
        </w:r>
      </w:hyperlink>
      <w:hyperlink r:id="rId69">
        <w:r w:rsidR="0049238A">
          <w:rPr>
            <w:i/>
          </w:rPr>
          <w:t>Molecular Ecology</w:t>
        </w:r>
      </w:hyperlink>
      <w:hyperlink r:id="rId70">
        <w:r w:rsidR="0049238A">
          <w:t xml:space="preserve">, </w:t>
        </w:r>
      </w:hyperlink>
      <w:hyperlink r:id="rId71">
        <w:r w:rsidR="0049238A">
          <w:rPr>
            <w:i/>
          </w:rPr>
          <w:t>18</w:t>
        </w:r>
      </w:hyperlink>
      <w:hyperlink r:id="rId72">
        <w:r w:rsidR="0049238A">
          <w:t>(9), 2022–2038. https://doi.org/10.1111/j.1365-294X.2009.04158.x</w:t>
        </w:r>
      </w:hyperlink>
    </w:p>
    <w:p w14:paraId="3C130C58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3">
        <w:r w:rsidR="0049238A">
          <w:t xml:space="preserve">Edgar, R. C. (2010). Search and clustering orders of magnitude faster than BLAST. </w:t>
        </w:r>
      </w:hyperlink>
      <w:hyperlink r:id="rId74">
        <w:r w:rsidR="0049238A">
          <w:rPr>
            <w:i/>
          </w:rPr>
          <w:t>Bioinformatics</w:t>
        </w:r>
      </w:hyperlink>
      <w:hyperlink r:id="rId75">
        <w:r w:rsidR="0049238A">
          <w:t xml:space="preserve">, </w:t>
        </w:r>
      </w:hyperlink>
      <w:hyperlink r:id="rId76">
        <w:r w:rsidR="0049238A">
          <w:rPr>
            <w:i/>
          </w:rPr>
          <w:t>26</w:t>
        </w:r>
      </w:hyperlink>
      <w:hyperlink r:id="rId77">
        <w:r w:rsidR="0049238A">
          <w:t>(19), 2460–2461. https://doi.org/10.1093/bioinformatics/btq461</w:t>
        </w:r>
      </w:hyperlink>
    </w:p>
    <w:p w14:paraId="41CD4EBB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8">
        <w:r w:rsidR="0049238A">
          <w:t xml:space="preserve">Edgar, R. C., &amp; Flyvbjerg, H. (2015). Error filtering, pair assembly and error correction for next-generation sequencing reads. </w:t>
        </w:r>
      </w:hyperlink>
      <w:hyperlink r:id="rId79">
        <w:r w:rsidR="0049238A">
          <w:rPr>
            <w:i/>
          </w:rPr>
          <w:t>Bioinformatics</w:t>
        </w:r>
      </w:hyperlink>
      <w:hyperlink r:id="rId80">
        <w:r w:rsidR="0049238A">
          <w:t xml:space="preserve">, </w:t>
        </w:r>
      </w:hyperlink>
      <w:hyperlink r:id="rId81">
        <w:r w:rsidR="0049238A">
          <w:rPr>
            <w:i/>
          </w:rPr>
          <w:t>31</w:t>
        </w:r>
      </w:hyperlink>
      <w:hyperlink r:id="rId82">
        <w:r w:rsidR="0049238A">
          <w:t xml:space="preserve">(21), </w:t>
        </w:r>
        <w:r w:rsidR="0049238A">
          <w:lastRenderedPageBreak/>
          <w:t>3476–3482. https://doi.org/10.1093/bioinformatics/btv401</w:t>
        </w:r>
      </w:hyperlink>
    </w:p>
    <w:p w14:paraId="7C522FB3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3">
        <w:r w:rsidR="0049238A">
          <w:t xml:space="preserve">Hardy, N., Berry, T., Kelaher, B. P., Goldsworthy, S. D., Bunce, M., Coleman, M. A., Gillanders, B. M., Connell, S. D., Blewitt, M., &amp; Figueira, W. (2017). Assessing the trophic ecology of top predators across a recolonisation frontier using DNA metabarcoding of diets. </w:t>
        </w:r>
      </w:hyperlink>
      <w:hyperlink r:id="rId84">
        <w:r w:rsidR="0049238A">
          <w:rPr>
            <w:i/>
          </w:rPr>
          <w:t>Marine Ecology Progress Series</w:t>
        </w:r>
      </w:hyperlink>
      <w:hyperlink r:id="rId85">
        <w:r w:rsidR="0049238A">
          <w:t xml:space="preserve">, </w:t>
        </w:r>
      </w:hyperlink>
      <w:hyperlink r:id="rId86">
        <w:r w:rsidR="0049238A">
          <w:rPr>
            <w:i/>
          </w:rPr>
          <w:t>573</w:t>
        </w:r>
      </w:hyperlink>
      <w:hyperlink r:id="rId87">
        <w:r w:rsidR="0049238A">
          <w:t>, 237–254. https://doi.org/10.3354/meps12165</w:t>
        </w:r>
      </w:hyperlink>
    </w:p>
    <w:p w14:paraId="77FCE913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8">
        <w:r w:rsidR="0049238A">
          <w:t xml:space="preserve">Huson, D. H., Auch, A. F., Qi, J., &amp; Schuster, S. C. (2007). MEGAN analysis of metagenomic data. </w:t>
        </w:r>
      </w:hyperlink>
      <w:hyperlink r:id="rId89">
        <w:r w:rsidR="0049238A">
          <w:rPr>
            <w:i/>
          </w:rPr>
          <w:t>Genome Research</w:t>
        </w:r>
      </w:hyperlink>
      <w:hyperlink r:id="rId90">
        <w:r w:rsidR="0049238A">
          <w:t xml:space="preserve">, </w:t>
        </w:r>
      </w:hyperlink>
      <w:hyperlink r:id="rId91">
        <w:r w:rsidR="0049238A">
          <w:rPr>
            <w:i/>
          </w:rPr>
          <w:t>17</w:t>
        </w:r>
      </w:hyperlink>
      <w:hyperlink r:id="rId92">
        <w:r w:rsidR="0049238A">
          <w:t>(3), 377–386. https://doi.org/10.1101/gr.5969107</w:t>
        </w:r>
      </w:hyperlink>
    </w:p>
    <w:p w14:paraId="3C867244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93">
        <w:r w:rsidR="0049238A">
          <w:t xml:space="preserve">Kearse, M., Moir, R., Wilson, A., Stones-Havas, S., Cheung, M., Sturrock, S., Buxton, S., Cooper, A., Markowitz, S., Duran, C., Thierer, T., Ashton, B., Meintjes, P., &amp; Drummond, A. (2012). Geneious Basic: An integrated and extendable desktop software platform for the organization and analysis of sequence data. </w:t>
        </w:r>
      </w:hyperlink>
      <w:hyperlink r:id="rId94">
        <w:r w:rsidR="0049238A">
          <w:rPr>
            <w:i/>
          </w:rPr>
          <w:t>Bioinformatics</w:t>
        </w:r>
      </w:hyperlink>
      <w:hyperlink r:id="rId95">
        <w:r w:rsidR="0049238A">
          <w:t xml:space="preserve">, </w:t>
        </w:r>
      </w:hyperlink>
      <w:hyperlink r:id="rId96">
        <w:r w:rsidR="0049238A">
          <w:rPr>
            <w:i/>
          </w:rPr>
          <w:t>28</w:t>
        </w:r>
      </w:hyperlink>
      <w:hyperlink r:id="rId97">
        <w:r w:rsidR="0049238A">
          <w:t>(12), 1647–1649. https://doi.org/10.1093/bioinformatics/bts199</w:t>
        </w:r>
      </w:hyperlink>
    </w:p>
    <w:p w14:paraId="0CDA77FE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98">
        <w:r w:rsidR="0049238A">
          <w:t xml:space="preserve">McIntosh, R. R., Sutherland, D. R., Dann, P., Kirkwood, R., </w:t>
        </w:r>
        <w:proofErr w:type="spellStart"/>
        <w:r w:rsidR="0049238A">
          <w:t>Thalman</w:t>
        </w:r>
        <w:proofErr w:type="spellEnd"/>
        <w:r w:rsidR="0049238A">
          <w:t xml:space="preserve">, S., Alderman, R., </w:t>
        </w:r>
        <w:proofErr w:type="spellStart"/>
        <w:r w:rsidR="0049238A">
          <w:t>Arnould</w:t>
        </w:r>
        <w:proofErr w:type="spellEnd"/>
        <w:r w:rsidR="0049238A">
          <w:t xml:space="preserve">, J. P., Mitchell, T., Kirkman, S., Salton, M., &amp; Slip, D. (2014). </w:t>
        </w:r>
      </w:hyperlink>
      <w:hyperlink r:id="rId99">
        <w:r w:rsidR="0049238A">
          <w:rPr>
            <w:i/>
          </w:rPr>
          <w:t>Pup estimates for Australian and New Zealand fur seals in Victoria, Tasmania and New South Wales between 2007 and 2013</w:t>
        </w:r>
      </w:hyperlink>
      <w:hyperlink r:id="rId100">
        <w:r w:rsidR="0049238A">
          <w:t xml:space="preserve"> (Final Report to The Australian Marine Mammal Centre, Department of Environment, Australian </w:t>
        </w:r>
        <w:proofErr w:type="gramStart"/>
        <w:r w:rsidR="0049238A">
          <w:t>Government,  95</w:t>
        </w:r>
        <w:proofErr w:type="gramEnd"/>
        <w:r w:rsidR="0049238A">
          <w:t>.).</w:t>
        </w:r>
      </w:hyperlink>
    </w:p>
    <w:p w14:paraId="343A0438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1">
        <w:r w:rsidR="0049238A">
          <w:t xml:space="preserve">Patel, S., Waugh, J., Millar, C. D., &amp; Lambert, D. M. (2010). Conserved primers for DNA barcoding historical and modern samples from New Zealand and Antarctic birds. </w:t>
        </w:r>
      </w:hyperlink>
      <w:hyperlink r:id="rId102">
        <w:r w:rsidR="0049238A">
          <w:rPr>
            <w:i/>
          </w:rPr>
          <w:t>Molecular Ecology Resources</w:t>
        </w:r>
      </w:hyperlink>
      <w:hyperlink r:id="rId103">
        <w:r w:rsidR="0049238A">
          <w:t xml:space="preserve">, </w:t>
        </w:r>
      </w:hyperlink>
      <w:hyperlink r:id="rId104">
        <w:r w:rsidR="0049238A">
          <w:rPr>
            <w:i/>
          </w:rPr>
          <w:t>10</w:t>
        </w:r>
      </w:hyperlink>
      <w:hyperlink r:id="rId105">
        <w:r w:rsidR="0049238A">
          <w:t>(3), 431–438. https://doi.org/10.1111/j.1755-0998.2009.02793.x</w:t>
        </w:r>
      </w:hyperlink>
    </w:p>
    <w:p w14:paraId="30C0B3FB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6">
        <w:r w:rsidR="0049238A">
          <w:t xml:space="preserve">Phillip Island Nature Parks. (2020). </w:t>
        </w:r>
      </w:hyperlink>
      <w:hyperlink r:id="rId107">
        <w:r w:rsidR="0049238A">
          <w:rPr>
            <w:i/>
          </w:rPr>
          <w:t>Annual Report 2019-20</w:t>
        </w:r>
      </w:hyperlink>
      <w:hyperlink r:id="rId108">
        <w:r w:rsidR="0049238A">
          <w:t xml:space="preserve"> (ISSN 2201-2842). https://www.penguins.org.au/assets/About/PDF-Publications/Nature-Parks-Annual-Report-2019-20.pdf</w:t>
        </w:r>
      </w:hyperlink>
    </w:p>
    <w:p w14:paraId="6BC583A4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9">
        <w:r w:rsidR="0049238A">
          <w:t xml:space="preserve">Redmap. (2019). </w:t>
        </w:r>
      </w:hyperlink>
      <w:hyperlink r:id="rId110">
        <w:r w:rsidR="0049238A">
          <w:rPr>
            <w:i/>
          </w:rPr>
          <w:t>Range Extension Database &amp; Mapping Project</w:t>
        </w:r>
      </w:hyperlink>
      <w:hyperlink r:id="rId111">
        <w:r w:rsidR="0049238A">
          <w:t>. World Wide Web electronic publication, accessed 01/2019: http://www.redmap.org.au</w:t>
        </w:r>
      </w:hyperlink>
    </w:p>
    <w:p w14:paraId="13581428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12">
        <w:r w:rsidR="0049238A">
          <w:t xml:space="preserve">Rout, T. M., Kirkwood, R., Sutherland, D. R., Murphy, S., &amp; McCarthy, M. A. (2014). When to declare successful eradication of an invasive predator? </w:t>
        </w:r>
      </w:hyperlink>
      <w:hyperlink r:id="rId113">
        <w:r w:rsidR="0049238A">
          <w:rPr>
            <w:i/>
          </w:rPr>
          <w:t>Animal Conservation</w:t>
        </w:r>
      </w:hyperlink>
      <w:hyperlink r:id="rId114">
        <w:r w:rsidR="0049238A">
          <w:t xml:space="preserve">, </w:t>
        </w:r>
      </w:hyperlink>
      <w:hyperlink r:id="rId115">
        <w:r w:rsidR="0049238A">
          <w:rPr>
            <w:i/>
          </w:rPr>
          <w:t>17</w:t>
        </w:r>
      </w:hyperlink>
      <w:hyperlink r:id="rId116">
        <w:r w:rsidR="0049238A">
          <w:t>(2), 125–132. https://doi.org/10.1111/acv.12065</w:t>
        </w:r>
      </w:hyperlink>
    </w:p>
    <w:p w14:paraId="3509F376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17">
        <w:r w:rsidR="0049238A">
          <w:t xml:space="preserve">Shaughnessy, P. D., Briggs, S. V., &amp; Constable, R. (2001). Observations on Seals at Montague Island, New South Wales. </w:t>
        </w:r>
      </w:hyperlink>
      <w:hyperlink r:id="rId118">
        <w:r w:rsidR="0049238A">
          <w:rPr>
            <w:i/>
          </w:rPr>
          <w:t>Australian Mammalogy</w:t>
        </w:r>
      </w:hyperlink>
      <w:hyperlink r:id="rId119">
        <w:r w:rsidR="0049238A">
          <w:t xml:space="preserve">, </w:t>
        </w:r>
      </w:hyperlink>
      <w:hyperlink r:id="rId120">
        <w:r w:rsidR="0049238A">
          <w:rPr>
            <w:i/>
          </w:rPr>
          <w:t>23</w:t>
        </w:r>
      </w:hyperlink>
      <w:hyperlink r:id="rId121">
        <w:r w:rsidR="0049238A">
          <w:t>(1), 1–7. https://doi.org/10.1071/am01001</w:t>
        </w:r>
      </w:hyperlink>
    </w:p>
    <w:p w14:paraId="59CDC0CB" w14:textId="77777777" w:rsidR="00861E4E" w:rsidRDefault="00E80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22">
        <w:r w:rsidR="0049238A">
          <w:t xml:space="preserve">Sutherland, D. R., &amp; Dann, P. (2014). Population trends in a substantial colony of Little Penguins: Three independent measures over three decades. </w:t>
        </w:r>
      </w:hyperlink>
      <w:hyperlink r:id="rId123">
        <w:r w:rsidR="0049238A">
          <w:rPr>
            <w:i/>
          </w:rPr>
          <w:t>Biodiversity and Conservation</w:t>
        </w:r>
      </w:hyperlink>
      <w:hyperlink r:id="rId124">
        <w:r w:rsidR="0049238A">
          <w:t xml:space="preserve">, </w:t>
        </w:r>
      </w:hyperlink>
      <w:hyperlink r:id="rId125">
        <w:r w:rsidR="0049238A">
          <w:rPr>
            <w:i/>
          </w:rPr>
          <w:t>23</w:t>
        </w:r>
      </w:hyperlink>
      <w:hyperlink r:id="rId126">
        <w:r w:rsidR="0049238A">
          <w:t>(1), 241–250. https://doi.org/10.1007/s10531-013-0597-y</w:t>
        </w:r>
      </w:hyperlink>
    </w:p>
    <w:p w14:paraId="456A1E29" w14:textId="77777777" w:rsidR="00861E4E" w:rsidRDefault="00861E4E">
      <w:pPr>
        <w:spacing w:line="480" w:lineRule="auto"/>
        <w:ind w:left="720" w:hanging="720"/>
      </w:pPr>
    </w:p>
    <w:sectPr w:rsidR="00861E4E">
      <w:type w:val="continuous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Natasha Hardy" w:date="2021-11-30T14:04:00Z" w:initials="NH">
    <w:p w14:paraId="50751752" w14:textId="185A07E9" w:rsidR="00D51B80" w:rsidRDefault="00D51B8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Need to update figures and remove the two low abundance haplotypes / sequences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7517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0ADE4" w16cex:dateUtc="2021-11-30T2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751752" w16cid:durableId="2550AD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E0996" w14:textId="77777777" w:rsidR="00E805CE" w:rsidRDefault="00E805CE">
      <w:r>
        <w:separator/>
      </w:r>
    </w:p>
  </w:endnote>
  <w:endnote w:type="continuationSeparator" w:id="0">
    <w:p w14:paraId="6EA3B28D" w14:textId="77777777" w:rsidR="00E805CE" w:rsidRDefault="00E8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8178" w14:textId="77777777" w:rsidR="00C65F08" w:rsidRDefault="00773B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A8AE3" w14:textId="77777777" w:rsidR="00E805CE" w:rsidRDefault="00E805CE">
      <w:r>
        <w:separator/>
      </w:r>
    </w:p>
  </w:footnote>
  <w:footnote w:type="continuationSeparator" w:id="0">
    <w:p w14:paraId="05AA470A" w14:textId="77777777" w:rsidR="00E805CE" w:rsidRDefault="00E80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44303" w14:textId="77777777" w:rsidR="00C65F08" w:rsidRDefault="00E805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 Hardy">
    <w15:presenceInfo w15:providerId="AD" w15:userId="S::nahardy@ualberta.ca::d4294b51-3865-400f-ad6f-7cfa7cb6b1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E4E"/>
    <w:rsid w:val="000E0611"/>
    <w:rsid w:val="001A461A"/>
    <w:rsid w:val="001D42A6"/>
    <w:rsid w:val="003145BC"/>
    <w:rsid w:val="003E66AB"/>
    <w:rsid w:val="00434339"/>
    <w:rsid w:val="0049238A"/>
    <w:rsid w:val="00545A49"/>
    <w:rsid w:val="006942FE"/>
    <w:rsid w:val="0073371B"/>
    <w:rsid w:val="00773B42"/>
    <w:rsid w:val="00793873"/>
    <w:rsid w:val="008361DC"/>
    <w:rsid w:val="00861E4E"/>
    <w:rsid w:val="0088072C"/>
    <w:rsid w:val="00950EB6"/>
    <w:rsid w:val="009E21B0"/>
    <w:rsid w:val="00A14520"/>
    <w:rsid w:val="00A65CC7"/>
    <w:rsid w:val="00A96230"/>
    <w:rsid w:val="00B25A42"/>
    <w:rsid w:val="00B357B1"/>
    <w:rsid w:val="00BC53A0"/>
    <w:rsid w:val="00BE3E2F"/>
    <w:rsid w:val="00D51B80"/>
    <w:rsid w:val="00D52FAE"/>
    <w:rsid w:val="00E75B75"/>
    <w:rsid w:val="00E805CE"/>
    <w:rsid w:val="00EB795B"/>
    <w:rsid w:val="00F64DA3"/>
    <w:rsid w:val="00FB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9606F"/>
  <w15:docId w15:val="{3517379C-2559-B44A-BACE-43CB9F92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1"/>
    </w:pPr>
    <w:rPr>
      <w:rFonts w:ascii="Times" w:eastAsia="Times" w:hAnsi="Times" w:cs="Times"/>
      <w:b/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2"/>
    </w:pPr>
    <w:rPr>
      <w:rFonts w:ascii="Times" w:eastAsia="Times" w:hAnsi="Times" w:cs="Times"/>
      <w:i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64D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5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145BC"/>
    <w:rPr>
      <w:color w:val="808080"/>
    </w:rPr>
  </w:style>
  <w:style w:type="paragraph" w:styleId="Revision">
    <w:name w:val="Revision"/>
    <w:hidden/>
    <w:uiPriority w:val="99"/>
    <w:semiHidden/>
    <w:rsid w:val="0095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zotero.org/google-docs/?KBzpyp" TargetMode="External"/><Relationship Id="rId21" Type="http://schemas.openxmlformats.org/officeDocument/2006/relationships/hyperlink" Target="https://www.zotero.org/google-docs/?rsnk2w" TargetMode="External"/><Relationship Id="rId42" Type="http://schemas.openxmlformats.org/officeDocument/2006/relationships/hyperlink" Target="https://www.zotero.org/google-docs/?KBzpyp" TargetMode="External"/><Relationship Id="rId47" Type="http://schemas.openxmlformats.org/officeDocument/2006/relationships/hyperlink" Target="https://www.zotero.org/google-docs/?KBzpyp" TargetMode="External"/><Relationship Id="rId63" Type="http://schemas.openxmlformats.org/officeDocument/2006/relationships/hyperlink" Target="https://www.zotero.org/google-docs/?KBzpyp" TargetMode="External"/><Relationship Id="rId68" Type="http://schemas.openxmlformats.org/officeDocument/2006/relationships/hyperlink" Target="https://www.zotero.org/google-docs/?KBzpyp" TargetMode="External"/><Relationship Id="rId84" Type="http://schemas.openxmlformats.org/officeDocument/2006/relationships/hyperlink" Target="https://www.zotero.org/google-docs/?KBzpyp" TargetMode="External"/><Relationship Id="rId89" Type="http://schemas.openxmlformats.org/officeDocument/2006/relationships/hyperlink" Target="https://www.zotero.org/google-docs/?KBzpyp" TargetMode="External"/><Relationship Id="rId112" Type="http://schemas.openxmlformats.org/officeDocument/2006/relationships/hyperlink" Target="https://www.zotero.org/google-docs/?KBzpyp" TargetMode="External"/><Relationship Id="rId16" Type="http://schemas.openxmlformats.org/officeDocument/2006/relationships/hyperlink" Target="https://www.zotero.org/google-docs/?0wHblZ" TargetMode="External"/><Relationship Id="rId107" Type="http://schemas.openxmlformats.org/officeDocument/2006/relationships/hyperlink" Target="https://www.zotero.org/google-docs/?KBzpyp" TargetMode="External"/><Relationship Id="rId11" Type="http://schemas.openxmlformats.org/officeDocument/2006/relationships/hyperlink" Target="https://www.zotero.org/google-docs/?XUwBYO" TargetMode="External"/><Relationship Id="rId32" Type="http://schemas.microsoft.com/office/2011/relationships/commentsExtended" Target="commentsExtended.xml"/><Relationship Id="rId37" Type="http://schemas.openxmlformats.org/officeDocument/2006/relationships/image" Target="media/image1.png"/><Relationship Id="rId53" Type="http://schemas.openxmlformats.org/officeDocument/2006/relationships/hyperlink" Target="https://www.zotero.org/google-docs/?KBzpyp" TargetMode="External"/><Relationship Id="rId58" Type="http://schemas.openxmlformats.org/officeDocument/2006/relationships/hyperlink" Target="https://www.zotero.org/google-docs/?KBzpyp" TargetMode="External"/><Relationship Id="rId74" Type="http://schemas.openxmlformats.org/officeDocument/2006/relationships/hyperlink" Target="https://www.zotero.org/google-docs/?KBzpyp" TargetMode="External"/><Relationship Id="rId79" Type="http://schemas.openxmlformats.org/officeDocument/2006/relationships/hyperlink" Target="https://www.zotero.org/google-docs/?KBzpyp" TargetMode="External"/><Relationship Id="rId102" Type="http://schemas.openxmlformats.org/officeDocument/2006/relationships/hyperlink" Target="https://www.zotero.org/google-docs/?KBzpyp" TargetMode="External"/><Relationship Id="rId123" Type="http://schemas.openxmlformats.org/officeDocument/2006/relationships/hyperlink" Target="https://www.zotero.org/google-docs/?KBzpyp" TargetMode="External"/><Relationship Id="rId128" Type="http://schemas.microsoft.com/office/2011/relationships/people" Target="people.xml"/><Relationship Id="rId5" Type="http://schemas.openxmlformats.org/officeDocument/2006/relationships/endnotes" Target="endnotes.xml"/><Relationship Id="rId90" Type="http://schemas.openxmlformats.org/officeDocument/2006/relationships/hyperlink" Target="https://www.zotero.org/google-docs/?KBzpyp" TargetMode="External"/><Relationship Id="rId95" Type="http://schemas.openxmlformats.org/officeDocument/2006/relationships/hyperlink" Target="https://www.zotero.org/google-docs/?KBzpyp" TargetMode="External"/><Relationship Id="rId22" Type="http://schemas.openxmlformats.org/officeDocument/2006/relationships/hyperlink" Target="https://www.zotero.org/google-docs/?Tj1YqF" TargetMode="External"/><Relationship Id="rId27" Type="http://schemas.openxmlformats.org/officeDocument/2006/relationships/hyperlink" Target="https://www.zotero.org/google-docs/?gWKhfo" TargetMode="External"/><Relationship Id="rId43" Type="http://schemas.openxmlformats.org/officeDocument/2006/relationships/hyperlink" Target="https://www.zotero.org/google-docs/?KBzpyp" TargetMode="External"/><Relationship Id="rId48" Type="http://schemas.openxmlformats.org/officeDocument/2006/relationships/hyperlink" Target="https://www.zotero.org/google-docs/?KBzpyp" TargetMode="External"/><Relationship Id="rId64" Type="http://schemas.openxmlformats.org/officeDocument/2006/relationships/hyperlink" Target="https://www.zotero.org/google-docs/?KBzpyp" TargetMode="External"/><Relationship Id="rId69" Type="http://schemas.openxmlformats.org/officeDocument/2006/relationships/hyperlink" Target="https://www.zotero.org/google-docs/?KBzpyp" TargetMode="External"/><Relationship Id="rId113" Type="http://schemas.openxmlformats.org/officeDocument/2006/relationships/hyperlink" Target="https://www.zotero.org/google-docs/?KBzpyp" TargetMode="External"/><Relationship Id="rId118" Type="http://schemas.openxmlformats.org/officeDocument/2006/relationships/hyperlink" Target="https://www.zotero.org/google-docs/?KBzpyp" TargetMode="External"/><Relationship Id="rId80" Type="http://schemas.openxmlformats.org/officeDocument/2006/relationships/hyperlink" Target="https://www.zotero.org/google-docs/?KBzpyp" TargetMode="External"/><Relationship Id="rId85" Type="http://schemas.openxmlformats.org/officeDocument/2006/relationships/hyperlink" Target="https://www.zotero.org/google-docs/?KBzpyp" TargetMode="External"/><Relationship Id="rId12" Type="http://schemas.openxmlformats.org/officeDocument/2006/relationships/hyperlink" Target="https://www.zotero.org/google-docs/?qItaWv" TargetMode="External"/><Relationship Id="rId17" Type="http://schemas.openxmlformats.org/officeDocument/2006/relationships/hyperlink" Target="https://www.zotero.org/google-docs/?yzxh9M" TargetMode="External"/><Relationship Id="rId33" Type="http://schemas.microsoft.com/office/2016/09/relationships/commentsIds" Target="commentsIds.xml"/><Relationship Id="rId38" Type="http://schemas.openxmlformats.org/officeDocument/2006/relationships/image" Target="media/image2.png"/><Relationship Id="rId59" Type="http://schemas.openxmlformats.org/officeDocument/2006/relationships/hyperlink" Target="https://www.zotero.org/google-docs/?KBzpyp" TargetMode="External"/><Relationship Id="rId103" Type="http://schemas.openxmlformats.org/officeDocument/2006/relationships/hyperlink" Target="https://www.zotero.org/google-docs/?KBzpyp" TargetMode="External"/><Relationship Id="rId108" Type="http://schemas.openxmlformats.org/officeDocument/2006/relationships/hyperlink" Target="https://www.zotero.org/google-docs/?KBzpyp" TargetMode="External"/><Relationship Id="rId124" Type="http://schemas.openxmlformats.org/officeDocument/2006/relationships/hyperlink" Target="https://www.zotero.org/google-docs/?KBzpyp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www.zotero.org/google-docs/?KBzpyp" TargetMode="External"/><Relationship Id="rId70" Type="http://schemas.openxmlformats.org/officeDocument/2006/relationships/hyperlink" Target="https://www.zotero.org/google-docs/?KBzpyp" TargetMode="External"/><Relationship Id="rId75" Type="http://schemas.openxmlformats.org/officeDocument/2006/relationships/hyperlink" Target="https://www.zotero.org/google-docs/?KBzpyp" TargetMode="External"/><Relationship Id="rId91" Type="http://schemas.openxmlformats.org/officeDocument/2006/relationships/hyperlink" Target="https://www.zotero.org/google-docs/?KBzpyp" TargetMode="External"/><Relationship Id="rId96" Type="http://schemas.openxmlformats.org/officeDocument/2006/relationships/hyperlink" Target="https://www.zotero.org/google-docs/?KBzpy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otero.org/google-docs/?QBhosL" TargetMode="External"/><Relationship Id="rId23" Type="http://schemas.openxmlformats.org/officeDocument/2006/relationships/hyperlink" Target="https://www.zotero.org/google-docs/?0aJP9e" TargetMode="External"/><Relationship Id="rId28" Type="http://schemas.openxmlformats.org/officeDocument/2006/relationships/hyperlink" Target="https://www.zotero.org/google-docs/?aFx4Ts" TargetMode="External"/><Relationship Id="rId49" Type="http://schemas.openxmlformats.org/officeDocument/2006/relationships/hyperlink" Target="https://www.zotero.org/google-docs/?KBzpyp" TargetMode="External"/><Relationship Id="rId114" Type="http://schemas.openxmlformats.org/officeDocument/2006/relationships/hyperlink" Target="https://www.zotero.org/google-docs/?KBzpyp" TargetMode="External"/><Relationship Id="rId119" Type="http://schemas.openxmlformats.org/officeDocument/2006/relationships/hyperlink" Target="https://www.zotero.org/google-docs/?KBzpyp" TargetMode="External"/><Relationship Id="rId44" Type="http://schemas.openxmlformats.org/officeDocument/2006/relationships/hyperlink" Target="https://www.zotero.org/google-docs/?KBzpyp" TargetMode="External"/><Relationship Id="rId60" Type="http://schemas.openxmlformats.org/officeDocument/2006/relationships/hyperlink" Target="https://www.zotero.org/google-docs/?KBzpyp" TargetMode="External"/><Relationship Id="rId65" Type="http://schemas.openxmlformats.org/officeDocument/2006/relationships/hyperlink" Target="https://www.zotero.org/google-docs/?KBzpyp" TargetMode="External"/><Relationship Id="rId81" Type="http://schemas.openxmlformats.org/officeDocument/2006/relationships/hyperlink" Target="https://www.zotero.org/google-docs/?KBzpyp" TargetMode="External"/><Relationship Id="rId86" Type="http://schemas.openxmlformats.org/officeDocument/2006/relationships/hyperlink" Target="https://www.zotero.org/google-docs/?KBzpyp" TargetMode="External"/><Relationship Id="rId13" Type="http://schemas.openxmlformats.org/officeDocument/2006/relationships/hyperlink" Target="http://www.mobio.com" TargetMode="External"/><Relationship Id="rId18" Type="http://schemas.openxmlformats.org/officeDocument/2006/relationships/hyperlink" Target="https://www.zotero.org/google-docs/?0qzMhy" TargetMode="External"/><Relationship Id="rId39" Type="http://schemas.openxmlformats.org/officeDocument/2006/relationships/image" Target="media/image3.png"/><Relationship Id="rId109" Type="http://schemas.openxmlformats.org/officeDocument/2006/relationships/hyperlink" Target="https://www.zotero.org/google-docs/?KBzpyp" TargetMode="External"/><Relationship Id="rId34" Type="http://schemas.microsoft.com/office/2018/08/relationships/commentsExtensible" Target="commentsExtensible.xml"/><Relationship Id="rId50" Type="http://schemas.openxmlformats.org/officeDocument/2006/relationships/hyperlink" Target="https://www.zotero.org/google-docs/?KBzpyp" TargetMode="External"/><Relationship Id="rId55" Type="http://schemas.openxmlformats.org/officeDocument/2006/relationships/hyperlink" Target="https://www.zotero.org/google-docs/?KBzpyp" TargetMode="External"/><Relationship Id="rId76" Type="http://schemas.openxmlformats.org/officeDocument/2006/relationships/hyperlink" Target="https://www.zotero.org/google-docs/?KBzpyp" TargetMode="External"/><Relationship Id="rId97" Type="http://schemas.openxmlformats.org/officeDocument/2006/relationships/hyperlink" Target="https://www.zotero.org/google-docs/?KBzpyp" TargetMode="External"/><Relationship Id="rId104" Type="http://schemas.openxmlformats.org/officeDocument/2006/relationships/hyperlink" Target="https://www.zotero.org/google-docs/?KBzpyp" TargetMode="External"/><Relationship Id="rId120" Type="http://schemas.openxmlformats.org/officeDocument/2006/relationships/hyperlink" Target="https://www.zotero.org/google-docs/?KBzpyp" TargetMode="External"/><Relationship Id="rId125" Type="http://schemas.openxmlformats.org/officeDocument/2006/relationships/hyperlink" Target="https://www.zotero.org/google-docs/?KBzpyp" TargetMode="External"/><Relationship Id="rId7" Type="http://schemas.openxmlformats.org/officeDocument/2006/relationships/hyperlink" Target="https://www.zotero.org/google-docs/?5lHpvH" TargetMode="External"/><Relationship Id="rId71" Type="http://schemas.openxmlformats.org/officeDocument/2006/relationships/hyperlink" Target="https://www.zotero.org/google-docs/?KBzpyp" TargetMode="External"/><Relationship Id="rId92" Type="http://schemas.openxmlformats.org/officeDocument/2006/relationships/hyperlink" Target="https://www.zotero.org/google-docs/?KBzpy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zotero.org/google-docs/?lPTfxM" TargetMode="External"/><Relationship Id="rId24" Type="http://schemas.openxmlformats.org/officeDocument/2006/relationships/hyperlink" Target="https://www.zotero.org/google-docs/?zj6V7O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s://www.zotero.org/google-docs/?KBzpyp" TargetMode="External"/><Relationship Id="rId66" Type="http://schemas.openxmlformats.org/officeDocument/2006/relationships/hyperlink" Target="https://www.zotero.org/google-docs/?KBzpyp" TargetMode="External"/><Relationship Id="rId87" Type="http://schemas.openxmlformats.org/officeDocument/2006/relationships/hyperlink" Target="https://www.zotero.org/google-docs/?KBzpyp" TargetMode="External"/><Relationship Id="rId110" Type="http://schemas.openxmlformats.org/officeDocument/2006/relationships/hyperlink" Target="https://www.zotero.org/google-docs/?KBzpyp" TargetMode="External"/><Relationship Id="rId115" Type="http://schemas.openxmlformats.org/officeDocument/2006/relationships/hyperlink" Target="https://www.zotero.org/google-docs/?KBzpyp" TargetMode="External"/><Relationship Id="rId61" Type="http://schemas.openxmlformats.org/officeDocument/2006/relationships/hyperlink" Target="https://www.zotero.org/google-docs/?KBzpyp" TargetMode="External"/><Relationship Id="rId82" Type="http://schemas.openxmlformats.org/officeDocument/2006/relationships/hyperlink" Target="https://www.zotero.org/google-docs/?KBzpyp" TargetMode="External"/><Relationship Id="rId19" Type="http://schemas.openxmlformats.org/officeDocument/2006/relationships/hyperlink" Target="https://www.zotero.org/google-docs/?9vw497" TargetMode="External"/><Relationship Id="rId14" Type="http://schemas.openxmlformats.org/officeDocument/2006/relationships/hyperlink" Target="https://www.bioline.com/us/" TargetMode="External"/><Relationship Id="rId30" Type="http://schemas.openxmlformats.org/officeDocument/2006/relationships/hyperlink" Target="https://www.zotero.org/google-docs/?ujGeUY" TargetMode="External"/><Relationship Id="rId35" Type="http://schemas.openxmlformats.org/officeDocument/2006/relationships/header" Target="header1.xml"/><Relationship Id="rId56" Type="http://schemas.openxmlformats.org/officeDocument/2006/relationships/hyperlink" Target="https://www.zotero.org/google-docs/?KBzpyp" TargetMode="External"/><Relationship Id="rId77" Type="http://schemas.openxmlformats.org/officeDocument/2006/relationships/hyperlink" Target="https://www.zotero.org/google-docs/?KBzpyp" TargetMode="External"/><Relationship Id="rId100" Type="http://schemas.openxmlformats.org/officeDocument/2006/relationships/hyperlink" Target="https://www.zotero.org/google-docs/?KBzpyp" TargetMode="External"/><Relationship Id="rId105" Type="http://schemas.openxmlformats.org/officeDocument/2006/relationships/hyperlink" Target="https://www.zotero.org/google-docs/?KBzpyp" TargetMode="External"/><Relationship Id="rId126" Type="http://schemas.openxmlformats.org/officeDocument/2006/relationships/hyperlink" Target="https://www.zotero.org/google-docs/?KBzpyp" TargetMode="External"/><Relationship Id="rId8" Type="http://schemas.openxmlformats.org/officeDocument/2006/relationships/hyperlink" Target="https://www.zotero.org/google-docs/?Rgkcns" TargetMode="External"/><Relationship Id="rId51" Type="http://schemas.openxmlformats.org/officeDocument/2006/relationships/hyperlink" Target="https://www.zotero.org/google-docs/?KBzpyp" TargetMode="External"/><Relationship Id="rId72" Type="http://schemas.openxmlformats.org/officeDocument/2006/relationships/hyperlink" Target="https://www.zotero.org/google-docs/?KBzpyp" TargetMode="External"/><Relationship Id="rId93" Type="http://schemas.openxmlformats.org/officeDocument/2006/relationships/hyperlink" Target="https://www.zotero.org/google-docs/?KBzpyp" TargetMode="External"/><Relationship Id="rId98" Type="http://schemas.openxmlformats.org/officeDocument/2006/relationships/hyperlink" Target="https://www.zotero.org/google-docs/?KBzpyp" TargetMode="External"/><Relationship Id="rId121" Type="http://schemas.openxmlformats.org/officeDocument/2006/relationships/hyperlink" Target="https://www.zotero.org/google-docs/?KBzpy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zotero.org/google-docs/?O0ZYt0" TargetMode="External"/><Relationship Id="rId46" Type="http://schemas.openxmlformats.org/officeDocument/2006/relationships/hyperlink" Target="https://www.zotero.org/google-docs/?KBzpyp" TargetMode="External"/><Relationship Id="rId67" Type="http://schemas.openxmlformats.org/officeDocument/2006/relationships/hyperlink" Target="https://www.zotero.org/google-docs/?KBzpyp" TargetMode="External"/><Relationship Id="rId116" Type="http://schemas.openxmlformats.org/officeDocument/2006/relationships/hyperlink" Target="https://www.zotero.org/google-docs/?KBzpyp" TargetMode="External"/><Relationship Id="rId20" Type="http://schemas.openxmlformats.org/officeDocument/2006/relationships/hyperlink" Target="https://www.zotero.org/google-docs/?0qVf5D" TargetMode="External"/><Relationship Id="rId41" Type="http://schemas.openxmlformats.org/officeDocument/2006/relationships/hyperlink" Target="https://www.zotero.org/google-docs/?KBzpyp" TargetMode="External"/><Relationship Id="rId62" Type="http://schemas.openxmlformats.org/officeDocument/2006/relationships/hyperlink" Target="https://www.zotero.org/google-docs/?KBzpyp" TargetMode="External"/><Relationship Id="rId83" Type="http://schemas.openxmlformats.org/officeDocument/2006/relationships/hyperlink" Target="https://www.zotero.org/google-docs/?KBzpyp" TargetMode="External"/><Relationship Id="rId88" Type="http://schemas.openxmlformats.org/officeDocument/2006/relationships/hyperlink" Target="https://www.zotero.org/google-docs/?KBzpyp" TargetMode="External"/><Relationship Id="rId111" Type="http://schemas.openxmlformats.org/officeDocument/2006/relationships/hyperlink" Target="https://www.zotero.org/google-docs/?KBzpyp" TargetMode="External"/><Relationship Id="rId15" Type="http://schemas.openxmlformats.org/officeDocument/2006/relationships/hyperlink" Target="https://www.zotero.org/google-docs/?m18GNS" TargetMode="External"/><Relationship Id="rId36" Type="http://schemas.openxmlformats.org/officeDocument/2006/relationships/footer" Target="footer1.xml"/><Relationship Id="rId57" Type="http://schemas.openxmlformats.org/officeDocument/2006/relationships/hyperlink" Target="https://www.zotero.org/google-docs/?KBzpyp" TargetMode="External"/><Relationship Id="rId106" Type="http://schemas.openxmlformats.org/officeDocument/2006/relationships/hyperlink" Target="https://www.zotero.org/google-docs/?KBzpyp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www.zotero.org/google-docs/?3e5AQ8" TargetMode="External"/><Relationship Id="rId31" Type="http://schemas.openxmlformats.org/officeDocument/2006/relationships/comments" Target="comments.xml"/><Relationship Id="rId52" Type="http://schemas.openxmlformats.org/officeDocument/2006/relationships/hyperlink" Target="https://www.zotero.org/google-docs/?KBzpyp" TargetMode="External"/><Relationship Id="rId73" Type="http://schemas.openxmlformats.org/officeDocument/2006/relationships/hyperlink" Target="https://www.zotero.org/google-docs/?KBzpyp" TargetMode="External"/><Relationship Id="rId78" Type="http://schemas.openxmlformats.org/officeDocument/2006/relationships/hyperlink" Target="https://www.zotero.org/google-docs/?KBzpyp" TargetMode="External"/><Relationship Id="rId94" Type="http://schemas.openxmlformats.org/officeDocument/2006/relationships/hyperlink" Target="https://www.zotero.org/google-docs/?KBzpyp" TargetMode="External"/><Relationship Id="rId99" Type="http://schemas.openxmlformats.org/officeDocument/2006/relationships/hyperlink" Target="https://www.zotero.org/google-docs/?KBzpyp" TargetMode="External"/><Relationship Id="rId101" Type="http://schemas.openxmlformats.org/officeDocument/2006/relationships/hyperlink" Target="https://www.zotero.org/google-docs/?KBzpyp" TargetMode="External"/><Relationship Id="rId122" Type="http://schemas.openxmlformats.org/officeDocument/2006/relationships/hyperlink" Target="https://www.zotero.org/google-docs/?KBzpy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zotero.org/google-docs/?HlG32e" TargetMode="External"/><Relationship Id="rId26" Type="http://schemas.openxmlformats.org/officeDocument/2006/relationships/hyperlink" Target="https://www.zotero.org/google-docs/?K0QS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19</Pages>
  <Words>4007</Words>
  <Characters>22845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Natasha Hardy</cp:lastModifiedBy>
  <cp:revision>17</cp:revision>
  <dcterms:created xsi:type="dcterms:W3CDTF">2021-04-28T22:57:00Z</dcterms:created>
  <dcterms:modified xsi:type="dcterms:W3CDTF">2021-11-30T22:17:00Z</dcterms:modified>
</cp:coreProperties>
</file>