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0A724" w14:textId="77777777" w:rsidR="00175EC2" w:rsidRDefault="00000000">
      <w:pPr>
        <w:pStyle w:val="Heading2"/>
        <w:jc w:val="center"/>
      </w:pPr>
      <w:bookmarkStart w:id="0" w:name="_heading=h.gjdgxs" w:colFirst="0" w:colLast="0"/>
      <w:bookmarkEnd w:id="0"/>
      <w:r>
        <w:t xml:space="preserve">Electronic Supplementary Materials – Quantifying a wildlife conflict: estimates of seabird predation by recovering fur seals across </w:t>
      </w:r>
      <w:proofErr w:type="spellStart"/>
      <w:r>
        <w:t>southeastern</w:t>
      </w:r>
      <w:proofErr w:type="spellEnd"/>
      <w:r>
        <w:t xml:space="preserve"> </w:t>
      </w:r>
      <w:proofErr w:type="gramStart"/>
      <w:r>
        <w:t>Australia</w:t>
      </w:r>
      <w:proofErr w:type="gramEnd"/>
    </w:p>
    <w:p w14:paraId="069917B4" w14:textId="77777777" w:rsidR="00175EC2" w:rsidRDefault="00175EC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</w:pPr>
    </w:p>
    <w:p w14:paraId="3A2EFF07" w14:textId="77777777" w:rsidR="00175EC2" w:rsidRDefault="00000000">
      <w:pPr>
        <w:pStyle w:val="Heading2"/>
      </w:pPr>
      <w:bookmarkStart w:id="1" w:name="_heading=h.30j0zll" w:colFirst="0" w:colLast="0"/>
      <w:bookmarkEnd w:id="1"/>
      <w:r>
        <w:t>S1 Methods</w:t>
      </w:r>
    </w:p>
    <w:p w14:paraId="37FA7095" w14:textId="77777777" w:rsidR="00175EC2" w:rsidRDefault="00175EC2"/>
    <w:p w14:paraId="1DBDD115" w14:textId="77777777" w:rsidR="00175EC2" w:rsidRDefault="00000000">
      <w:pPr>
        <w:pStyle w:val="Heading3"/>
      </w:pPr>
      <w:bookmarkStart w:id="2" w:name="_heading=h.egpo9olpq6i4" w:colFirst="0" w:colLast="0"/>
      <w:bookmarkEnd w:id="2"/>
      <w:r>
        <w:t>S1.1 Site background information</w:t>
      </w:r>
    </w:p>
    <w:p w14:paraId="160ADB03" w14:textId="77777777" w:rsidR="00175EC2" w:rsidRDefault="00175EC2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</w:p>
    <w:p w14:paraId="3980C766" w14:textId="77777777" w:rsidR="00175EC2" w:rsidRDefault="00000000">
      <w:pPr>
        <w:spacing w:line="48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Long-nosed fur seal pups have been recorded (to the best of our knowledge) at </w:t>
      </w:r>
      <w:proofErr w:type="spellStart"/>
      <w:r>
        <w:rPr>
          <w:rFonts w:ascii="Times" w:eastAsia="Times" w:hAnsi="Times" w:cs="Times"/>
        </w:rPr>
        <w:t>Deen</w:t>
      </w:r>
      <w:proofErr w:type="spellEnd"/>
      <w:r>
        <w:rPr>
          <w:rFonts w:ascii="Times" w:eastAsia="Times" w:hAnsi="Times" w:cs="Times"/>
        </w:rPr>
        <w:t xml:space="preserve"> Maar Island since 2002, Cape Bridgewater since 2008, Gabo Island since 2016, and Barunguba since 2000 </w:t>
      </w:r>
      <w:hyperlink r:id="rId7">
        <w:r>
          <w:rPr>
            <w:rFonts w:ascii="Times" w:eastAsia="Times" w:hAnsi="Times" w:cs="Times"/>
          </w:rPr>
          <w:t>(</w:t>
        </w:r>
        <w:proofErr w:type="spellStart"/>
        <w:r>
          <w:rPr>
            <w:rFonts w:ascii="Times" w:eastAsia="Times" w:hAnsi="Times" w:cs="Times"/>
          </w:rPr>
          <w:t>Arnould</w:t>
        </w:r>
        <w:proofErr w:type="spellEnd"/>
        <w:r>
          <w:rPr>
            <w:rFonts w:ascii="Times" w:eastAsia="Times" w:hAnsi="Times" w:cs="Times"/>
          </w:rPr>
          <w:t xml:space="preserve"> et al., 2003; </w:t>
        </w:r>
      </w:hyperlink>
      <w:r>
        <w:rPr>
          <w:rFonts w:ascii="Times" w:eastAsia="Times" w:hAnsi="Times" w:cs="Times"/>
        </w:rPr>
        <w:t xml:space="preserve">McIntosh et al. </w:t>
      </w:r>
      <w:proofErr w:type="spellStart"/>
      <w:r>
        <w:rPr>
          <w:rFonts w:ascii="Times" w:eastAsia="Times" w:hAnsi="Times" w:cs="Times"/>
        </w:rPr>
        <w:t>unpub</w:t>
      </w:r>
      <w:proofErr w:type="spellEnd"/>
      <w:r>
        <w:rPr>
          <w:rFonts w:ascii="Times" w:eastAsia="Times" w:hAnsi="Times" w:cs="Times"/>
        </w:rPr>
        <w:t xml:space="preserve">. data; </w:t>
      </w:r>
      <w:hyperlink r:id="rId8">
        <w:r>
          <w:rPr>
            <w:rFonts w:ascii="Times" w:eastAsia="Times" w:hAnsi="Times" w:cs="Times"/>
          </w:rPr>
          <w:t>Shaughnessy et al., 2001)</w:t>
        </w:r>
      </w:hyperlink>
      <w:r>
        <w:rPr>
          <w:rFonts w:ascii="Times" w:eastAsia="Times" w:hAnsi="Times" w:cs="Times"/>
        </w:rPr>
        <w:t xml:space="preserve">. Pup numbers, as an index of population size in 2013, were ~100 at Cape Bridgewater, ~ 24 at </w:t>
      </w:r>
      <w:proofErr w:type="spellStart"/>
      <w:r>
        <w:rPr>
          <w:rFonts w:ascii="Times" w:eastAsia="Times" w:hAnsi="Times" w:cs="Times"/>
        </w:rPr>
        <w:t>Deen</w:t>
      </w:r>
      <w:proofErr w:type="spellEnd"/>
      <w:r>
        <w:rPr>
          <w:rFonts w:ascii="Times" w:eastAsia="Times" w:hAnsi="Times" w:cs="Times"/>
        </w:rPr>
        <w:t xml:space="preserve"> Maar Island (and in 2017), 8 at Gabo Island and ~42 at Barunguba </w:t>
      </w:r>
      <w:hyperlink r:id="rId9">
        <w:r>
          <w:rPr>
            <w:rFonts w:ascii="Times" w:eastAsia="Times" w:hAnsi="Times" w:cs="Times"/>
          </w:rPr>
          <w:t xml:space="preserve">(McIntosh et al., 2014; </w:t>
        </w:r>
      </w:hyperlink>
      <w:r>
        <w:rPr>
          <w:rFonts w:ascii="Times" w:eastAsia="Times" w:hAnsi="Times" w:cs="Times"/>
        </w:rPr>
        <w:t>McIntosh et al. unpublished data</w:t>
      </w:r>
      <w:hyperlink r:id="rId10">
        <w:r>
          <w:rPr>
            <w:rFonts w:ascii="Times" w:eastAsia="Times" w:hAnsi="Times" w:cs="Times"/>
          </w:rPr>
          <w:t>)</w:t>
        </w:r>
      </w:hyperlink>
      <w:r>
        <w:rPr>
          <w:rFonts w:ascii="Times" w:eastAsia="Times" w:hAnsi="Times" w:cs="Times"/>
        </w:rPr>
        <w:t xml:space="preserve"> (Fig. 1). Additionally, </w:t>
      </w:r>
      <w:r>
        <w:t>Phillip Island, in north-central Bass Strait, is home to the largest little penguin colony</w:t>
      </w:r>
      <w:r>
        <w:rPr>
          <w:rFonts w:ascii="Times" w:eastAsia="Times" w:hAnsi="Times" w:cs="Times"/>
        </w:rPr>
        <w:t xml:space="preserve">, with an estimated 31,000 breeding pairs of penguins in 2010 </w:t>
      </w:r>
      <w:hyperlink r:id="rId11">
        <w:r>
          <w:t>(Sutherland &amp; Dann, 2014)</w:t>
        </w:r>
      </w:hyperlink>
      <w:r>
        <w:rPr>
          <w:rFonts w:ascii="Times" w:eastAsia="Times" w:hAnsi="Times" w:cs="Times"/>
        </w:rPr>
        <w:t xml:space="preserve">. </w:t>
      </w:r>
      <w:r>
        <w:rPr>
          <w:color w:val="211E1E"/>
        </w:rPr>
        <w:t xml:space="preserve">Seabird morphological remains are conspicuous across </w:t>
      </w:r>
      <w:r>
        <w:t>long-nosed fur seal</w:t>
      </w:r>
      <w:r>
        <w:rPr>
          <w:color w:val="211E1E"/>
        </w:rPr>
        <w:t xml:space="preserve"> colonies in </w:t>
      </w:r>
      <w:proofErr w:type="spellStart"/>
      <w:r>
        <w:rPr>
          <w:color w:val="211E1E"/>
        </w:rPr>
        <w:t>southeastern</w:t>
      </w:r>
      <w:proofErr w:type="spellEnd"/>
      <w:r>
        <w:rPr>
          <w:color w:val="211E1E"/>
        </w:rPr>
        <w:t xml:space="preserve"> Australia (Fig. 2).</w:t>
      </w:r>
    </w:p>
    <w:p w14:paraId="1C6E6E92" w14:textId="77777777" w:rsidR="00175EC2" w:rsidRDefault="00175EC2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</w:p>
    <w:p w14:paraId="53949AB3" w14:textId="77777777" w:rsidR="00175EC2" w:rsidRDefault="00000000">
      <w:pPr>
        <w:pStyle w:val="Heading3"/>
      </w:pPr>
      <w:bookmarkStart w:id="3" w:name="_heading=h.fx6u9hsge2pu" w:colFirst="0" w:colLast="0"/>
      <w:bookmarkEnd w:id="3"/>
      <w:r>
        <w:t xml:space="preserve">S1.2 Additional information on morphological identification of seabird remains in long-nosed fur seal </w:t>
      </w:r>
      <w:proofErr w:type="gramStart"/>
      <w:r>
        <w:t>scats</w:t>
      </w:r>
      <w:proofErr w:type="gramEnd"/>
    </w:p>
    <w:p w14:paraId="06FF9FB2" w14:textId="77777777" w:rsidR="00175EC2" w:rsidRDefault="00175EC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211E1E"/>
        </w:rPr>
      </w:pPr>
    </w:p>
    <w:p w14:paraId="179E1AE7" w14:textId="77777777" w:rsidR="00175EC2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211E1E"/>
        </w:rPr>
      </w:pPr>
      <w:r>
        <w:rPr>
          <w:color w:val="000000"/>
        </w:rPr>
        <w:t xml:space="preserve">All prey items were identified from </w:t>
      </w:r>
      <w:proofErr w:type="gramStart"/>
      <w:r>
        <w:rPr>
          <w:color w:val="000000"/>
        </w:rPr>
        <w:t>hard-parts</w:t>
      </w:r>
      <w:proofErr w:type="gramEnd"/>
      <w:r>
        <w:rPr>
          <w:color w:val="000000"/>
        </w:rPr>
        <w:t xml:space="preserve"> using methods described by Page et al. (2005). </w:t>
      </w:r>
      <w:r>
        <w:rPr>
          <w:color w:val="211E1E"/>
        </w:rPr>
        <w:t xml:space="preserve">Little penguin feathers are recognisable by their blue tinge and compact shape (Fig. 2d). Shearwater feathers are long, </w:t>
      </w:r>
      <w:proofErr w:type="gramStart"/>
      <w:r>
        <w:rPr>
          <w:color w:val="211E1E"/>
        </w:rPr>
        <w:t>tapered</w:t>
      </w:r>
      <w:proofErr w:type="gramEnd"/>
      <w:r>
        <w:rPr>
          <w:color w:val="211E1E"/>
        </w:rPr>
        <w:t xml:space="preserve"> and grey in colour. Seabird carcasses collected at Phillip Island were used to verify feather identity. The presence of bird </w:t>
      </w:r>
      <w:r>
        <w:rPr>
          <w:color w:val="211E1E"/>
        </w:rPr>
        <w:lastRenderedPageBreak/>
        <w:t>hard parts in a single scat was recorded as one bird unless multiple appendages or heads suggested otherwise.</w:t>
      </w:r>
    </w:p>
    <w:p w14:paraId="277ABBFA" w14:textId="77777777" w:rsidR="00175EC2" w:rsidRDefault="00175EC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</w:pPr>
    </w:p>
    <w:p w14:paraId="2A8A382B" w14:textId="77777777" w:rsidR="00175EC2" w:rsidRDefault="00000000">
      <w:pPr>
        <w:pStyle w:val="Heading3"/>
      </w:pPr>
      <w:bookmarkStart w:id="4" w:name="_heading=h.1fob9te" w:colFirst="0" w:colLast="0"/>
      <w:bookmarkEnd w:id="4"/>
      <w:r>
        <w:t>S1.3 Information on multiple primers pilot study</w:t>
      </w:r>
    </w:p>
    <w:p w14:paraId="13999501" w14:textId="77777777" w:rsidR="00175EC2" w:rsidRDefault="00175EC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</w:p>
    <w:p w14:paraId="05F5F081" w14:textId="77777777" w:rsidR="00175EC2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</w:rPr>
      </w:pPr>
      <w:bookmarkStart w:id="5" w:name="_heading=h.3znysh7" w:colFirst="0" w:colLast="0"/>
      <w:bookmarkEnd w:id="5"/>
      <w:r>
        <w:rPr>
          <w:color w:val="000000"/>
        </w:rPr>
        <w:t>Two diagnostic endpoint PCR (</w:t>
      </w:r>
      <w:proofErr w:type="spellStart"/>
      <w:r>
        <w:rPr>
          <w:color w:val="000000"/>
        </w:rPr>
        <w:t>dPCR</w:t>
      </w:r>
      <w:proofErr w:type="spellEnd"/>
      <w:r>
        <w:rPr>
          <w:color w:val="000000"/>
        </w:rPr>
        <w:t xml:space="preserve">) assays were </w:t>
      </w:r>
      <w:r>
        <w:t xml:space="preserve">tested </w:t>
      </w:r>
      <w:r>
        <w:rPr>
          <w:color w:val="000000"/>
        </w:rPr>
        <w:t>using two avian s</w:t>
      </w:r>
      <w:r>
        <w:t xml:space="preserve">pecific </w:t>
      </w:r>
      <w:r>
        <w:rPr>
          <w:color w:val="000000"/>
        </w:rPr>
        <w:t xml:space="preserve">primers (Table S1). The Bird12sa/h primer pair targets the 12S ribosomal RNA (rRNA) gene </w:t>
      </w:r>
      <w:hyperlink r:id="rId12">
        <w:r>
          <w:t>(Cooper, 1994)</w:t>
        </w:r>
      </w:hyperlink>
      <w:r>
        <w:rPr>
          <w:color w:val="000000"/>
        </w:rPr>
        <w:t>, and the AWCF1/R6 primer pair targets the</w:t>
      </w:r>
      <w:r>
        <w:rPr>
          <w:color w:val="000000"/>
          <w:highlight w:val="white"/>
        </w:rPr>
        <w:t xml:space="preserve"> cytochrome c oxidase 1 gene (COI</w:t>
      </w:r>
      <w:r>
        <w:rPr>
          <w:color w:val="000000"/>
        </w:rPr>
        <w:t xml:space="preserve">) </w:t>
      </w:r>
      <w:hyperlink r:id="rId13">
        <w:r>
          <w:t>(Patel et al., 2010)</w:t>
        </w:r>
      </w:hyperlink>
      <w:r>
        <w:t xml:space="preserve"> (Table S1)</w:t>
      </w:r>
      <w:r>
        <w:rPr>
          <w:color w:val="000000"/>
        </w:rPr>
        <w:t xml:space="preserve">. </w:t>
      </w:r>
      <w:r>
        <w:rPr>
          <w:rFonts w:ascii="Times" w:eastAsia="Times" w:hAnsi="Times" w:cs="Times"/>
          <w:color w:val="000000"/>
        </w:rPr>
        <w:t xml:space="preserve">Diagnostic </w:t>
      </w:r>
      <w:proofErr w:type="spellStart"/>
      <w:r>
        <w:rPr>
          <w:rFonts w:ascii="Times" w:eastAsia="Times" w:hAnsi="Times" w:cs="Times"/>
          <w:color w:val="000000"/>
        </w:rPr>
        <w:t>dPCRs</w:t>
      </w:r>
      <w:proofErr w:type="spellEnd"/>
      <w:r>
        <w:rPr>
          <w:rFonts w:ascii="Times" w:eastAsia="Times" w:hAnsi="Times" w:cs="Times"/>
          <w:color w:val="000000"/>
        </w:rPr>
        <w:t xml:space="preserve"> were run on Bio Rad C1000 Touch thermal cycler using cycling steps outlined in Table S2. We used the </w:t>
      </w:r>
      <w:proofErr w:type="spellStart"/>
      <w:r>
        <w:rPr>
          <w:rFonts w:ascii="Times" w:eastAsia="Times" w:hAnsi="Times" w:cs="Times"/>
          <w:color w:val="000000"/>
        </w:rPr>
        <w:t>AmpliTaq</w:t>
      </w:r>
      <w:proofErr w:type="spellEnd"/>
      <w:r>
        <w:rPr>
          <w:rFonts w:ascii="Times" w:eastAsia="Times" w:hAnsi="Times" w:cs="Times"/>
          <w:color w:val="000000"/>
        </w:rPr>
        <w:t xml:space="preserve"> Gold® 360 Master Mix using reagents and concentrations provided by the manufacturers (Table S2). Both primers were tested using positive controls </w:t>
      </w:r>
      <w:r>
        <w:t>(chicken and penguin)</w:t>
      </w:r>
      <w:r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  <w:color w:val="000000"/>
        </w:rPr>
        <w:t xml:space="preserve">and run on a gradient PCR from 52–58˚C (with 1˚C increments) to optimise the annealing temperature. </w:t>
      </w:r>
      <w:r>
        <w:rPr>
          <w:rFonts w:ascii="Times" w:eastAsia="Times" w:hAnsi="Times" w:cs="Times"/>
        </w:rPr>
        <w:t xml:space="preserve">Amplification was successful and similar at each temperature on that gradient. We selected 57˚C for the Bird12sa/h primer </w:t>
      </w:r>
      <w:hyperlink r:id="rId14">
        <w:r>
          <w:t>(Cooper, 1994)</w:t>
        </w:r>
      </w:hyperlink>
      <w:r>
        <w:rPr>
          <w:rFonts w:ascii="Times" w:eastAsia="Times" w:hAnsi="Times" w:cs="Times"/>
        </w:rPr>
        <w:t xml:space="preserve">, and 54˚C for AWCF1/R6 </w:t>
      </w:r>
      <w:hyperlink r:id="rId15">
        <w:r>
          <w:t>(Patel et al., 2010)</w:t>
        </w:r>
      </w:hyperlink>
      <w:r>
        <w:rPr>
          <w:rFonts w:ascii="Times" w:eastAsia="Times" w:hAnsi="Times" w:cs="Times"/>
        </w:rPr>
        <w:t xml:space="preserve">, and further tested amplification success in both primers on a subset of our faecal sample extracts </w:t>
      </w:r>
      <w:r>
        <w:t>(n =10, at both neat and 1:10 concentrations).</w:t>
      </w:r>
      <w:r>
        <w:rPr>
          <w:rFonts w:ascii="Times" w:eastAsia="Times" w:hAnsi="Times" w:cs="Times"/>
        </w:rPr>
        <w:t xml:space="preserve"> </w:t>
      </w:r>
      <w:r>
        <w:t xml:space="preserve">Diagnostic endpoint PCR </w:t>
      </w:r>
      <w:r>
        <w:rPr>
          <w:rFonts w:ascii="Times" w:eastAsia="Times" w:hAnsi="Times" w:cs="Times"/>
        </w:rPr>
        <w:t>products were run on 1.5% agarose gels to determine the presence/absence of amplified target bird DNA.</w:t>
      </w:r>
    </w:p>
    <w:p w14:paraId="47182DA0" w14:textId="77777777" w:rsidR="00175EC2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Times" w:eastAsia="Times" w:hAnsi="Times" w:cs="Times"/>
          <w:color w:val="000000"/>
        </w:rPr>
      </w:pPr>
      <w:bookmarkStart w:id="6" w:name="_heading=h.rndsg8qwjz9" w:colFirst="0" w:colLast="0"/>
      <w:bookmarkEnd w:id="6"/>
      <w:r>
        <w:rPr>
          <w:rFonts w:ascii="Times" w:eastAsia="Times" w:hAnsi="Times" w:cs="Times"/>
        </w:rPr>
        <w:t xml:space="preserve">While the COI assay successfully amplified penguin, but more so chicken in positive controls, it only detected bird eDNA in &lt; 5% of our samples. The Bird12sa/h assay targets a shorter gene fragment and is therefore more sensitive than the COI primer targeting a long fragment eDNA. Given the degraded nature of DNA found in faecal samples, it was expected that the assay targeting shorter amplicon lengths </w:t>
      </w:r>
      <w:r>
        <w:rPr>
          <w:rFonts w:ascii="Times" w:eastAsia="Times" w:hAnsi="Times" w:cs="Times"/>
        </w:rPr>
        <w:lastRenderedPageBreak/>
        <w:t xml:space="preserve">(~230 bp, Bird12sa/h) would produce a greater number of positive results, compared to the assay targeting long amplicon lengths (~850 bp, COI). Additionally, the Bird12sa/h primer produced a similar proportion of positive results for seabird eDNA to the overall detection rates of diagnostic seabird </w:t>
      </w:r>
      <w:proofErr w:type="gramStart"/>
      <w:r>
        <w:rPr>
          <w:rFonts w:ascii="Times" w:eastAsia="Times" w:hAnsi="Times" w:cs="Times"/>
        </w:rPr>
        <w:t>hard-parts</w:t>
      </w:r>
      <w:proofErr w:type="gramEnd"/>
      <w:r>
        <w:rPr>
          <w:rFonts w:ascii="Times" w:eastAsia="Times" w:hAnsi="Times" w:cs="Times"/>
        </w:rPr>
        <w:t xml:space="preserve"> in samples (~30%). </w:t>
      </w:r>
      <w:r>
        <w:rPr>
          <w:rFonts w:ascii="Times" w:eastAsia="Times" w:hAnsi="Times" w:cs="Times"/>
          <w:color w:val="000000"/>
        </w:rPr>
        <w:t xml:space="preserve">Consequently, due to time constraints and costs, we chose to continue with only the Bird 12sa/h assay and </w:t>
      </w:r>
      <w:r>
        <w:rPr>
          <w:rFonts w:ascii="Times" w:eastAsia="Times" w:hAnsi="Times" w:cs="Times"/>
        </w:rPr>
        <w:t>discuss the availability and use of multiple specific genetic assaying tools in avian eDNA</w:t>
      </w:r>
      <w:r>
        <w:rPr>
          <w:rFonts w:ascii="Times" w:eastAsia="Times" w:hAnsi="Times" w:cs="Times"/>
          <w:color w:val="000000"/>
        </w:rPr>
        <w:t>.</w:t>
      </w:r>
    </w:p>
    <w:p w14:paraId="059B25C6" w14:textId="77777777" w:rsidR="00175EC2" w:rsidRDefault="00175EC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Times" w:eastAsia="Times" w:hAnsi="Times" w:cs="Times"/>
          <w:color w:val="000000"/>
        </w:rPr>
      </w:pPr>
    </w:p>
    <w:p w14:paraId="2C04DDD2" w14:textId="77777777" w:rsidR="00175EC2" w:rsidRDefault="00000000">
      <w:pPr>
        <w:pStyle w:val="Heading3"/>
      </w:pPr>
      <w:bookmarkStart w:id="7" w:name="_heading=h.2et92p0" w:colFirst="0" w:colLast="0"/>
      <w:bookmarkEnd w:id="7"/>
      <w:r>
        <w:t>S1.4 Bioinformatics pipeline and sequence quality filtering</w:t>
      </w:r>
    </w:p>
    <w:p w14:paraId="51BE804E" w14:textId="77777777" w:rsidR="00175EC2" w:rsidRDefault="00175EC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/>
          <w:i/>
        </w:rPr>
      </w:pPr>
    </w:p>
    <w:p w14:paraId="144D00F6" w14:textId="77777777" w:rsidR="00175EC2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  <w:highlight w:val="yellow"/>
        </w:rPr>
        <w:sectPr w:rsidR="00175EC2">
          <w:pgSz w:w="11900" w:h="16840"/>
          <w:pgMar w:top="1440" w:right="1800" w:bottom="1440" w:left="1800" w:header="708" w:footer="708" w:gutter="0"/>
          <w:pgNumType w:start="1"/>
          <w:cols w:space="720"/>
        </w:sectPr>
      </w:pPr>
      <w:r>
        <w:rPr>
          <w:rFonts w:ascii="Times" w:eastAsia="Times" w:hAnsi="Times" w:cs="Times"/>
          <w:color w:val="000000"/>
        </w:rPr>
        <w:t xml:space="preserve">Consensus sequences for each OTU (Table S3) were queried against the National </w:t>
      </w:r>
      <w:proofErr w:type="spellStart"/>
      <w:r>
        <w:rPr>
          <w:rFonts w:ascii="Times" w:eastAsia="Times" w:hAnsi="Times" w:cs="Times"/>
          <w:color w:val="000000"/>
        </w:rPr>
        <w:t>Center</w:t>
      </w:r>
      <w:proofErr w:type="spellEnd"/>
      <w:r>
        <w:rPr>
          <w:rFonts w:ascii="Times" w:eastAsia="Times" w:hAnsi="Times" w:cs="Times"/>
          <w:color w:val="000000"/>
        </w:rPr>
        <w:t xml:space="preserve"> for Biotechnology Information’s (NCBI) GenBank nucleotide database using </w:t>
      </w:r>
      <w:proofErr w:type="spellStart"/>
      <w:r>
        <w:rPr>
          <w:rFonts w:ascii="Times" w:eastAsia="Times" w:hAnsi="Times" w:cs="Times"/>
          <w:color w:val="000000"/>
        </w:rPr>
        <w:t>BLASTn</w:t>
      </w:r>
      <w:proofErr w:type="spellEnd"/>
      <w:r>
        <w:rPr>
          <w:rFonts w:ascii="Times" w:eastAsia="Times" w:hAnsi="Times" w:cs="Times"/>
          <w:color w:val="000000"/>
        </w:rPr>
        <w:t xml:space="preserve"> (Basic Local Alignment Search Tool) </w:t>
      </w:r>
      <w:hyperlink r:id="rId16">
        <w:r>
          <w:rPr>
            <w:rFonts w:ascii="Times" w:eastAsia="Times" w:hAnsi="Times" w:cs="Times"/>
            <w:color w:val="000000"/>
          </w:rPr>
          <w:t>(</w:t>
        </w:r>
        <w:proofErr w:type="spellStart"/>
        <w:r>
          <w:rPr>
            <w:rFonts w:ascii="Times" w:eastAsia="Times" w:hAnsi="Times" w:cs="Times"/>
            <w:color w:val="000000"/>
          </w:rPr>
          <w:t>Altschul</w:t>
        </w:r>
        <w:proofErr w:type="spellEnd"/>
        <w:r>
          <w:rPr>
            <w:rFonts w:ascii="Times" w:eastAsia="Times" w:hAnsi="Times" w:cs="Times"/>
            <w:color w:val="000000"/>
          </w:rPr>
          <w:t xml:space="preserve"> et al., 1990; Benson et al., 2005)</w:t>
        </w:r>
      </w:hyperlink>
      <w:r>
        <w:rPr>
          <w:rFonts w:ascii="Times" w:eastAsia="Times" w:hAnsi="Times" w:cs="Times"/>
          <w:color w:val="000000"/>
        </w:rPr>
        <w:t>. The results were then visualised in MEGAN (</w:t>
      </w:r>
      <w:proofErr w:type="spellStart"/>
      <w:r>
        <w:rPr>
          <w:rFonts w:ascii="Times" w:eastAsia="Times" w:hAnsi="Times" w:cs="Times"/>
          <w:color w:val="000000"/>
        </w:rPr>
        <w:t>MEtaGenome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ANalyser</w:t>
      </w:r>
      <w:proofErr w:type="spellEnd"/>
      <w:r>
        <w:rPr>
          <w:rFonts w:ascii="Times" w:eastAsia="Times" w:hAnsi="Times" w:cs="Times"/>
          <w:color w:val="000000"/>
        </w:rPr>
        <w:t xml:space="preserve">) </w:t>
      </w:r>
      <w:hyperlink r:id="rId17">
        <w:r>
          <w:rPr>
            <w:rFonts w:ascii="Times" w:eastAsia="Times" w:hAnsi="Times" w:cs="Times"/>
            <w:color w:val="000000"/>
          </w:rPr>
          <w:t>(</w:t>
        </w:r>
        <w:proofErr w:type="spellStart"/>
        <w:r>
          <w:rPr>
            <w:rFonts w:ascii="Times" w:eastAsia="Times" w:hAnsi="Times" w:cs="Times"/>
            <w:color w:val="000000"/>
          </w:rPr>
          <w:t>Huson</w:t>
        </w:r>
        <w:proofErr w:type="spellEnd"/>
        <w:r>
          <w:rPr>
            <w:rFonts w:ascii="Times" w:eastAsia="Times" w:hAnsi="Times" w:cs="Times"/>
            <w:color w:val="000000"/>
          </w:rPr>
          <w:t xml:space="preserve"> et al., 2007)</w:t>
        </w:r>
      </w:hyperlink>
      <w:r>
        <w:rPr>
          <w:rFonts w:ascii="Times" w:eastAsia="Times" w:hAnsi="Times" w:cs="Times"/>
          <w:color w:val="000000"/>
        </w:rPr>
        <w:t xml:space="preserve">. Assignments to taxa were made following criteria and taxonomic reference databases outlined in </w:t>
      </w:r>
      <w:hyperlink r:id="rId18">
        <w:r>
          <w:rPr>
            <w:rFonts w:ascii="Times" w:eastAsia="Times" w:hAnsi="Times" w:cs="Times"/>
            <w:color w:val="000000"/>
          </w:rPr>
          <w:t>Hardy et al. (2017)</w:t>
        </w:r>
      </w:hyperlink>
      <w:r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  <w:color w:val="000000"/>
        </w:rPr>
        <w:t xml:space="preserve">and </w:t>
      </w:r>
      <w:hyperlink r:id="rId19">
        <w:proofErr w:type="spellStart"/>
        <w:r>
          <w:rPr>
            <w:rFonts w:ascii="Times" w:eastAsia="Times" w:hAnsi="Times" w:cs="Times"/>
            <w:color w:val="000000"/>
          </w:rPr>
          <w:t>Deagle</w:t>
        </w:r>
        <w:proofErr w:type="spellEnd"/>
        <w:r>
          <w:rPr>
            <w:rFonts w:ascii="Times" w:eastAsia="Times" w:hAnsi="Times" w:cs="Times"/>
            <w:color w:val="000000"/>
          </w:rPr>
          <w:t xml:space="preserve"> et al. (2009)</w:t>
        </w:r>
      </w:hyperlink>
      <w:r>
        <w:rPr>
          <w:rFonts w:ascii="Times" w:eastAsia="Times" w:hAnsi="Times" w:cs="Times"/>
          <w:color w:val="000000"/>
        </w:rPr>
        <w:t xml:space="preserve">. The objective of these criteria was to further ensure maximum confidence in making a taxonomic identification and minimise the risk of false positives. Potential prey identifications were thus individually investigated by consulting reference resources to assess their likelihood of consumption. The factors considered include: (1) ensuring that the prey’s geographic distribution broadly matched that of the expected southeast Australian foraging areas of the long-nosed fur seals, and (2) checking the diversity of closely related species and the presence/absence of voucher sequences for these in GenBank to ensure that any other likely prey species were not overlooked for want of genetic reference information. A range of reference databases were consulted, </w:t>
      </w:r>
      <w:r>
        <w:rPr>
          <w:rFonts w:ascii="Times" w:eastAsia="Times" w:hAnsi="Times" w:cs="Times"/>
          <w:color w:val="000000"/>
        </w:rPr>
        <w:lastRenderedPageBreak/>
        <w:t xml:space="preserve">including: Atlas of Living Australia </w:t>
      </w:r>
      <w:hyperlink r:id="rId20">
        <w:r>
          <w:rPr>
            <w:rFonts w:ascii="Times" w:eastAsia="Times" w:hAnsi="Times" w:cs="Times"/>
          </w:rPr>
          <w:t>(ALA, 2019)</w:t>
        </w:r>
      </w:hyperlink>
      <w:r>
        <w:rPr>
          <w:rFonts w:ascii="Times" w:eastAsia="Times" w:hAnsi="Times" w:cs="Times"/>
          <w:color w:val="000000"/>
        </w:rPr>
        <w:t xml:space="preserve">, the </w:t>
      </w:r>
      <w:hyperlink r:id="rId21">
        <w:r>
          <w:rPr>
            <w:rFonts w:ascii="Times" w:eastAsia="Times" w:hAnsi="Times" w:cs="Times"/>
          </w:rPr>
          <w:t>Australian Museum (2019)</w:t>
        </w:r>
      </w:hyperlink>
      <w:r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  <w:color w:val="000000"/>
        </w:rPr>
        <w:t xml:space="preserve">reference base and </w:t>
      </w:r>
      <w:hyperlink r:id="rId22">
        <w:proofErr w:type="spellStart"/>
        <w:r>
          <w:rPr>
            <w:rFonts w:ascii="Times" w:eastAsia="Times" w:hAnsi="Times" w:cs="Times"/>
          </w:rPr>
          <w:t>Redmap</w:t>
        </w:r>
        <w:proofErr w:type="spellEnd"/>
        <w:r>
          <w:rPr>
            <w:rFonts w:ascii="Times" w:eastAsia="Times" w:hAnsi="Times" w:cs="Times"/>
          </w:rPr>
          <w:t xml:space="preserve"> (2019)</w:t>
        </w:r>
      </w:hyperlink>
      <w:r>
        <w:rPr>
          <w:rFonts w:ascii="Times" w:eastAsia="Times" w:hAnsi="Times" w:cs="Times"/>
          <w:color w:val="000000"/>
        </w:rPr>
        <w:t>. All the identified seabirds occurred within the geographic ranges of the LNFS and are considered viable prey species for LNFS.</w:t>
      </w:r>
    </w:p>
    <w:p w14:paraId="692AA1ED" w14:textId="77777777" w:rsidR="00175EC2" w:rsidRDefault="00175EC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</w:pPr>
    </w:p>
    <w:p w14:paraId="2392E2A8" w14:textId="77777777" w:rsidR="00175EC2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  <w:highlight w:val="white"/>
        </w:rPr>
        <w:t xml:space="preserve">Table S1. </w:t>
      </w:r>
      <w:r>
        <w:rPr>
          <w:rFonts w:ascii="Times" w:eastAsia="Times" w:hAnsi="Times" w:cs="Times"/>
          <w:highlight w:val="white"/>
        </w:rPr>
        <w:t>P</w:t>
      </w:r>
      <w:r>
        <w:rPr>
          <w:rFonts w:ascii="Times" w:eastAsia="Times" w:hAnsi="Times" w:cs="Times"/>
          <w:color w:val="000000"/>
          <w:highlight w:val="white"/>
        </w:rPr>
        <w:t>rimers used, target taxa and genes, as well as designer references.</w:t>
      </w:r>
    </w:p>
    <w:tbl>
      <w:tblPr>
        <w:tblStyle w:val="a3"/>
        <w:tblW w:w="13960" w:type="dxa"/>
        <w:tblLayout w:type="fixed"/>
        <w:tblLook w:val="0400" w:firstRow="0" w:lastRow="0" w:firstColumn="0" w:lastColumn="0" w:noHBand="0" w:noVBand="1"/>
      </w:tblPr>
      <w:tblGrid>
        <w:gridCol w:w="1221"/>
        <w:gridCol w:w="1659"/>
        <w:gridCol w:w="992"/>
        <w:gridCol w:w="808"/>
        <w:gridCol w:w="4860"/>
        <w:gridCol w:w="1521"/>
        <w:gridCol w:w="1539"/>
        <w:gridCol w:w="1360"/>
      </w:tblGrid>
      <w:tr w:rsidR="00175EC2" w14:paraId="3893E0B4" w14:textId="77777777">
        <w:trPr>
          <w:trHeight w:val="315"/>
        </w:trPr>
        <w:tc>
          <w:tcPr>
            <w:tcW w:w="12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50E0D8A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PCR Assay</w:t>
            </w:r>
          </w:p>
        </w:tc>
        <w:tc>
          <w:tcPr>
            <w:tcW w:w="16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72A3E0D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Primer set used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A9B472C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Target Taxa</w:t>
            </w:r>
          </w:p>
        </w:tc>
        <w:tc>
          <w:tcPr>
            <w:tcW w:w="8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20643A4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Gene</w:t>
            </w:r>
          </w:p>
        </w:tc>
        <w:tc>
          <w:tcPr>
            <w:tcW w:w="4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55DD08F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Primer sequence 5' to 3'</w:t>
            </w:r>
          </w:p>
        </w:tc>
        <w:tc>
          <w:tcPr>
            <w:tcW w:w="15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B16B997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Amplicon length (base pairs)</w:t>
            </w:r>
          </w:p>
        </w:tc>
        <w:tc>
          <w:tcPr>
            <w:tcW w:w="15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1DAC62D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Reference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0F16A9D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Assay Temp (˚C)</w:t>
            </w:r>
          </w:p>
        </w:tc>
      </w:tr>
      <w:tr w:rsidR="00175EC2" w14:paraId="54C2F243" w14:textId="77777777">
        <w:trPr>
          <w:trHeight w:val="315"/>
        </w:trPr>
        <w:tc>
          <w:tcPr>
            <w:tcW w:w="122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2020CD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Bird12S</w:t>
            </w:r>
          </w:p>
        </w:tc>
        <w:tc>
          <w:tcPr>
            <w:tcW w:w="165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970FEC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12Sa (F)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4A9419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Birds</w:t>
            </w:r>
          </w:p>
        </w:tc>
        <w:tc>
          <w:tcPr>
            <w:tcW w:w="80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2041DF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12S rRNA</w:t>
            </w:r>
          </w:p>
        </w:tc>
        <w:tc>
          <w:tcPr>
            <w:tcW w:w="4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8BEA18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CTGGGATTAGATACCCCACTAT</w:t>
            </w:r>
          </w:p>
        </w:tc>
        <w:tc>
          <w:tcPr>
            <w:tcW w:w="152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A06BA4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~230 bp</w:t>
            </w:r>
          </w:p>
        </w:tc>
        <w:tc>
          <w:tcPr>
            <w:tcW w:w="15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4E5302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Cooper (1994)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D36B2A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57˚</w:t>
            </w:r>
          </w:p>
        </w:tc>
      </w:tr>
      <w:tr w:rsidR="00175EC2" w14:paraId="564113BC" w14:textId="77777777">
        <w:trPr>
          <w:trHeight w:val="315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4E388" w14:textId="77777777" w:rsidR="00175EC2" w:rsidRDefault="00175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29C786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12Sh (R)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D847D4" w14:textId="77777777" w:rsidR="00175EC2" w:rsidRDefault="00175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487C4A" w14:textId="77777777" w:rsidR="00175EC2" w:rsidRDefault="00175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D4E86A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CCTTGACCTGTCTTGTTAGC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E519EE" w14:textId="77777777" w:rsidR="00175EC2" w:rsidRDefault="00175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2076C2" w14:textId="77777777" w:rsidR="00175EC2" w:rsidRDefault="00175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78CC44" w14:textId="77777777" w:rsidR="00175EC2" w:rsidRDefault="00175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175EC2" w14:paraId="41C9A222" w14:textId="77777777">
        <w:trPr>
          <w:trHeight w:val="315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9EF4A2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</w:rPr>
              <w:t>BirdCOI</w:t>
            </w:r>
            <w:proofErr w:type="spellEnd"/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1B9C75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AWCF1 (F)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4DF16B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Birds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338990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COI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1351A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1A1A18"/>
              </w:rPr>
            </w:pPr>
            <w:r>
              <w:rPr>
                <w:rFonts w:ascii="Times" w:eastAsia="Times" w:hAnsi="Times" w:cs="Times"/>
                <w:color w:val="1A1A18"/>
              </w:rPr>
              <w:t>CGCYTWAACAYTCYGCCATCTTACC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CEED7B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~848 bp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7942A7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Patel et al. (2010)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FED8A2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54–55˚</w:t>
            </w:r>
          </w:p>
        </w:tc>
      </w:tr>
      <w:tr w:rsidR="00175EC2" w14:paraId="3A9BC28F" w14:textId="77777777">
        <w:trPr>
          <w:trHeight w:val="315"/>
        </w:trPr>
        <w:tc>
          <w:tcPr>
            <w:tcW w:w="12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F5DBFC0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A921AF0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AWCR6 (R)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220627F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F6F7EF9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 </w:t>
            </w:r>
          </w:p>
        </w:tc>
        <w:tc>
          <w:tcPr>
            <w:tcW w:w="638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366F252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1A1A18"/>
              </w:rPr>
            </w:pPr>
            <w:r>
              <w:rPr>
                <w:rFonts w:ascii="Times" w:eastAsia="Times" w:hAnsi="Times" w:cs="Times"/>
                <w:color w:val="1A1A18"/>
              </w:rPr>
              <w:t>ATTCCTATGTAGCCGAATGGTTCTTT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F6B01CB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7307F99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 </w:t>
            </w:r>
          </w:p>
        </w:tc>
      </w:tr>
    </w:tbl>
    <w:p w14:paraId="0483C7B6" w14:textId="77777777" w:rsidR="00175EC2" w:rsidRDefault="00175EC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  <w:sectPr w:rsidR="00175EC2">
          <w:pgSz w:w="16840" w:h="11900" w:orient="landscape"/>
          <w:pgMar w:top="1440" w:right="1800" w:bottom="1440" w:left="1800" w:header="708" w:footer="708" w:gutter="0"/>
          <w:pgNumType w:start="1"/>
          <w:cols w:space="720"/>
        </w:sectPr>
      </w:pPr>
    </w:p>
    <w:p w14:paraId="4E9149D6" w14:textId="77777777" w:rsidR="00175EC2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</w:rPr>
        <w:lastRenderedPageBreak/>
        <w:t>Table S2.</w:t>
      </w:r>
      <w:r>
        <w:rPr>
          <w:rFonts w:ascii="Times" w:eastAsia="Times" w:hAnsi="Times" w:cs="Times"/>
          <w:color w:val="000000"/>
        </w:rPr>
        <w:t xml:space="preserve"> PCR reaction reagent concentrations and conditions.</w:t>
      </w:r>
    </w:p>
    <w:tbl>
      <w:tblPr>
        <w:tblStyle w:val="a4"/>
        <w:tblW w:w="7194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2598"/>
        <w:gridCol w:w="2298"/>
        <w:gridCol w:w="2298"/>
      </w:tblGrid>
      <w:tr w:rsidR="00175EC2" w14:paraId="26815AA0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6CA83D7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i/>
                <w:color w:val="000000"/>
              </w:rPr>
            </w:pPr>
            <w:r>
              <w:rPr>
                <w:rFonts w:ascii="Times" w:eastAsia="Times" w:hAnsi="Times" w:cs="Times"/>
                <w:i/>
                <w:color w:val="000000"/>
              </w:rPr>
              <w:t>Reagents/Concentration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2309491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Cooper (1994)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CC040C3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Patel et al. (2010)</w:t>
            </w:r>
          </w:p>
        </w:tc>
      </w:tr>
      <w:tr w:rsidR="00175EC2" w14:paraId="56D24E11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B7E6140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Primer: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A65A5C6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Bird12sa/h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956862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b/>
                <w:color w:val="000000"/>
              </w:rPr>
              <w:t>AWCF1/R6</w:t>
            </w:r>
          </w:p>
        </w:tc>
      </w:tr>
      <w:tr w:rsidR="00175EC2" w14:paraId="75276758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D09D38A" w14:textId="77777777" w:rsidR="00175EC2" w:rsidRDefault="00175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D054E84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1x (µL)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A201AF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1x (µL)</w:t>
            </w:r>
          </w:p>
        </w:tc>
      </w:tr>
      <w:tr w:rsidR="00175EC2" w14:paraId="2242597B" w14:textId="77777777">
        <w:trPr>
          <w:trHeight w:val="300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B493D5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Molecular grade H2O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980568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8.5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14:paraId="00143503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6.5</w:t>
            </w:r>
          </w:p>
        </w:tc>
      </w:tr>
      <w:tr w:rsidR="00175EC2" w14:paraId="2AC751CF" w14:textId="77777777">
        <w:trPr>
          <w:trHeight w:val="300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6F8FA9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</w:rPr>
              <w:t>AmpliTaq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Gold®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E734E9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12.5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14:paraId="20E5CBC7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12.5</w:t>
            </w:r>
          </w:p>
        </w:tc>
      </w:tr>
      <w:tr w:rsidR="00175EC2" w14:paraId="2E2118BD" w14:textId="77777777">
        <w:trPr>
          <w:trHeight w:val="300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9A34BC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F primer (10 µM)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E5F587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14:paraId="0208FEBC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</w:tr>
      <w:tr w:rsidR="00175EC2" w14:paraId="08756994" w14:textId="77777777">
        <w:trPr>
          <w:trHeight w:val="300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BEC51B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R primer (10 µM)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9C815D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14:paraId="521B9D7B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</w:tr>
      <w:tr w:rsidR="00175EC2" w14:paraId="0F56D48C" w14:textId="77777777">
        <w:trPr>
          <w:trHeight w:val="300"/>
        </w:trPr>
        <w:tc>
          <w:tcPr>
            <w:tcW w:w="25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B6009D7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Template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E6643FD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44B144E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</w:tr>
      <w:tr w:rsidR="00175EC2" w14:paraId="5AAE3ECD" w14:textId="77777777">
        <w:trPr>
          <w:trHeight w:val="300"/>
        </w:trPr>
        <w:tc>
          <w:tcPr>
            <w:tcW w:w="25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124BB08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Total master-mix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927CFE9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25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7600BB8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25</w:t>
            </w:r>
          </w:p>
        </w:tc>
      </w:tr>
      <w:tr w:rsidR="00175EC2" w14:paraId="0915B38B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9AC17B6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i/>
                <w:color w:val="000000"/>
              </w:rPr>
            </w:pPr>
            <w:r>
              <w:rPr>
                <w:rFonts w:ascii="Times" w:eastAsia="Times" w:hAnsi="Times" w:cs="Times"/>
                <w:i/>
                <w:color w:val="000000"/>
              </w:rPr>
              <w:t>PCR cycling conditions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A1687C6" w14:textId="77777777" w:rsidR="00175EC2" w:rsidRDefault="00175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D636490" w14:textId="77777777" w:rsidR="00175EC2" w:rsidRDefault="00175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</w:p>
        </w:tc>
      </w:tr>
      <w:tr w:rsidR="00175EC2" w14:paraId="40117495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0959D10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Denaturing step: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6B71FD1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95˚C for 5 min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A4C66D2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95˚C for 5 min</w:t>
            </w:r>
          </w:p>
        </w:tc>
      </w:tr>
      <w:tr w:rsidR="00175EC2" w14:paraId="2A56BC74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8B2605A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Primer annealing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E274FEF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95˚C for 30s, 57˚C for 30s and 72°C for 45s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326B99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95˚C for 30s, 54˚C for 30s and 72°C for 45s</w:t>
            </w:r>
          </w:p>
        </w:tc>
      </w:tr>
      <w:tr w:rsidR="00175EC2" w14:paraId="518B47A2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C8868F5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Number of cycles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82F6F65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50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ED16137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50</w:t>
            </w:r>
          </w:p>
        </w:tc>
      </w:tr>
      <w:tr w:rsidR="00175EC2" w14:paraId="66E0FB33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747E4B8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Final extension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C1E6300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10 min final extension of 72˚C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4C8D004" w14:textId="77777777" w:rsidR="00175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10 min final extension of 72˚C</w:t>
            </w:r>
          </w:p>
        </w:tc>
      </w:tr>
    </w:tbl>
    <w:p w14:paraId="6011B3E2" w14:textId="77777777" w:rsidR="00175EC2" w:rsidRDefault="00175EC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  <w:sectPr w:rsidR="00175EC2">
          <w:type w:val="continuous"/>
          <w:pgSz w:w="11900" w:h="16840"/>
          <w:pgMar w:top="1440" w:right="1800" w:bottom="1440" w:left="1800" w:header="708" w:footer="708" w:gutter="0"/>
          <w:pgNumType w:start="1"/>
          <w:cols w:space="720"/>
        </w:sectPr>
      </w:pPr>
    </w:p>
    <w:p w14:paraId="222ED592" w14:textId="77777777" w:rsidR="00175EC2" w:rsidRDefault="00000000">
      <w:pPr>
        <w:pStyle w:val="Heading2"/>
      </w:pPr>
      <w:bookmarkStart w:id="8" w:name="_heading=h.tyjcwt" w:colFirst="0" w:colLast="0"/>
      <w:bookmarkEnd w:id="8"/>
      <w:r>
        <w:lastRenderedPageBreak/>
        <w:t>S2. Additional data and figures</w:t>
      </w:r>
    </w:p>
    <w:p w14:paraId="79C40E2A" w14:textId="77777777" w:rsidR="00175EC2" w:rsidRDefault="00175EC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/>
          <w:color w:val="000000"/>
        </w:rPr>
      </w:pPr>
    </w:p>
    <w:p w14:paraId="71605013" w14:textId="77777777" w:rsidR="00175EC2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b/>
          <w:color w:val="000000"/>
        </w:rPr>
        <w:t>Table S3.</w:t>
      </w:r>
      <w:r>
        <w:rPr>
          <w:color w:val="000000"/>
        </w:rPr>
        <w:t xml:space="preserve"> Genetic </w:t>
      </w:r>
      <w:proofErr w:type="spellStart"/>
      <w:r>
        <w:rPr>
          <w:color w:val="000000"/>
        </w:rPr>
        <w:t>BLASTn</w:t>
      </w:r>
      <w:proofErr w:type="spellEnd"/>
      <w:r>
        <w:rPr>
          <w:color w:val="000000"/>
        </w:rPr>
        <w:t xml:space="preserve"> (Basic Local Alignment Search Tool) identifications of operational taxonomic units (OTUs), including information on query length and coverage, accession number and consensus sequence for the identification (Benson et al., 2005). </w:t>
      </w:r>
    </w:p>
    <w:tbl>
      <w:tblPr>
        <w:tblStyle w:val="a5"/>
        <w:tblW w:w="13402" w:type="dxa"/>
        <w:tblInd w:w="-45" w:type="dxa"/>
        <w:tblLayout w:type="fixed"/>
        <w:tblLook w:val="0400" w:firstRow="0" w:lastRow="0" w:firstColumn="0" w:lastColumn="0" w:noHBand="0" w:noVBand="1"/>
      </w:tblPr>
      <w:tblGrid>
        <w:gridCol w:w="1342"/>
        <w:gridCol w:w="1260"/>
        <w:gridCol w:w="1620"/>
        <w:gridCol w:w="1980"/>
        <w:gridCol w:w="7200"/>
      </w:tblGrid>
      <w:tr w:rsidR="00175EC2" w14:paraId="7BF36335" w14:textId="77777777">
        <w:trPr>
          <w:trHeight w:val="312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ECDB9F" w14:textId="77777777" w:rsidR="00175EC2" w:rsidRDefault="00000000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OTU # (sequence abundance)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7B219D6" w14:textId="77777777" w:rsidR="00175EC2" w:rsidRDefault="00000000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Query base-pair length (coverage)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695EDA0" w14:textId="77777777" w:rsidR="00175EC2" w:rsidRDefault="00000000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ID (classification)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0C9E685" w14:textId="77777777" w:rsidR="00175EC2" w:rsidRDefault="00000000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Representative taxon (accession number)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9D5C86" w14:textId="77777777" w:rsidR="00175EC2" w:rsidRDefault="00000000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Consensus sequence</w:t>
            </w:r>
          </w:p>
        </w:tc>
      </w:tr>
      <w:tr w:rsidR="00175EC2" w14:paraId="53CEEA7D" w14:textId="77777777">
        <w:trPr>
          <w:trHeight w:val="312"/>
        </w:trPr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331E2FD" w14:textId="77777777" w:rsidR="00175EC2" w:rsidRDefault="00000000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OTU_1 (17,558)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DDCB9D" w14:textId="77777777" w:rsidR="00175EC2" w:rsidRDefault="00000000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231 </w:t>
            </w:r>
          </w:p>
          <w:p w14:paraId="36D93FB8" w14:textId="77777777" w:rsidR="00175EC2" w:rsidRDefault="00000000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(100%)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6E4F15" w14:textId="77777777" w:rsidR="00175EC2" w:rsidRDefault="00000000">
            <w:pPr>
              <w:jc w:val="center"/>
              <w:rPr>
                <w:rFonts w:ascii="Times" w:eastAsia="Times" w:hAnsi="Times" w:cs="Times"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Eudyptula</w:t>
            </w:r>
            <w:proofErr w:type="spellEnd"/>
            <w:r>
              <w:rPr>
                <w:rFonts w:ascii="Times" w:eastAsia="Times" w:hAnsi="Times" w:cs="Times"/>
                <w:i/>
                <w:color w:val="000000"/>
              </w:rPr>
              <w:t xml:space="preserve"> minor</w:t>
            </w:r>
            <w:r>
              <w:rPr>
                <w:rFonts w:ascii="Times" w:eastAsia="Times" w:hAnsi="Times" w:cs="Times"/>
                <w:color w:val="000000"/>
              </w:rPr>
              <w:t xml:space="preserve"> </w:t>
            </w:r>
          </w:p>
          <w:p w14:paraId="6DDCBF47" w14:textId="77777777" w:rsidR="00175EC2" w:rsidRDefault="00000000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(species)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8A30127" w14:textId="77777777" w:rsidR="00175EC2" w:rsidRDefault="00000000">
            <w:pPr>
              <w:jc w:val="center"/>
              <w:rPr>
                <w:rFonts w:ascii="Times" w:eastAsia="Times" w:hAnsi="Times" w:cs="Times"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Eudyptula</w:t>
            </w:r>
            <w:proofErr w:type="spellEnd"/>
            <w:r>
              <w:rPr>
                <w:rFonts w:ascii="Times" w:eastAsia="Times" w:hAnsi="Times" w:cs="Times"/>
                <w:i/>
                <w:color w:val="000000"/>
              </w:rPr>
              <w:t xml:space="preserve"> minor</w:t>
            </w:r>
            <w:r>
              <w:rPr>
                <w:rFonts w:ascii="Times" w:eastAsia="Times" w:hAnsi="Times" w:cs="Times"/>
                <w:color w:val="000000"/>
              </w:rPr>
              <w:t xml:space="preserve"> (MF370525)</w:t>
            </w:r>
          </w:p>
        </w:tc>
        <w:tc>
          <w:tcPr>
            <w:tcW w:w="7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0700079" w14:textId="77777777" w:rsidR="00175EC2" w:rsidRDefault="00000000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GCCTAGCCCTAAATCTTGATACTTTCTATCACCAAAGTATCCGCCTGAGAACTACGAGCACAAACGCTTAAAACTCTAAGGACTTGGCGGTGCCCCAAACCCACCTAGAGGAGCCTGTTCTATAATCGATAACCCACGATGCACCCAACCACTCCTTGCCAAAACAGCCTATATACCGCCGTCGCCAGCCCACCTCCCCTGAGAGCCTAACAGTGAGCCTAATAGCCCTCC</w:t>
            </w:r>
          </w:p>
        </w:tc>
      </w:tr>
      <w:tr w:rsidR="00175EC2" w14:paraId="09C3E46D" w14:textId="77777777">
        <w:trPr>
          <w:trHeight w:val="312"/>
        </w:trPr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40690A8" w14:textId="77777777" w:rsidR="00175EC2" w:rsidRDefault="00000000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OTU_2 (12,413)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E84F4D" w14:textId="77777777" w:rsidR="00175EC2" w:rsidRDefault="00000000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256 </w:t>
            </w:r>
          </w:p>
          <w:p w14:paraId="4D3727BF" w14:textId="77777777" w:rsidR="00175EC2" w:rsidRDefault="00000000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(95–97%)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7FC9E01" w14:textId="77777777" w:rsidR="00175EC2" w:rsidRDefault="00000000">
            <w:pPr>
              <w:jc w:val="center"/>
              <w:rPr>
                <w:rFonts w:ascii="Times" w:eastAsia="Times" w:hAnsi="Times" w:cs="Times"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</w:rPr>
              <w:t>Procellariidae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sp.1 </w:t>
            </w:r>
          </w:p>
          <w:p w14:paraId="1146817B" w14:textId="77777777" w:rsidR="00175EC2" w:rsidRDefault="00000000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(family)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8E1FB7D" w14:textId="77777777" w:rsidR="00175EC2" w:rsidRDefault="00000000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i/>
                <w:color w:val="000000"/>
              </w:rPr>
              <w:t xml:space="preserve">Pterodroma </w:t>
            </w: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brevirostris</w:t>
            </w:r>
            <w:proofErr w:type="spellEnd"/>
            <w:r>
              <w:rPr>
                <w:rFonts w:ascii="Times" w:eastAsia="Times" w:hAnsi="Times" w:cs="Times"/>
                <w:i/>
                <w:color w:val="00000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</w:rPr>
              <w:t>(AY158678)</w:t>
            </w:r>
          </w:p>
        </w:tc>
        <w:tc>
          <w:tcPr>
            <w:tcW w:w="7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079BFE7" w14:textId="77777777" w:rsidR="00175EC2" w:rsidRDefault="00000000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CTGGGATTAGATACCCCACTATGCTTAGCCCTAAATCTTGATACTTACCCTACTGAAGTATCCGCCTGAGAACTACGAGCACAAACGCTTAAAACTCTAAGGACTTGGCGGTGCCCCAAACCCACCTAGAGGAGCCTGTTCTATAATCGATAACCCACGATACACCCGACCACTCCTTGCCGAAGCAGCCTACATACCGCCGTCGCCAGCTCACCTTTC-TGAAAGCACAGCAGTGAGCACAATAGCAACCAACATC</w:t>
            </w:r>
          </w:p>
        </w:tc>
      </w:tr>
      <w:tr w:rsidR="00175EC2" w14:paraId="250CD45B" w14:textId="77777777">
        <w:trPr>
          <w:trHeight w:val="312"/>
        </w:trPr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1EE577" w14:textId="77777777" w:rsidR="00175EC2" w:rsidRDefault="00000000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OTU_3 (3,902)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B55E517" w14:textId="77777777" w:rsidR="00175EC2" w:rsidRDefault="00000000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257 </w:t>
            </w:r>
          </w:p>
          <w:p w14:paraId="19427B8C" w14:textId="77777777" w:rsidR="00175EC2" w:rsidRDefault="00000000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(95–97%)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68A7BAF" w14:textId="77777777" w:rsidR="00175EC2" w:rsidRDefault="00000000">
            <w:pPr>
              <w:jc w:val="center"/>
              <w:rPr>
                <w:rFonts w:ascii="Times" w:eastAsia="Times" w:hAnsi="Times" w:cs="Times"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</w:rPr>
              <w:t>Procellariidae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sp.2 </w:t>
            </w:r>
          </w:p>
          <w:p w14:paraId="29B7A98A" w14:textId="77777777" w:rsidR="00175EC2" w:rsidRDefault="00000000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(family)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5EFD91F" w14:textId="77777777" w:rsidR="00175EC2" w:rsidRDefault="00000000">
            <w:pPr>
              <w:jc w:val="center"/>
              <w:rPr>
                <w:rFonts w:ascii="Times" w:eastAsia="Times" w:hAnsi="Times" w:cs="Times"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Puffinus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sp. (AF173572)</w:t>
            </w:r>
          </w:p>
        </w:tc>
        <w:tc>
          <w:tcPr>
            <w:tcW w:w="7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D692066" w14:textId="77777777" w:rsidR="00175EC2" w:rsidRDefault="00000000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GCTTAGCCCTAAATCTTGATACTTACCTTACTGAAGTATCCGCCTGAGAACTACGAGCACAAACGCTTAAAACTCTAAGGACTTGGCGGTGCTCCAAACCCACCTAGAGGAGCCTGTTCTATAATCGATAACCCACGATAAACCCAACCGCTCTTTGCCAAAGCAGCCTACATACCGCCGTCGCCAGCTCACCTTTCCTGAAAGTATAACAGTGAGCACAATAGCCCCCAGCATC</w:t>
            </w:r>
          </w:p>
        </w:tc>
      </w:tr>
      <w:tr w:rsidR="00175EC2" w14:paraId="44E53846" w14:textId="77777777">
        <w:trPr>
          <w:trHeight w:val="312"/>
        </w:trPr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83B5EBA" w14:textId="77777777" w:rsidR="00175EC2" w:rsidRDefault="00000000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lastRenderedPageBreak/>
              <w:t>OTU_4 (1,598)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AE0434" w14:textId="77777777" w:rsidR="00175EC2" w:rsidRDefault="00000000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254 </w:t>
            </w:r>
          </w:p>
          <w:p w14:paraId="66E3F151" w14:textId="77777777" w:rsidR="00175EC2" w:rsidRDefault="00000000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(100%)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1AD93A1" w14:textId="77777777" w:rsidR="00175EC2" w:rsidRDefault="00000000">
            <w:pPr>
              <w:jc w:val="center"/>
              <w:rPr>
                <w:rFonts w:ascii="Times" w:eastAsia="Times" w:hAnsi="Times" w:cs="Times"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Thalassarche</w:t>
            </w:r>
            <w:proofErr w:type="spellEnd"/>
            <w:r>
              <w:rPr>
                <w:rFonts w:ascii="Times" w:eastAsia="Times" w:hAnsi="Times" w:cs="Times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melanophris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(species)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057436" w14:textId="77777777" w:rsidR="00175EC2" w:rsidRDefault="00000000">
            <w:pPr>
              <w:jc w:val="center"/>
              <w:rPr>
                <w:rFonts w:ascii="Times" w:eastAsia="Times" w:hAnsi="Times" w:cs="Times"/>
                <w:i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Thalassarche</w:t>
            </w:r>
            <w:proofErr w:type="spellEnd"/>
            <w:r>
              <w:rPr>
                <w:rFonts w:ascii="Times" w:eastAsia="Times" w:hAnsi="Times" w:cs="Times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melanophris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(AY158677)</w:t>
            </w:r>
          </w:p>
        </w:tc>
        <w:tc>
          <w:tcPr>
            <w:tcW w:w="7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B480498" w14:textId="77777777" w:rsidR="00175EC2" w:rsidRDefault="00000000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CTGGGATTAGATACCCCACTATGCCTAGCCCTAAATCTTGATACTTACCCCACCAAAGTATCCGCCCGAGAACTACGAGCGCAAACGCTTAAAACTCTAAGGACTTGGCGGTGTCCCAAATCCACCTAGAGGAGCCTGTTCTATAATCGATAACCCACGATACACCCAACCGTTCCTTGCCAAAACAGCCTACATACCGCCGTCGCCAGCCCACCTCCCCTGAGAGCTCAACAGTGGACACAATAGCCTACCCC</w:t>
            </w:r>
          </w:p>
        </w:tc>
      </w:tr>
      <w:tr w:rsidR="00175EC2" w14:paraId="34B63CC3" w14:textId="77777777">
        <w:trPr>
          <w:trHeight w:val="312"/>
        </w:trPr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8ACB56A" w14:textId="77777777" w:rsidR="00175EC2" w:rsidRDefault="00000000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OTU_5</w:t>
            </w:r>
          </w:p>
          <w:p w14:paraId="04B87123" w14:textId="77777777" w:rsidR="00175EC2" w:rsidRDefault="00000000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(16)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D90616" w14:textId="77777777" w:rsidR="00175EC2" w:rsidRDefault="00000000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232 </w:t>
            </w:r>
          </w:p>
          <w:p w14:paraId="4ACB4093" w14:textId="77777777" w:rsidR="00175EC2" w:rsidRDefault="00000000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(100%)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2792549" w14:textId="77777777" w:rsidR="00175EC2" w:rsidRDefault="00000000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i/>
                <w:color w:val="000000"/>
              </w:rPr>
              <w:t xml:space="preserve">Sterna </w:t>
            </w: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bergii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(species)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C985237" w14:textId="77777777" w:rsidR="00175EC2" w:rsidRDefault="00000000">
            <w:pPr>
              <w:jc w:val="center"/>
              <w:rPr>
                <w:rFonts w:ascii="Times" w:eastAsia="Times" w:hAnsi="Times" w:cs="Times"/>
                <w:i/>
                <w:color w:val="000000"/>
              </w:rPr>
            </w:pPr>
            <w:r>
              <w:rPr>
                <w:rFonts w:ascii="Times" w:eastAsia="Times" w:hAnsi="Times" w:cs="Times"/>
                <w:i/>
                <w:color w:val="000000"/>
              </w:rPr>
              <w:t xml:space="preserve">Sterna </w:t>
            </w: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bergii</w:t>
            </w:r>
            <w:proofErr w:type="spellEnd"/>
            <w:r>
              <w:rPr>
                <w:rFonts w:ascii="Times" w:eastAsia="Times" w:hAnsi="Times" w:cs="Times"/>
                <w:i/>
                <w:color w:val="00000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</w:rPr>
              <w:t>(MH006905.1)</w:t>
            </w:r>
          </w:p>
        </w:tc>
        <w:tc>
          <w:tcPr>
            <w:tcW w:w="7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</w:tcPr>
          <w:p w14:paraId="6A96C2A6" w14:textId="77777777" w:rsidR="00175EC2" w:rsidRDefault="00000000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GCCTAGCCCTAAATCTTGATGTTTGTCATACTAAAGCATCCGCCTGAGAACTACGAGCACAAACGCTTAAAACTCTAAGG ACTTGGCGGTGCCCCAAACCCACCTAGAGGAGCCTGTTCTGTAATCGATAACCCACGATTTACCCGACCACCCCTTGCTA AGGCAGCCTACATACCGCCGTCGCCAGCTCACCTTCACTGAGAGCCAAACAGTGAGCGCAATAGCTCAACTC</w:t>
            </w:r>
          </w:p>
        </w:tc>
      </w:tr>
    </w:tbl>
    <w:p w14:paraId="4E45D23D" w14:textId="77777777" w:rsidR="00175EC2" w:rsidRDefault="00175EC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/>
          <w:color w:val="000000"/>
        </w:rPr>
        <w:sectPr w:rsidR="00175EC2">
          <w:headerReference w:type="default" r:id="rId23"/>
          <w:footerReference w:type="default" r:id="rId24"/>
          <w:type w:val="continuous"/>
          <w:pgSz w:w="16840" w:h="11900" w:orient="landscape"/>
          <w:pgMar w:top="1440" w:right="1800" w:bottom="1440" w:left="1800" w:header="708" w:footer="708" w:gutter="0"/>
          <w:pgNumType w:start="1"/>
          <w:cols w:space="720"/>
        </w:sectPr>
      </w:pPr>
    </w:p>
    <w:p w14:paraId="679F6059" w14:textId="01B79BFD" w:rsidR="00175EC2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b/>
          <w:color w:val="000000"/>
        </w:rPr>
        <w:lastRenderedPageBreak/>
        <w:t>Table S4.</w:t>
      </w:r>
      <w:r>
        <w:rPr>
          <w:color w:val="000000"/>
        </w:rPr>
        <w:t xml:space="preserve"> Individual sample composition </w:t>
      </w:r>
      <w:r w:rsidR="00B2587F">
        <w:rPr>
          <w:color w:val="000000"/>
        </w:rPr>
        <w:t>obtained from quality filtered sequences which have been clustered into molecular operational taxonomic units (OTUs)</w:t>
      </w:r>
      <w:r w:rsidR="00A7010A">
        <w:rPr>
          <w:color w:val="000000"/>
        </w:rPr>
        <w:t xml:space="preserve">. Here </w:t>
      </w:r>
      <w:r w:rsidR="00A7010A">
        <w:t xml:space="preserve">low abundance clusters </w:t>
      </w:r>
      <w:r w:rsidR="00A7010A">
        <w:t xml:space="preserve">across samples were deleted, </w:t>
      </w:r>
      <w:r w:rsidR="00A7010A">
        <w:t xml:space="preserve">using a threshold of &lt; 1% (n &lt; 74) of the total abundance of unique sequences </w:t>
      </w:r>
      <w:r w:rsidR="00A7010A">
        <w:t xml:space="preserve">in this study </w:t>
      </w:r>
      <w:r w:rsidR="00A7010A">
        <w:t>(n = 7,370)</w:t>
      </w:r>
      <w:r w:rsidR="00A7010A">
        <w:t xml:space="preserve">. This resulted in 35,498 total </w:t>
      </w:r>
      <w:r w:rsidR="00A7010A">
        <w:rPr>
          <w:highlight w:val="white"/>
        </w:rPr>
        <w:t>filtered sequences, 26 unique (sequences because thousands were combined to within 97% similarity), 5 OTU’s, for 25 samples. We then mapped back filtered sequences to existing OTUs. Thus allowing for individual samples that contain very low to trace amounts of target sequences of high quality.</w:t>
      </w:r>
    </w:p>
    <w:tbl>
      <w:tblPr>
        <w:tblStyle w:val="a6"/>
        <w:tblW w:w="14193" w:type="dxa"/>
        <w:tblInd w:w="-45" w:type="dxa"/>
        <w:tblLayout w:type="fixed"/>
        <w:tblLook w:val="0400" w:firstRow="0" w:lastRow="0" w:firstColumn="0" w:lastColumn="0" w:noHBand="0" w:noVBand="1"/>
      </w:tblPr>
      <w:tblGrid>
        <w:gridCol w:w="3741"/>
        <w:gridCol w:w="2002"/>
        <w:gridCol w:w="2035"/>
        <w:gridCol w:w="2035"/>
        <w:gridCol w:w="2384"/>
        <w:gridCol w:w="1996"/>
      </w:tblGrid>
      <w:tr w:rsidR="00175EC2" w14:paraId="3434E6B0" w14:textId="77777777">
        <w:trPr>
          <w:trHeight w:val="279"/>
        </w:trPr>
        <w:tc>
          <w:tcPr>
            <w:tcW w:w="3741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402FA4" w14:textId="77777777" w:rsidR="00175EC2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  <w:b/>
              </w:rPr>
              <w:t>Prey ID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1708358" w14:textId="77777777" w:rsidR="00175EC2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Times" w:eastAsia="Times" w:hAnsi="Times" w:cs="Times"/>
                <w:b/>
                <w:i/>
              </w:rPr>
              <w:t>Eudyptula</w:t>
            </w:r>
            <w:proofErr w:type="spellEnd"/>
            <w:r>
              <w:rPr>
                <w:rFonts w:ascii="Times" w:eastAsia="Times" w:hAnsi="Times" w:cs="Times"/>
                <w:b/>
                <w:i/>
              </w:rPr>
              <w:t xml:space="preserve"> minor (MF370525)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6B7580" w14:textId="77777777" w:rsidR="00175EC2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Times" w:eastAsia="Times" w:hAnsi="Times" w:cs="Times"/>
                <w:b/>
              </w:rPr>
              <w:t>Procellariidae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sp.1 (family)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8781A0" w14:textId="77777777" w:rsidR="00175EC2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Times" w:eastAsia="Times" w:hAnsi="Times" w:cs="Times"/>
                <w:b/>
              </w:rPr>
              <w:t>Procellariidae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sp.2 (family)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849910" w14:textId="77777777" w:rsidR="00175EC2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Times" w:eastAsia="Times" w:hAnsi="Times" w:cs="Times"/>
                <w:b/>
                <w:i/>
              </w:rPr>
              <w:t>Thalassarche</w:t>
            </w:r>
            <w:proofErr w:type="spellEnd"/>
            <w:r>
              <w:rPr>
                <w:rFonts w:ascii="Times" w:eastAsia="Times" w:hAnsi="Times" w:cs="Times"/>
                <w:b/>
                <w:i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i/>
              </w:rPr>
              <w:t>melanophris</w:t>
            </w:r>
            <w:proofErr w:type="spellEnd"/>
            <w:r>
              <w:rPr>
                <w:rFonts w:ascii="Times" w:eastAsia="Times" w:hAnsi="Times" w:cs="Times"/>
                <w:b/>
                <w:i/>
              </w:rPr>
              <w:t xml:space="preserve"> (AY158677)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F0CEA8" w14:textId="77777777" w:rsidR="00175EC2" w:rsidRDefault="00000000">
            <w:pPr>
              <w:widowControl w:val="0"/>
              <w:spacing w:line="276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i/>
              </w:rPr>
              <w:t xml:space="preserve">Sterna </w:t>
            </w:r>
            <w:proofErr w:type="spellStart"/>
            <w:r>
              <w:rPr>
                <w:rFonts w:ascii="Times" w:eastAsia="Times" w:hAnsi="Times" w:cs="Times"/>
                <w:b/>
                <w:i/>
              </w:rPr>
              <w:t>bergii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(MH006905.1)</w:t>
            </w:r>
          </w:p>
        </w:tc>
      </w:tr>
      <w:tr w:rsidR="00175EC2" w14:paraId="0540E9D5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82B7BD" w14:textId="77777777" w:rsidR="00175EC2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  <w:b/>
              </w:rPr>
              <w:t>OTU ID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CFCAA3" w14:textId="77777777" w:rsidR="00175EC2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  <w:b/>
              </w:rPr>
              <w:t>OTU_1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9DCE84" w14:textId="77777777" w:rsidR="00175EC2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  <w:b/>
              </w:rPr>
              <w:t>OTU_2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088F2B" w14:textId="77777777" w:rsidR="00175EC2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  <w:b/>
              </w:rPr>
              <w:t>OTU_3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695011" w14:textId="77777777" w:rsidR="00175EC2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  <w:b/>
              </w:rPr>
              <w:t>OTU_4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318826" w14:textId="77777777" w:rsidR="00175EC2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  <w:b/>
              </w:rPr>
              <w:t>OTU_5</w:t>
            </w:r>
          </w:p>
        </w:tc>
      </w:tr>
      <w:tr w:rsidR="00175EC2" w14:paraId="2D3AE838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57438F" w14:textId="77777777" w:rsidR="00175EC2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CBW1_16_7_S78_Bird12sB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C77ABF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5520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BCDB44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7346624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3F53E2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81F903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</w:tr>
      <w:tr w:rsidR="00175EC2" w14:paraId="1AE79382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EB770C" w14:textId="77777777" w:rsidR="00175EC2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CBW1_16_13_S81_Bird12sB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42E4DF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530CDD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21498E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4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0FD389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32E77D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</w:tr>
      <w:tr w:rsidR="00175EC2" w14:paraId="3A3E0BE5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12A7AF" w14:textId="77777777" w:rsidR="00175EC2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CBW1_17_5_S91_Bird12sB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B7CD07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4140F6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65F8C9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4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205DB35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5B77632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</w:tr>
      <w:tr w:rsidR="00175EC2" w14:paraId="3B6C3176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5B1EB7" w14:textId="77777777" w:rsidR="00175EC2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CBW1_17_9_S92_Bird12sB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B63A1B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DFFFBD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2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62DF03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123866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0A97BF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</w:tr>
      <w:tr w:rsidR="00175EC2" w14:paraId="02678FD9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B242C0" w14:textId="77777777" w:rsidR="00175EC2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CBW1_17_10_S93_Bird12sB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B79326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159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94D2A6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620CD6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93421D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25C1A3D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</w:tr>
      <w:tr w:rsidR="00175EC2" w14:paraId="762B21E5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062AB5" w14:textId="77777777" w:rsidR="00175EC2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CBW1_17_12_S94_Bird12sB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A14869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12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63A8C7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4EC2D2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94B4C1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E70802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</w:tr>
      <w:tr w:rsidR="00175EC2" w14:paraId="465F3EE4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C0410E" w14:textId="77777777" w:rsidR="00175EC2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CBW1_17_17_S95_Bird12sB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8CA175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2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1AEA95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A6313E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BBEC92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6F56BC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</w:tr>
      <w:tr w:rsidR="00175EC2" w14:paraId="2BFE48A9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FC8D70" w14:textId="77777777" w:rsidR="00175EC2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CBW9_15_1_S75_Bird12sB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CAEF02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3FFA18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6A2070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3890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6B71F4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FF94DB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</w:tr>
      <w:tr w:rsidR="00175EC2" w14:paraId="6C879187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365096" w14:textId="77777777" w:rsidR="00175EC2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CBW9_15_4_S76_Bird12sB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BE787D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9211FC3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5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CC5934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2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86DFCE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44B95A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</w:tr>
      <w:tr w:rsidR="00175EC2" w14:paraId="3F83F07E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E6CE19" w14:textId="77777777" w:rsidR="00175EC2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CBW9_15_5_S77_Bird12sB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7D57B1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9A0D7F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3302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04A610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163A75B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1804FC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</w:tr>
      <w:tr w:rsidR="00175EC2" w14:paraId="64329ACB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ADED69" w14:textId="77777777" w:rsidR="00175EC2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CBW9_16_1_S83_Bird12sB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79B49B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126186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4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340289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3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521CBB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251F68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</w:tr>
      <w:tr w:rsidR="00175EC2" w14:paraId="2E8581CB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693890" w14:textId="77777777" w:rsidR="00175EC2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CBW9_16_2_S84_Bird12sB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ABA57B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F85039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9094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2A942B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82FA08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BED887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</w:tr>
      <w:tr w:rsidR="00175EC2" w14:paraId="1F4E8154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D11EEA" w14:textId="77777777" w:rsidR="00175EC2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CBW9_16_3_S85_Bird12sB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9BCC80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012E01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3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4EBE98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F2AC14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C05374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</w:tr>
      <w:tr w:rsidR="00175EC2" w14:paraId="0F82A322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1C4347B" w14:textId="77777777" w:rsidR="00175EC2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CBW9_16_4_S86_Bird12sB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F1E18AA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5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A524A0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3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7AD323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02A45A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1680B35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</w:tr>
      <w:tr w:rsidR="00175EC2" w14:paraId="13282F9B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1B90FA5" w14:textId="77777777" w:rsidR="00175EC2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lastRenderedPageBreak/>
              <w:t>CBW9_16_5_S87_Bird12sB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99E613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6348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1C40C7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EDFAAC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B64CEF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1599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B24C5C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</w:tr>
      <w:tr w:rsidR="00175EC2" w14:paraId="6C76DDF9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B6FA0B" w14:textId="77777777" w:rsidR="00175EC2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CBW9_16_11_S90_Bird12sB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A33C55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2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4E5588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341547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211A97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05C583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</w:tr>
      <w:tr w:rsidR="00175EC2" w14:paraId="0793581C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2E79D1" w14:textId="77777777" w:rsidR="00175EC2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MI9_16_11_S100_Bird12sB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041108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0E2C08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4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BC1DBA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CD34D9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713F3A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16</w:t>
            </w:r>
          </w:p>
        </w:tc>
      </w:tr>
      <w:tr w:rsidR="00175EC2" w14:paraId="6AA187E5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A7DAF3" w14:textId="77777777" w:rsidR="00175EC2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MI1_17_5_S102_Bird12sB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877FA2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4415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383E25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1B4F88B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AFC3F0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FCA70E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</w:tr>
      <w:tr w:rsidR="00175EC2" w14:paraId="306DAD75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E744CA" w14:textId="77777777" w:rsidR="00175EC2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MI1_17_6_S103_Bird12sB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46E91A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894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695D9E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3941B5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9A5EEC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3856FA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</w:tr>
      <w:tr w:rsidR="00175EC2" w14:paraId="099DA7AB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A425E9" w14:textId="77777777" w:rsidR="00175EC2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MI1_17_8_S104_Bird12sB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4F55A2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206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94D03D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058A53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988E02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8CC63B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</w:tr>
      <w:tr w:rsidR="00175EC2" w14:paraId="711CA677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36039F" w14:textId="77777777" w:rsidR="00175EC2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Total sequence abundance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359C97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17563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C51EAE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12417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736C88F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3903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B8FD80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1599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E1F263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16</w:t>
            </w:r>
          </w:p>
        </w:tc>
      </w:tr>
      <w:tr w:rsidR="00175EC2" w14:paraId="361F9F96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2B0FA6" w14:textId="77777777" w:rsidR="00175EC2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Total of samples containing each seabird taxon (n)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044D36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10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12FED5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8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C73900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5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E28600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3B6F0A" w14:textId="77777777" w:rsidR="00175EC2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</w:tr>
    </w:tbl>
    <w:p w14:paraId="763A05DF" w14:textId="77777777" w:rsidR="00175EC2" w:rsidRDefault="00175EC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/>
          <w:color w:val="000000"/>
        </w:rPr>
      </w:pPr>
    </w:p>
    <w:p w14:paraId="2B0027AF" w14:textId="79574160" w:rsidR="00175EC2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</w:rPr>
        <w:t>Table S5.</w:t>
      </w:r>
      <w:r>
        <w:rPr>
          <w:rFonts w:ascii="Times" w:eastAsia="Times" w:hAnsi="Times" w:cs="Times"/>
          <w:color w:val="000000"/>
        </w:rPr>
        <w:t xml:space="preserve"> For each sample containing abundant little penguin DNA (OTU 1, n = 6), </w:t>
      </w:r>
      <w:r>
        <w:rPr>
          <w:color w:val="000000"/>
        </w:rPr>
        <w:t>we selected the most abundant unique sequences</w:t>
      </w:r>
      <w:r>
        <w:t>. Note that only</w:t>
      </w:r>
      <w:r>
        <w:rPr>
          <w:highlight w:val="white"/>
        </w:rPr>
        <w:t xml:space="preserve"> where there was a large sequence abundance within the sample, and where there was more than one base-pair difference in the sequences for secondary clusters of unique sequences, were a second and/or third sequence used for the haplotypes from the samples. </w:t>
      </w:r>
      <w:r>
        <w:rPr>
          <w:color w:val="000000"/>
        </w:rPr>
        <w:t>The sequence abundance is inc</w:t>
      </w:r>
      <w:r>
        <w:rPr>
          <w:rFonts w:ascii="Times" w:eastAsia="Times" w:hAnsi="Times" w:cs="Times"/>
          <w:color w:val="000000"/>
        </w:rPr>
        <w:t>luded below for the whole sample and the haplotypes selected for further analysis.</w:t>
      </w:r>
    </w:p>
    <w:tbl>
      <w:tblPr>
        <w:tblStyle w:val="a7"/>
        <w:tblW w:w="9923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940"/>
        <w:gridCol w:w="1447"/>
        <w:gridCol w:w="1559"/>
        <w:gridCol w:w="1559"/>
        <w:gridCol w:w="1418"/>
      </w:tblGrid>
      <w:tr w:rsidR="00175EC2" w14:paraId="38893234" w14:textId="77777777">
        <w:trPr>
          <w:trHeight w:val="360"/>
        </w:trPr>
        <w:tc>
          <w:tcPr>
            <w:tcW w:w="3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FF3F2A" w14:textId="77777777" w:rsidR="00175EC2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Sample ID</w:t>
            </w:r>
          </w:p>
        </w:tc>
        <w:tc>
          <w:tcPr>
            <w:tcW w:w="14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26F8E3" w14:textId="77777777" w:rsidR="00175EC2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26F301" w14:textId="77777777" w:rsidR="00175EC2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Sequence 1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4565B4" w14:textId="77777777" w:rsidR="00175EC2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Sequence 2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5B52ED" w14:textId="77777777" w:rsidR="00175EC2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Sequence 3</w:t>
            </w:r>
          </w:p>
        </w:tc>
      </w:tr>
      <w:tr w:rsidR="00175EC2" w14:paraId="3DE6C047" w14:textId="77777777">
        <w:trPr>
          <w:trHeight w:val="360"/>
        </w:trPr>
        <w:tc>
          <w:tcPr>
            <w:tcW w:w="3940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0257C225" w14:textId="77777777" w:rsidR="00175EC2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CBW1_16_7_S78_Bird12sB</w:t>
            </w:r>
          </w:p>
        </w:tc>
        <w:tc>
          <w:tcPr>
            <w:tcW w:w="144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7BBFC354" w14:textId="77777777" w:rsidR="00175EC2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5520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06B56F13" w14:textId="77777777" w:rsidR="00175EC2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5315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7972D230" w14:textId="77777777" w:rsidR="00175EC2" w:rsidRDefault="00175EC2">
            <w:pPr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44F674AC" w14:textId="77777777" w:rsidR="00175EC2" w:rsidRDefault="00175EC2">
            <w:pPr>
              <w:rPr>
                <w:sz w:val="20"/>
                <w:szCs w:val="20"/>
              </w:rPr>
            </w:pPr>
          </w:p>
        </w:tc>
      </w:tr>
      <w:tr w:rsidR="00175EC2" w14:paraId="639E1C02" w14:textId="77777777">
        <w:trPr>
          <w:trHeight w:val="360"/>
        </w:trPr>
        <w:tc>
          <w:tcPr>
            <w:tcW w:w="3940" w:type="dxa"/>
            <w:shd w:val="clear" w:color="auto" w:fill="auto"/>
            <w:vAlign w:val="center"/>
          </w:tcPr>
          <w:p w14:paraId="586B3CCE" w14:textId="77777777" w:rsidR="00175EC2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CBW1_17_10_S93_Bird12sB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2508A2F3" w14:textId="77777777" w:rsidR="00175EC2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159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575FFE45" w14:textId="77777777" w:rsidR="00175EC2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151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18AA8D89" w14:textId="77777777" w:rsidR="00175EC2" w:rsidRDefault="00175EC2">
            <w:pPr>
              <w:rPr>
                <w:color w:val="000000"/>
              </w:rPr>
            </w:pPr>
          </w:p>
        </w:tc>
        <w:tc>
          <w:tcPr>
            <w:tcW w:w="1418" w:type="dxa"/>
            <w:shd w:val="clear" w:color="auto" w:fill="auto"/>
            <w:vAlign w:val="bottom"/>
          </w:tcPr>
          <w:p w14:paraId="62048CE5" w14:textId="77777777" w:rsidR="00175EC2" w:rsidRDefault="00175EC2">
            <w:pPr>
              <w:rPr>
                <w:sz w:val="20"/>
                <w:szCs w:val="20"/>
              </w:rPr>
            </w:pPr>
          </w:p>
        </w:tc>
      </w:tr>
      <w:tr w:rsidR="00175EC2" w14:paraId="71D26346" w14:textId="77777777">
        <w:trPr>
          <w:trHeight w:val="360"/>
        </w:trPr>
        <w:tc>
          <w:tcPr>
            <w:tcW w:w="3940" w:type="dxa"/>
            <w:shd w:val="clear" w:color="auto" w:fill="auto"/>
            <w:vAlign w:val="center"/>
          </w:tcPr>
          <w:p w14:paraId="43A56B5E" w14:textId="77777777" w:rsidR="00175EC2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CBW9_16_5_S87_Bird12sB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3C14CB8B" w14:textId="77777777" w:rsidR="00175EC2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6348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04D15789" w14:textId="77777777" w:rsidR="00175EC2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5210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6E17D38C" w14:textId="77777777" w:rsidR="00175EC2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454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231B8537" w14:textId="77777777" w:rsidR="00175EC2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400</w:t>
            </w:r>
          </w:p>
        </w:tc>
      </w:tr>
      <w:tr w:rsidR="00175EC2" w14:paraId="77A45952" w14:textId="77777777">
        <w:trPr>
          <w:trHeight w:val="360"/>
        </w:trPr>
        <w:tc>
          <w:tcPr>
            <w:tcW w:w="3940" w:type="dxa"/>
            <w:shd w:val="clear" w:color="auto" w:fill="auto"/>
            <w:vAlign w:val="center"/>
          </w:tcPr>
          <w:p w14:paraId="2F375B88" w14:textId="77777777" w:rsidR="00175EC2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MI1_17_5_S102_Bird12sB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79BF47D8" w14:textId="77777777" w:rsidR="00175EC2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4415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3A3428B3" w14:textId="77777777" w:rsidR="00175EC2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4289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7E0A1ED6" w14:textId="77777777" w:rsidR="00175EC2" w:rsidRDefault="00175EC2">
            <w:pPr>
              <w:rPr>
                <w:color w:val="000000"/>
              </w:rPr>
            </w:pPr>
          </w:p>
        </w:tc>
        <w:tc>
          <w:tcPr>
            <w:tcW w:w="1418" w:type="dxa"/>
            <w:shd w:val="clear" w:color="auto" w:fill="auto"/>
            <w:vAlign w:val="bottom"/>
          </w:tcPr>
          <w:p w14:paraId="654DE057" w14:textId="77777777" w:rsidR="00175EC2" w:rsidRDefault="00175EC2">
            <w:pPr>
              <w:rPr>
                <w:sz w:val="20"/>
                <w:szCs w:val="20"/>
              </w:rPr>
            </w:pPr>
          </w:p>
        </w:tc>
      </w:tr>
      <w:tr w:rsidR="00175EC2" w14:paraId="1ADBBBAF" w14:textId="77777777">
        <w:trPr>
          <w:trHeight w:val="380"/>
        </w:trPr>
        <w:tc>
          <w:tcPr>
            <w:tcW w:w="3940" w:type="dxa"/>
            <w:shd w:val="clear" w:color="auto" w:fill="auto"/>
            <w:vAlign w:val="center"/>
          </w:tcPr>
          <w:p w14:paraId="77039852" w14:textId="77777777" w:rsidR="00175EC2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MI1_17_6_S103_Bird12sB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5FF77374" w14:textId="77777777" w:rsidR="00175EC2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894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3315181C" w14:textId="77777777" w:rsidR="00175EC2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589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4B4AC463" w14:textId="77777777" w:rsidR="00175EC2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262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0E5CD81E" w14:textId="77777777" w:rsidR="00175EC2" w:rsidRDefault="00175EC2">
            <w:pPr>
              <w:rPr>
                <w:color w:val="000000"/>
              </w:rPr>
            </w:pPr>
          </w:p>
        </w:tc>
      </w:tr>
      <w:tr w:rsidR="00175EC2" w14:paraId="594E0F4D" w14:textId="77777777">
        <w:trPr>
          <w:trHeight w:val="360"/>
        </w:trPr>
        <w:tc>
          <w:tcPr>
            <w:tcW w:w="394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ABBF8AB" w14:textId="77777777" w:rsidR="00175EC2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MI1_17_8_S104_Bird12sB</w:t>
            </w:r>
          </w:p>
        </w:tc>
        <w:tc>
          <w:tcPr>
            <w:tcW w:w="144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83FBEFF" w14:textId="77777777" w:rsidR="00175EC2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206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08EEE50" w14:textId="77777777" w:rsidR="00175EC2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6595D4F" w14:textId="77777777" w:rsidR="00175EC2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D5D8F45" w14:textId="77777777" w:rsidR="00175EC2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22ADD085" w14:textId="77777777" w:rsidR="00175EC2" w:rsidRDefault="00175EC2"/>
    <w:p w14:paraId="53E379D2" w14:textId="343B005E" w:rsidR="00B2587F" w:rsidRDefault="00B2587F">
      <w:pPr>
        <w:rPr>
          <w:b/>
          <w:color w:val="000000"/>
        </w:rPr>
      </w:pPr>
    </w:p>
    <w:p w14:paraId="0DFF0760" w14:textId="1FFD4F9A" w:rsidR="00175EC2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highlight w:val="yellow"/>
        </w:rPr>
      </w:pPr>
      <w:r>
        <w:rPr>
          <w:b/>
          <w:color w:val="000000"/>
        </w:rPr>
        <w:lastRenderedPageBreak/>
        <w:t xml:space="preserve">Table S6. </w:t>
      </w:r>
      <w:r>
        <w:rPr>
          <w:color w:val="000000"/>
        </w:rPr>
        <w:t xml:space="preserve">Generalised linear model with binomial distribution for seabird and little penguin detections in long-nosed fur seal scats across sampling group (combined location and sampling time) and methods – seabird diagnostic morphological remains or genetic material (significant variables in </w:t>
      </w:r>
      <w:r>
        <w:rPr>
          <w:b/>
          <w:color w:val="000000"/>
        </w:rPr>
        <w:t>bold</w:t>
      </w:r>
      <w:r>
        <w:rPr>
          <w:color w:val="000000"/>
        </w:rPr>
        <w:t>,</w:t>
      </w:r>
      <w:r>
        <w:rPr>
          <w:b/>
          <w:color w:val="000000"/>
        </w:rPr>
        <w:t xml:space="preserve"> </w:t>
      </w:r>
      <w:r>
        <w:rPr>
          <w:color w:val="000000"/>
        </w:rPr>
        <w:t>P &gt; 0.05).</w:t>
      </w:r>
    </w:p>
    <w:tbl>
      <w:tblPr>
        <w:tblStyle w:val="a8"/>
        <w:tblW w:w="13363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00"/>
        <w:gridCol w:w="2154"/>
        <w:gridCol w:w="2552"/>
        <w:gridCol w:w="709"/>
        <w:gridCol w:w="2058"/>
        <w:gridCol w:w="1577"/>
        <w:gridCol w:w="1460"/>
        <w:gridCol w:w="1553"/>
      </w:tblGrid>
      <w:tr w:rsidR="00175EC2" w14:paraId="3624F1EA" w14:textId="77777777">
        <w:trPr>
          <w:trHeight w:val="606"/>
        </w:trPr>
        <w:tc>
          <w:tcPr>
            <w:tcW w:w="13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CA9CA3" w14:textId="77777777" w:rsidR="00175E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Model</w:t>
            </w:r>
          </w:p>
        </w:tc>
        <w:tc>
          <w:tcPr>
            <w:tcW w:w="215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E7BF03" w14:textId="77777777" w:rsidR="00175E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 type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97DB93" w14:textId="77777777" w:rsidR="00175E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Explanatory variables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CF73D6" w14:textId="77777777" w:rsidR="00175E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df</w:t>
            </w:r>
            <w:proofErr w:type="spellEnd"/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9BC5FD" w14:textId="77777777" w:rsidR="00175E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Residual deviance</w:t>
            </w:r>
          </w:p>
        </w:tc>
        <w:tc>
          <w:tcPr>
            <w:tcW w:w="157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074E4D" w14:textId="77777777" w:rsidR="00175E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Residual </w:t>
            </w:r>
            <w:proofErr w:type="spellStart"/>
            <w:r>
              <w:rPr>
                <w:b/>
                <w:color w:val="000000"/>
              </w:rPr>
              <w:t>df</w:t>
            </w:r>
            <w:proofErr w:type="spellEnd"/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253E68B" w14:textId="77777777" w:rsidR="00175E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Deviance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C04507" w14:textId="77777777" w:rsidR="00175E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</w:t>
            </w:r>
          </w:p>
        </w:tc>
      </w:tr>
      <w:tr w:rsidR="00175EC2" w14:paraId="541600D2" w14:textId="77777777">
        <w:trPr>
          <w:trHeight w:val="606"/>
        </w:trPr>
        <w:tc>
          <w:tcPr>
            <w:tcW w:w="1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6165B7" w14:textId="77777777" w:rsidR="00175E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Seabird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87F0CD" w14:textId="77777777" w:rsidR="00175E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Detection (yes/no)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2DC1B6" w14:textId="77777777" w:rsidR="00175E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Method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6D49C5" w14:textId="77777777" w:rsidR="00175E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0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B3DE91" w14:textId="77777777" w:rsidR="00175E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0.2081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6E058B" w14:textId="77777777" w:rsidR="00175E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98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D7670F" w14:textId="77777777" w:rsidR="00175E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114.403</w:t>
            </w:r>
          </w:p>
        </w:tc>
        <w:tc>
          <w:tcPr>
            <w:tcW w:w="1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9981D1" w14:textId="77777777" w:rsidR="00175E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0.6483</w:t>
            </w:r>
          </w:p>
        </w:tc>
      </w:tr>
      <w:tr w:rsidR="00175EC2" w14:paraId="0B931225" w14:textId="77777777">
        <w:trPr>
          <w:trHeight w:val="326"/>
        </w:trPr>
        <w:tc>
          <w:tcPr>
            <w:tcW w:w="1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2A6695" w14:textId="77777777" w:rsidR="00175EC2" w:rsidRDefault="00175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AE4A5A" w14:textId="77777777" w:rsidR="00175E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binomial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675203" w14:textId="77777777" w:rsidR="00175E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Group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C20579" w14:textId="77777777" w:rsidR="00175E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0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58B845" w14:textId="77777777" w:rsidR="00175E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15.4554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3A1E338" w14:textId="77777777" w:rsidR="00175E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92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969F01" w14:textId="77777777" w:rsidR="00175E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98.948</w:t>
            </w:r>
          </w:p>
        </w:tc>
        <w:tc>
          <w:tcPr>
            <w:tcW w:w="1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5EC406" w14:textId="77777777" w:rsidR="00175E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0.0170 *</w:t>
            </w:r>
          </w:p>
        </w:tc>
      </w:tr>
      <w:tr w:rsidR="00175EC2" w14:paraId="01E08A3D" w14:textId="77777777">
        <w:trPr>
          <w:trHeight w:val="606"/>
        </w:trPr>
        <w:tc>
          <w:tcPr>
            <w:tcW w:w="1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2BC180" w14:textId="77777777" w:rsidR="00175E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Penguin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AB1DD9" w14:textId="77777777" w:rsidR="00175E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Detection (yes/no)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A4D935" w14:textId="77777777" w:rsidR="00175E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Method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2DBC1E" w14:textId="77777777" w:rsidR="00175E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0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969A06" w14:textId="77777777" w:rsidR="00175E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1.6403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9FAAD3" w14:textId="77777777" w:rsidR="00175E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98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6947E7" w14:textId="77777777" w:rsidR="00175E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95.604</w:t>
            </w:r>
          </w:p>
        </w:tc>
        <w:tc>
          <w:tcPr>
            <w:tcW w:w="1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F84E4B" w14:textId="77777777" w:rsidR="00175E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0.2003</w:t>
            </w:r>
          </w:p>
        </w:tc>
      </w:tr>
      <w:tr w:rsidR="00175EC2" w14:paraId="56CACCC5" w14:textId="77777777">
        <w:trPr>
          <w:trHeight w:val="326"/>
        </w:trPr>
        <w:tc>
          <w:tcPr>
            <w:tcW w:w="13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23E45C" w14:textId="77777777" w:rsidR="00175EC2" w:rsidRDefault="00175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FC589E" w14:textId="77777777" w:rsidR="00175E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binomial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E082E9" w14:textId="77777777" w:rsidR="00175E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Group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0AF27F" w14:textId="77777777" w:rsidR="00175E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0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705C169" w14:textId="77777777" w:rsidR="00175E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8.1254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2D9B9BA" w14:textId="77777777" w:rsidR="00175E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92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B6F394" w14:textId="77777777" w:rsidR="00175E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87.479</w:t>
            </w:r>
          </w:p>
        </w:tc>
        <w:tc>
          <w:tcPr>
            <w:tcW w:w="15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AB5AE4" w14:textId="77777777" w:rsidR="00175E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0.2291</w:t>
            </w:r>
          </w:p>
        </w:tc>
      </w:tr>
    </w:tbl>
    <w:p w14:paraId="3D1E89A4" w14:textId="77777777" w:rsidR="00175EC2" w:rsidRDefault="00175EC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  <w:sectPr w:rsidR="00175EC2">
          <w:pgSz w:w="16840" w:h="11900" w:orient="landscape"/>
          <w:pgMar w:top="1440" w:right="1800" w:bottom="1440" w:left="1800" w:header="708" w:footer="708" w:gutter="0"/>
          <w:pgNumType w:start="1"/>
          <w:cols w:space="720"/>
        </w:sectPr>
      </w:pPr>
    </w:p>
    <w:p w14:paraId="57933DE1" w14:textId="77777777" w:rsidR="00175EC2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color w:val="000000"/>
        </w:rPr>
      </w:pPr>
      <w:r>
        <w:rPr>
          <w:b/>
          <w:noProof/>
          <w:color w:val="000000"/>
        </w:rPr>
        <w:lastRenderedPageBreak/>
        <w:drawing>
          <wp:inline distT="0" distB="0" distL="0" distR="0" wp14:anchorId="641341B8" wp14:editId="51CD21CF">
            <wp:extent cx="5270500" cy="52705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B9D0C2" w14:textId="77777777" w:rsidR="00175EC2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b/>
          <w:color w:val="000000"/>
        </w:rPr>
        <w:t>Fig</w:t>
      </w:r>
      <w:r>
        <w:rPr>
          <w:b/>
        </w:rPr>
        <w:t>ure</w:t>
      </w:r>
      <w:r>
        <w:rPr>
          <w:b/>
          <w:color w:val="000000"/>
        </w:rPr>
        <w:t xml:space="preserve"> S1.</w:t>
      </w:r>
      <w:r>
        <w:rPr>
          <w:color w:val="000000"/>
        </w:rPr>
        <w:t xml:space="preserve"> Total abundance of DNA sequences obtained within samples (n = 99), for all five seabird taxa following sequence quality filtering procedures described in section S1.3.</w:t>
      </w:r>
    </w:p>
    <w:p w14:paraId="59CA3C82" w14:textId="77777777" w:rsidR="00175EC2" w:rsidRDefault="00175EC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8032C0" w14:textId="77777777" w:rsidR="00175EC2" w:rsidRDefault="00175EC2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</w:p>
    <w:p w14:paraId="5727BC53" w14:textId="77777777" w:rsidR="00175EC2" w:rsidRDefault="00000000">
      <w:pPr>
        <w:spacing w:line="480" w:lineRule="auto"/>
        <w:rPr>
          <w:rFonts w:ascii="Times" w:eastAsia="Times" w:hAnsi="Times" w:cs="Times"/>
        </w:rPr>
      </w:pPr>
      <w:r>
        <w:rPr>
          <w:rFonts w:ascii="Times" w:eastAsia="Times" w:hAnsi="Times" w:cs="Times"/>
          <w:noProof/>
        </w:rPr>
        <w:lastRenderedPageBreak/>
        <w:drawing>
          <wp:inline distT="0" distB="0" distL="0" distR="0" wp14:anchorId="73F9054E" wp14:editId="334D8463">
            <wp:extent cx="5274000" cy="37719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70AE6B" w14:textId="0E4E4D72" w:rsidR="00175EC2" w:rsidRDefault="00000000">
      <w:pPr>
        <w:spacing w:line="480" w:lineRule="auto"/>
      </w:pPr>
      <w:r>
        <w:rPr>
          <w:rFonts w:ascii="Times" w:eastAsia="Times" w:hAnsi="Times" w:cs="Times"/>
          <w:b/>
        </w:rPr>
        <w:t>Figure S</w:t>
      </w:r>
      <w:r w:rsidR="00B46FA7">
        <w:rPr>
          <w:rFonts w:ascii="Times" w:eastAsia="Times" w:hAnsi="Times" w:cs="Times"/>
          <w:b/>
        </w:rPr>
        <w:t>2</w:t>
      </w:r>
      <w:r>
        <w:rPr>
          <w:rFonts w:ascii="Times" w:eastAsia="Times" w:hAnsi="Times" w:cs="Times"/>
          <w:b/>
        </w:rPr>
        <w:t>.</w:t>
      </w:r>
      <w:r>
        <w:rPr>
          <w:rFonts w:ascii="Times" w:eastAsia="Times" w:hAnsi="Times" w:cs="Times"/>
        </w:rPr>
        <w:t xml:space="preserve"> Percentage of samples detecting seabirds by method (hp = hard-part analysis, </w:t>
      </w:r>
      <w:proofErr w:type="spellStart"/>
      <w:r>
        <w:rPr>
          <w:rFonts w:ascii="Times" w:eastAsia="Times" w:hAnsi="Times" w:cs="Times"/>
        </w:rPr>
        <w:t>dna</w:t>
      </w:r>
      <w:proofErr w:type="spellEnd"/>
      <w:r>
        <w:rPr>
          <w:rFonts w:ascii="Times" w:eastAsia="Times" w:hAnsi="Times" w:cs="Times"/>
        </w:rPr>
        <w:t xml:space="preserve"> = DNA metabarcoding), location, and sampling time, for a) all seabird detections and b) little penguin (</w:t>
      </w:r>
      <w:r>
        <w:rPr>
          <w:rFonts w:ascii="Times" w:eastAsia="Times" w:hAnsi="Times" w:cs="Times"/>
          <w:i/>
        </w:rPr>
        <w:t>E. minor</w:t>
      </w:r>
      <w:r>
        <w:rPr>
          <w:rFonts w:ascii="Times" w:eastAsia="Times" w:hAnsi="Times" w:cs="Times"/>
        </w:rPr>
        <w:t>) detections, at Cape Bridgewater, Gabo Island and Barunguba.</w:t>
      </w:r>
    </w:p>
    <w:p w14:paraId="3FE018C9" w14:textId="77777777" w:rsidR="00175EC2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noProof/>
          <w:color w:val="000000"/>
        </w:rPr>
        <w:lastRenderedPageBreak/>
        <w:drawing>
          <wp:inline distT="0" distB="0" distL="0" distR="0" wp14:anchorId="3FDC97F7" wp14:editId="0CBEBBF2">
            <wp:extent cx="5270500" cy="451612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16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23AFAA" w14:textId="6126156B" w:rsidR="00175EC2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bookmarkStart w:id="9" w:name="_heading=h.3dy6vkm" w:colFirst="0" w:colLast="0"/>
      <w:bookmarkEnd w:id="9"/>
      <w:r>
        <w:rPr>
          <w:rFonts w:ascii="Times" w:eastAsia="Times" w:hAnsi="Times" w:cs="Times"/>
          <w:b/>
          <w:color w:val="000000"/>
        </w:rPr>
        <w:t>Figure S</w:t>
      </w:r>
      <w:r w:rsidR="00B46FA7">
        <w:rPr>
          <w:rFonts w:ascii="Times" w:eastAsia="Times" w:hAnsi="Times" w:cs="Times"/>
          <w:b/>
        </w:rPr>
        <w:t>3</w:t>
      </w:r>
      <w:r>
        <w:rPr>
          <w:rFonts w:ascii="Times" w:eastAsia="Times" w:hAnsi="Times" w:cs="Times"/>
          <w:b/>
          <w:color w:val="000000"/>
        </w:rPr>
        <w:t>.</w:t>
      </w:r>
      <w:r>
        <w:rPr>
          <w:rFonts w:ascii="Times" w:eastAsia="Times" w:hAnsi="Times" w:cs="Times"/>
          <w:color w:val="000000"/>
        </w:rPr>
        <w:t xml:space="preserve"> Numerical detections of seabirds by method (hp = hard-part analysis, </w:t>
      </w:r>
      <w:proofErr w:type="spellStart"/>
      <w:r>
        <w:rPr>
          <w:rFonts w:ascii="Times" w:eastAsia="Times" w:hAnsi="Times" w:cs="Times"/>
          <w:color w:val="000000"/>
        </w:rPr>
        <w:t>dna</w:t>
      </w:r>
      <w:proofErr w:type="spellEnd"/>
      <w:r>
        <w:rPr>
          <w:rFonts w:ascii="Times" w:eastAsia="Times" w:hAnsi="Times" w:cs="Times"/>
          <w:color w:val="000000"/>
        </w:rPr>
        <w:t xml:space="preserve"> = DNA metabarcoding), location, and sample date (month’ year), for a) all seabirds and b) little penguins (</w:t>
      </w:r>
      <w:r>
        <w:rPr>
          <w:rFonts w:ascii="Times" w:eastAsia="Times" w:hAnsi="Times" w:cs="Times"/>
          <w:i/>
          <w:color w:val="000000"/>
        </w:rPr>
        <w:t>E. minor</w:t>
      </w:r>
      <w:r>
        <w:rPr>
          <w:rFonts w:ascii="Times" w:eastAsia="Times" w:hAnsi="Times" w:cs="Times"/>
          <w:color w:val="000000"/>
        </w:rPr>
        <w:t>)</w:t>
      </w:r>
      <w:r>
        <w:rPr>
          <w:color w:val="000000"/>
        </w:rPr>
        <w:t>.</w:t>
      </w:r>
    </w:p>
    <w:p w14:paraId="5B16BBA9" w14:textId="77777777" w:rsidR="00175EC2" w:rsidRDefault="00175EC2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bookmarkStart w:id="10" w:name="_heading=h.1t3h5sf" w:colFirst="0" w:colLast="0"/>
      <w:bookmarkEnd w:id="10"/>
    </w:p>
    <w:p w14:paraId="122A375C" w14:textId="77777777" w:rsidR="00175EC2" w:rsidRDefault="00175EC2"/>
    <w:p w14:paraId="789A8CA6" w14:textId="77777777" w:rsidR="00175EC2" w:rsidRDefault="00000000">
      <w:pPr>
        <w:pStyle w:val="Heading2"/>
        <w:ind w:left="720"/>
      </w:pPr>
      <w:bookmarkStart w:id="11" w:name="_heading=h.6iiqmotzzosd" w:colFirst="0" w:colLast="0"/>
      <w:bookmarkEnd w:id="11"/>
      <w:r>
        <w:t>References</w:t>
      </w:r>
    </w:p>
    <w:p w14:paraId="5C12C067" w14:textId="77777777" w:rsidR="00175EC2" w:rsidRDefault="00175E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b/>
          <w:color w:val="000000"/>
        </w:rPr>
      </w:pPr>
    </w:p>
    <w:p w14:paraId="566C123F" w14:textId="77777777" w:rsidR="00175EC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28">
        <w:r>
          <w:t xml:space="preserve">ALA. (2019). </w:t>
        </w:r>
      </w:hyperlink>
      <w:hyperlink r:id="rId29">
        <w:r>
          <w:rPr>
            <w:i/>
          </w:rPr>
          <w:t>Atlas of Living Australia.</w:t>
        </w:r>
      </w:hyperlink>
      <w:hyperlink r:id="rId30">
        <w:r>
          <w:t xml:space="preserve"> Global Biodiversity Information Facility. World Wide Web electronic publication, www.ala.org.au</w:t>
        </w:r>
      </w:hyperlink>
    </w:p>
    <w:p w14:paraId="0B04EB22" w14:textId="77777777" w:rsidR="00175EC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31">
        <w:proofErr w:type="spellStart"/>
        <w:r>
          <w:t>Altschul</w:t>
        </w:r>
        <w:proofErr w:type="spellEnd"/>
        <w:r>
          <w:t xml:space="preserve">, S. F., Gish, W., Miller, W., Myers, E. W., &amp; Lipman, D. J. (1990). Basic local alignment search tool. </w:t>
        </w:r>
      </w:hyperlink>
      <w:hyperlink r:id="rId32">
        <w:r>
          <w:rPr>
            <w:i/>
          </w:rPr>
          <w:t>Journal of Molecular Biology</w:t>
        </w:r>
      </w:hyperlink>
      <w:hyperlink r:id="rId33">
        <w:r>
          <w:t xml:space="preserve">, </w:t>
        </w:r>
      </w:hyperlink>
      <w:hyperlink r:id="rId34">
        <w:r>
          <w:rPr>
            <w:i/>
          </w:rPr>
          <w:t>215</w:t>
        </w:r>
      </w:hyperlink>
      <w:hyperlink r:id="rId35">
        <w:r>
          <w:t>(3), 403–410. doi.org/10.1016/S0022-2836(05)80360-2</w:t>
        </w:r>
      </w:hyperlink>
    </w:p>
    <w:p w14:paraId="56BD2E93" w14:textId="77777777" w:rsidR="00175EC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36">
        <w:proofErr w:type="spellStart"/>
        <w:r>
          <w:t>Arnould</w:t>
        </w:r>
        <w:proofErr w:type="spellEnd"/>
        <w:r>
          <w:t xml:space="preserve">, J. P. Y., Boyd, I. L., &amp; </w:t>
        </w:r>
        <w:proofErr w:type="spellStart"/>
        <w:r>
          <w:t>Warneke</w:t>
        </w:r>
        <w:proofErr w:type="spellEnd"/>
        <w:r>
          <w:t xml:space="preserve">, R. M. (2003). Historical dynamics of the Australian fur seal population: Evidence of regulation by man? </w:t>
        </w:r>
      </w:hyperlink>
      <w:hyperlink r:id="rId37">
        <w:r>
          <w:rPr>
            <w:i/>
          </w:rPr>
          <w:t>Canadian Journal of Zoology</w:t>
        </w:r>
      </w:hyperlink>
      <w:hyperlink r:id="rId38">
        <w:r>
          <w:t>. doi.org/10.1139/z03-134</w:t>
        </w:r>
      </w:hyperlink>
    </w:p>
    <w:p w14:paraId="32B09239" w14:textId="77777777" w:rsidR="00175EC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39">
        <w:r>
          <w:t xml:space="preserve">Australian Museum. (2019). </w:t>
        </w:r>
      </w:hyperlink>
      <w:hyperlink r:id="rId40">
        <w:r>
          <w:rPr>
            <w:i/>
          </w:rPr>
          <w:t>Birds</w:t>
        </w:r>
      </w:hyperlink>
      <w:hyperlink r:id="rId41">
        <w:r>
          <w:t>. World Wide Web electronic publication, accessed 01/2019: australianmuseum.net.au/animals</w:t>
        </w:r>
      </w:hyperlink>
    </w:p>
    <w:p w14:paraId="3AE65FDC" w14:textId="77777777" w:rsidR="00175EC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42">
        <w:r>
          <w:t xml:space="preserve">Benson, D. A., </w:t>
        </w:r>
        <w:proofErr w:type="spellStart"/>
        <w:r>
          <w:t>Karsch</w:t>
        </w:r>
        <w:proofErr w:type="spellEnd"/>
        <w:r>
          <w:t xml:space="preserve">-Mizrachi, I., Lipman, D. J., </w:t>
        </w:r>
        <w:proofErr w:type="spellStart"/>
        <w:r>
          <w:t>Ostell</w:t>
        </w:r>
        <w:proofErr w:type="spellEnd"/>
        <w:r>
          <w:t xml:space="preserve">, J., &amp; Wheeler, D. L. (2005). GenBank. </w:t>
        </w:r>
      </w:hyperlink>
      <w:hyperlink r:id="rId43">
        <w:r>
          <w:rPr>
            <w:i/>
          </w:rPr>
          <w:t>Nucleic Acids Research</w:t>
        </w:r>
      </w:hyperlink>
      <w:hyperlink r:id="rId44">
        <w:r>
          <w:t xml:space="preserve">, </w:t>
        </w:r>
      </w:hyperlink>
      <w:hyperlink r:id="rId45">
        <w:r>
          <w:rPr>
            <w:i/>
          </w:rPr>
          <w:t>33</w:t>
        </w:r>
      </w:hyperlink>
      <w:hyperlink r:id="rId46">
        <w:r>
          <w:t>(suppl_1), D34–D38. doi.org/10.1093/</w:t>
        </w:r>
        <w:proofErr w:type="spellStart"/>
        <w:r>
          <w:t>nar</w:t>
        </w:r>
        <w:proofErr w:type="spellEnd"/>
        <w:r>
          <w:t>/gki063</w:t>
        </w:r>
      </w:hyperlink>
    </w:p>
    <w:p w14:paraId="32F85BE1" w14:textId="77777777" w:rsidR="00175EC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47">
        <w:r>
          <w:t xml:space="preserve">Berry, T. E., </w:t>
        </w:r>
        <w:proofErr w:type="spellStart"/>
        <w:r>
          <w:t>Osterrieder</w:t>
        </w:r>
        <w:proofErr w:type="spellEnd"/>
        <w:r>
          <w:t xml:space="preserve">, S. K., Murray, D. C., Coghlan, M. L., Richardson, A. J., </w:t>
        </w:r>
        <w:proofErr w:type="spellStart"/>
        <w:r>
          <w:t>Grealy</w:t>
        </w:r>
        <w:proofErr w:type="spellEnd"/>
        <w:r>
          <w:t xml:space="preserve">, A. K., Stat, M., </w:t>
        </w:r>
        <w:proofErr w:type="spellStart"/>
        <w:r>
          <w:t>Bejder</w:t>
        </w:r>
        <w:proofErr w:type="spellEnd"/>
        <w:r>
          <w:t>, L., &amp; Bunce, M. (2017). DNA metabarcoding for diet analysis and biodiversity: A case study using the endangered Australian sea lion (</w:t>
        </w:r>
        <w:proofErr w:type="spellStart"/>
        <w:r>
          <w:t>Neophoca</w:t>
        </w:r>
        <w:proofErr w:type="spellEnd"/>
        <w:r>
          <w:t xml:space="preserve"> cinerea). </w:t>
        </w:r>
      </w:hyperlink>
      <w:hyperlink r:id="rId48">
        <w:r>
          <w:rPr>
            <w:i/>
          </w:rPr>
          <w:t>Ecology and Evolution</w:t>
        </w:r>
      </w:hyperlink>
      <w:hyperlink r:id="rId49">
        <w:r>
          <w:t xml:space="preserve">, </w:t>
        </w:r>
      </w:hyperlink>
      <w:hyperlink r:id="rId50">
        <w:r>
          <w:rPr>
            <w:i/>
          </w:rPr>
          <w:t>7</w:t>
        </w:r>
      </w:hyperlink>
      <w:hyperlink r:id="rId51">
        <w:r>
          <w:t>(14), 5435–5453. doi.org/10.1002/ece3.3123</w:t>
        </w:r>
      </w:hyperlink>
    </w:p>
    <w:p w14:paraId="7CE9A239" w14:textId="77777777" w:rsidR="00175EC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52">
        <w:r>
          <w:t xml:space="preserve">Cooper, A. (1994). DNA from Museum Specimens. In B. Herrmann &amp; S. Hummel (Eds.), </w:t>
        </w:r>
      </w:hyperlink>
      <w:hyperlink r:id="rId53">
        <w:r>
          <w:rPr>
            <w:i/>
          </w:rPr>
          <w:t>Ancient DNA: Recovery and Analysis of Genetic Material from Paleontological, Archaeological, Museum, Medical, and Forensic Specimens</w:t>
        </w:r>
      </w:hyperlink>
      <w:hyperlink r:id="rId54">
        <w:r>
          <w:t xml:space="preserve"> (pp. 149–165). Springer. doi.org/10.1007/978-1-4612-4318-2_10</w:t>
        </w:r>
      </w:hyperlink>
    </w:p>
    <w:p w14:paraId="2A015C98" w14:textId="77777777" w:rsidR="00175EC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55">
        <w:proofErr w:type="spellStart"/>
        <w:r>
          <w:t>Deagle</w:t>
        </w:r>
        <w:proofErr w:type="spellEnd"/>
        <w:r>
          <w:t xml:space="preserve">, B. E., Kirkwood, R., &amp; </w:t>
        </w:r>
        <w:proofErr w:type="spellStart"/>
        <w:r>
          <w:t>Jarman</w:t>
        </w:r>
        <w:proofErr w:type="spellEnd"/>
        <w:r>
          <w:t xml:space="preserve">, S. N. (2009). Analysis of Australian fur seal diet by pyrosequencing prey DNA in faeces. </w:t>
        </w:r>
      </w:hyperlink>
      <w:hyperlink r:id="rId56">
        <w:r>
          <w:rPr>
            <w:i/>
          </w:rPr>
          <w:t>Molecular Ecology</w:t>
        </w:r>
      </w:hyperlink>
      <w:hyperlink r:id="rId57">
        <w:r>
          <w:t xml:space="preserve">, </w:t>
        </w:r>
      </w:hyperlink>
      <w:hyperlink r:id="rId58">
        <w:r>
          <w:rPr>
            <w:i/>
          </w:rPr>
          <w:t>18</w:t>
        </w:r>
      </w:hyperlink>
      <w:hyperlink r:id="rId59">
        <w:r>
          <w:t>(9), 2022–2038. doi.org/10.1111/j.1365-294X.</w:t>
        </w:r>
        <w:proofErr w:type="gramStart"/>
        <w:r>
          <w:t>2009.04158.x</w:t>
        </w:r>
        <w:proofErr w:type="gramEnd"/>
      </w:hyperlink>
    </w:p>
    <w:p w14:paraId="1149FEAD" w14:textId="77777777" w:rsidR="00175EC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60">
        <w:r>
          <w:t xml:space="preserve">Hardy, N., Berry, T., </w:t>
        </w:r>
        <w:proofErr w:type="spellStart"/>
        <w:r>
          <w:t>Kelaher</w:t>
        </w:r>
        <w:proofErr w:type="spellEnd"/>
        <w:r>
          <w:t xml:space="preserve">, B. P., Goldsworthy, S. D., Bunce, M., Coleman, M. A., </w:t>
        </w:r>
        <w:proofErr w:type="spellStart"/>
        <w:r>
          <w:t>Gillanders</w:t>
        </w:r>
        <w:proofErr w:type="spellEnd"/>
        <w:r>
          <w:t xml:space="preserve">, B. M., Connell, S. D., Blewitt, M., &amp; </w:t>
        </w:r>
        <w:proofErr w:type="spellStart"/>
        <w:r>
          <w:t>Figueira</w:t>
        </w:r>
        <w:proofErr w:type="spellEnd"/>
        <w:r>
          <w:t xml:space="preserve">, W. (2017). Assessing the trophic ecology of top predators across a recolonisation frontier using DNA metabarcoding of diets. </w:t>
        </w:r>
      </w:hyperlink>
      <w:hyperlink r:id="rId61">
        <w:r>
          <w:rPr>
            <w:i/>
          </w:rPr>
          <w:t>Marine Ecology Progress Series</w:t>
        </w:r>
      </w:hyperlink>
      <w:hyperlink r:id="rId62">
        <w:r>
          <w:t xml:space="preserve">, </w:t>
        </w:r>
      </w:hyperlink>
      <w:hyperlink r:id="rId63">
        <w:r>
          <w:rPr>
            <w:i/>
          </w:rPr>
          <w:t>573</w:t>
        </w:r>
      </w:hyperlink>
      <w:hyperlink r:id="rId64">
        <w:r>
          <w:t>, 237–254. doi.org/10.3354/meps12165</w:t>
        </w:r>
      </w:hyperlink>
    </w:p>
    <w:p w14:paraId="5EBBE2F3" w14:textId="77777777" w:rsidR="00175EC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65">
        <w:proofErr w:type="spellStart"/>
        <w:r>
          <w:t>Huson</w:t>
        </w:r>
        <w:proofErr w:type="spellEnd"/>
        <w:r>
          <w:t xml:space="preserve">, D. H., Auch, A. F., Qi, J., &amp; Schuster, S. C. (2007). MEGAN analysis of metagenomic data. </w:t>
        </w:r>
      </w:hyperlink>
      <w:hyperlink r:id="rId66">
        <w:r>
          <w:rPr>
            <w:i/>
          </w:rPr>
          <w:t>Genome Research</w:t>
        </w:r>
      </w:hyperlink>
      <w:hyperlink r:id="rId67">
        <w:r>
          <w:t xml:space="preserve">, </w:t>
        </w:r>
      </w:hyperlink>
      <w:hyperlink r:id="rId68">
        <w:r>
          <w:rPr>
            <w:i/>
          </w:rPr>
          <w:t>17</w:t>
        </w:r>
      </w:hyperlink>
      <w:hyperlink r:id="rId69">
        <w:r>
          <w:t>(3), 377–386. doi.org/10.1101/gr.5969107</w:t>
        </w:r>
      </w:hyperlink>
    </w:p>
    <w:p w14:paraId="68FE75A4" w14:textId="77777777" w:rsidR="00175EC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</w:pPr>
      <w:hyperlink r:id="rId70">
        <w:r>
          <w:t xml:space="preserve">McIntosh, R. R., Sutherland, D. R., Dann, P., Kirkwood, R., </w:t>
        </w:r>
        <w:proofErr w:type="spellStart"/>
        <w:r>
          <w:t>Thalman</w:t>
        </w:r>
        <w:proofErr w:type="spellEnd"/>
        <w:r>
          <w:t xml:space="preserve">, S., Alderman, R., </w:t>
        </w:r>
        <w:proofErr w:type="spellStart"/>
        <w:r>
          <w:t>Arnould</w:t>
        </w:r>
        <w:proofErr w:type="spellEnd"/>
        <w:r>
          <w:t xml:space="preserve">, J. P., Mitchell, T., Kirkman, S., Salton, M., &amp; Slip, D. (2014). </w:t>
        </w:r>
      </w:hyperlink>
      <w:hyperlink r:id="rId71">
        <w:r>
          <w:rPr>
            <w:i/>
          </w:rPr>
          <w:t>Pup estimates for Australian and New Zealand fur seals in Victoria, Tasmania and New South Wales between 2007 and 2013</w:t>
        </w:r>
      </w:hyperlink>
      <w:hyperlink r:id="rId72">
        <w:r>
          <w:t xml:space="preserve"> (Final Report to The Australian Marine Mammal Centre, Department of Environment, Australian Government, 95pp.)</w:t>
        </w:r>
      </w:hyperlink>
      <w:r>
        <w:t xml:space="preserve"> </w:t>
      </w:r>
    </w:p>
    <w:p w14:paraId="04F40DF7" w14:textId="77777777" w:rsidR="00175EC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</w:pPr>
      <w:r>
        <w:rPr>
          <w:color w:val="000000"/>
        </w:rPr>
        <w:t xml:space="preserve">Page, B., McKenzie, J., &amp; Goldsworthy, S. D. (2005). Dietary resource partitioning among sympatric New Zealand and Australian fur seals. Marine Ecology Progress Series </w:t>
      </w:r>
      <w:r>
        <w:rPr>
          <w:b/>
          <w:color w:val="000000"/>
        </w:rPr>
        <w:t>293</w:t>
      </w:r>
      <w:r>
        <w:rPr>
          <w:color w:val="000000"/>
        </w:rPr>
        <w:t xml:space="preserve">, 283–302. </w:t>
      </w:r>
      <w:hyperlink r:id="rId73">
        <w:r>
          <w:rPr>
            <w:color w:val="000000"/>
            <w:u w:val="single"/>
          </w:rPr>
          <w:t>doi.org/10.3354/meps293283</w:t>
        </w:r>
      </w:hyperlink>
    </w:p>
    <w:p w14:paraId="21C87A19" w14:textId="77777777" w:rsidR="00175EC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74">
        <w:r>
          <w:t xml:space="preserve">Patel, S., Waugh, J., Millar, C. D., &amp; Lambert, D. M. (2010). Conserved primers for DNA barcoding historical and modern samples from New Zealand and Antarctic birds. </w:t>
        </w:r>
      </w:hyperlink>
      <w:hyperlink r:id="rId75">
        <w:r>
          <w:rPr>
            <w:i/>
          </w:rPr>
          <w:t>Molecular Ecology Resources</w:t>
        </w:r>
      </w:hyperlink>
      <w:hyperlink r:id="rId76">
        <w:r>
          <w:t xml:space="preserve">, </w:t>
        </w:r>
      </w:hyperlink>
      <w:hyperlink r:id="rId77">
        <w:r>
          <w:rPr>
            <w:i/>
          </w:rPr>
          <w:t>10</w:t>
        </w:r>
      </w:hyperlink>
      <w:hyperlink r:id="rId78">
        <w:r>
          <w:t>(3), 431–438. doi.org/10.1111/j.1755-0998.</w:t>
        </w:r>
        <w:proofErr w:type="gramStart"/>
        <w:r>
          <w:t>2009.02793.x</w:t>
        </w:r>
        <w:proofErr w:type="gramEnd"/>
      </w:hyperlink>
    </w:p>
    <w:p w14:paraId="2300E1DB" w14:textId="77777777" w:rsidR="00175EC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79">
        <w:r>
          <w:t xml:space="preserve">Redmap. (2019). </w:t>
        </w:r>
      </w:hyperlink>
      <w:hyperlink r:id="rId80">
        <w:r>
          <w:rPr>
            <w:i/>
          </w:rPr>
          <w:t>Range Extension Database &amp; Mapping Project</w:t>
        </w:r>
      </w:hyperlink>
      <w:hyperlink r:id="rId81">
        <w:r>
          <w:t xml:space="preserve">. World Wide Web electronic publication, accessed 01/2019: </w:t>
        </w:r>
      </w:hyperlink>
      <w:hyperlink r:id="rId82">
        <w:r>
          <w:t>www.redmap.org.au</w:t>
        </w:r>
      </w:hyperlink>
      <w:r>
        <w:rPr>
          <w:rFonts w:ascii="Times" w:eastAsia="Times" w:hAnsi="Times" w:cs="Times"/>
        </w:rPr>
        <w:t xml:space="preserve"> </w:t>
      </w:r>
    </w:p>
    <w:p w14:paraId="73E5610D" w14:textId="77777777" w:rsidR="00175EC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83">
        <w:r>
          <w:t xml:space="preserve">Shaughnessy, P. D., Briggs, S. V., &amp; Constable, R. (2001). Observations on Seals at Montague Island, New South Wales. </w:t>
        </w:r>
      </w:hyperlink>
      <w:hyperlink r:id="rId84">
        <w:r>
          <w:rPr>
            <w:i/>
          </w:rPr>
          <w:t>Australian Mammalogy</w:t>
        </w:r>
      </w:hyperlink>
      <w:hyperlink r:id="rId85">
        <w:r>
          <w:t xml:space="preserve">, </w:t>
        </w:r>
      </w:hyperlink>
      <w:hyperlink r:id="rId86">
        <w:r>
          <w:rPr>
            <w:i/>
          </w:rPr>
          <w:t>23</w:t>
        </w:r>
      </w:hyperlink>
      <w:hyperlink r:id="rId87">
        <w:r>
          <w:t>(1), 1–7. doi.org/10.1071/am01001</w:t>
        </w:r>
      </w:hyperlink>
    </w:p>
    <w:p w14:paraId="41C92F67" w14:textId="77777777" w:rsidR="00175EC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88">
        <w:r>
          <w:t xml:space="preserve">Sutherland, D. R., &amp; Dann, P. (2014). Population trends in a substantial colony of Little Penguins: Three independent measures over three decades. </w:t>
        </w:r>
      </w:hyperlink>
      <w:hyperlink r:id="rId89">
        <w:r>
          <w:rPr>
            <w:i/>
          </w:rPr>
          <w:t>Biodiversity and Conservation</w:t>
        </w:r>
      </w:hyperlink>
      <w:hyperlink r:id="rId90">
        <w:r>
          <w:t xml:space="preserve">, </w:t>
        </w:r>
      </w:hyperlink>
      <w:hyperlink r:id="rId91">
        <w:r>
          <w:rPr>
            <w:i/>
          </w:rPr>
          <w:t>23</w:t>
        </w:r>
      </w:hyperlink>
      <w:hyperlink r:id="rId92">
        <w:r>
          <w:t>(1), 241–250. doi.org/10.1007/s10531-013-0597-y</w:t>
        </w:r>
      </w:hyperlink>
    </w:p>
    <w:p w14:paraId="5E2C49AC" w14:textId="77777777" w:rsidR="00175EC2" w:rsidRDefault="00175EC2">
      <w:pPr>
        <w:spacing w:line="480" w:lineRule="auto"/>
        <w:ind w:left="720" w:hanging="720"/>
      </w:pPr>
    </w:p>
    <w:sectPr w:rsidR="00175EC2">
      <w:type w:val="continuous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36C6B" w14:textId="77777777" w:rsidR="00D62611" w:rsidRDefault="00D62611">
      <w:r>
        <w:separator/>
      </w:r>
    </w:p>
  </w:endnote>
  <w:endnote w:type="continuationSeparator" w:id="0">
    <w:p w14:paraId="11C50D50" w14:textId="77777777" w:rsidR="00D62611" w:rsidRDefault="00D62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5BBE0" w14:textId="77777777" w:rsidR="00175EC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5D176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14691" w14:textId="77777777" w:rsidR="00D62611" w:rsidRDefault="00D62611">
      <w:r>
        <w:separator/>
      </w:r>
    </w:p>
  </w:footnote>
  <w:footnote w:type="continuationSeparator" w:id="0">
    <w:p w14:paraId="5C7623DD" w14:textId="77777777" w:rsidR="00D62611" w:rsidRDefault="00D626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0CF74" w14:textId="77777777" w:rsidR="00175EC2" w:rsidRDefault="00175E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EC2"/>
    <w:rsid w:val="00175EC2"/>
    <w:rsid w:val="004B3F2A"/>
    <w:rsid w:val="004E0BDD"/>
    <w:rsid w:val="005D1765"/>
    <w:rsid w:val="00A7010A"/>
    <w:rsid w:val="00B2587F"/>
    <w:rsid w:val="00B46FA7"/>
    <w:rsid w:val="00D6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D5E56"/>
  <w15:docId w15:val="{A0EA1F71-62DF-904C-9CB5-A0235224C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line="480" w:lineRule="auto"/>
      <w:outlineLvl w:val="1"/>
    </w:pPr>
    <w:rPr>
      <w:rFonts w:ascii="Times" w:eastAsia="Times" w:hAnsi="Times" w:cs="Times"/>
      <w:b/>
      <w:color w:val="00000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line="480" w:lineRule="auto"/>
      <w:outlineLvl w:val="2"/>
    </w:pPr>
    <w:rPr>
      <w:rFonts w:ascii="Times" w:eastAsia="Times" w:hAnsi="Times" w:cs="Times"/>
      <w:i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F64DA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79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795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4611"/>
    <w:rPr>
      <w:color w:val="0000FF" w:themeColor="hyperlink"/>
      <w:u w:val="single"/>
    </w:r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.png"/><Relationship Id="rId21" Type="http://schemas.openxmlformats.org/officeDocument/2006/relationships/hyperlink" Target="https://www.zotero.org/google-docs/?lPTfxM" TargetMode="External"/><Relationship Id="rId42" Type="http://schemas.openxmlformats.org/officeDocument/2006/relationships/hyperlink" Target="https://www.zotero.org/google-docs/?KBzpyp" TargetMode="External"/><Relationship Id="rId47" Type="http://schemas.openxmlformats.org/officeDocument/2006/relationships/hyperlink" Target="https://www.zotero.org/google-docs/?KBzpyp" TargetMode="External"/><Relationship Id="rId63" Type="http://schemas.openxmlformats.org/officeDocument/2006/relationships/hyperlink" Target="https://www.zotero.org/google-docs/?KBzpyp" TargetMode="External"/><Relationship Id="rId68" Type="http://schemas.openxmlformats.org/officeDocument/2006/relationships/hyperlink" Target="https://www.zotero.org/google-docs/?KBzpyp" TargetMode="External"/><Relationship Id="rId84" Type="http://schemas.openxmlformats.org/officeDocument/2006/relationships/hyperlink" Target="https://www.zotero.org/google-docs/?KBzpyp" TargetMode="External"/><Relationship Id="rId89" Type="http://schemas.openxmlformats.org/officeDocument/2006/relationships/hyperlink" Target="https://www.zotero.org/google-docs/?KBzpyp" TargetMode="External"/><Relationship Id="rId16" Type="http://schemas.openxmlformats.org/officeDocument/2006/relationships/hyperlink" Target="https://www.zotero.org/google-docs/?zj6V7O" TargetMode="External"/><Relationship Id="rId11" Type="http://schemas.openxmlformats.org/officeDocument/2006/relationships/hyperlink" Target="https://www.zotero.org/google-docs/?3e5AQ8" TargetMode="External"/><Relationship Id="rId32" Type="http://schemas.openxmlformats.org/officeDocument/2006/relationships/hyperlink" Target="https://www.zotero.org/google-docs/?KBzpyp" TargetMode="External"/><Relationship Id="rId37" Type="http://schemas.openxmlformats.org/officeDocument/2006/relationships/hyperlink" Target="https://www.zotero.org/google-docs/?KBzpyp" TargetMode="External"/><Relationship Id="rId53" Type="http://schemas.openxmlformats.org/officeDocument/2006/relationships/hyperlink" Target="https://www.zotero.org/google-docs/?KBzpyp" TargetMode="External"/><Relationship Id="rId58" Type="http://schemas.openxmlformats.org/officeDocument/2006/relationships/hyperlink" Target="https://www.zotero.org/google-docs/?KBzpyp" TargetMode="External"/><Relationship Id="rId74" Type="http://schemas.openxmlformats.org/officeDocument/2006/relationships/hyperlink" Target="https://www.zotero.org/google-docs/?KBzpyp" TargetMode="External"/><Relationship Id="rId79" Type="http://schemas.openxmlformats.org/officeDocument/2006/relationships/hyperlink" Target="https://www.zotero.org/google-docs/?KBzpyp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zotero.org/google-docs/?KBzpyp" TargetMode="External"/><Relationship Id="rId22" Type="http://schemas.openxmlformats.org/officeDocument/2006/relationships/hyperlink" Target="https://www.zotero.org/google-docs/?ujGeUY" TargetMode="External"/><Relationship Id="rId27" Type="http://schemas.openxmlformats.org/officeDocument/2006/relationships/image" Target="media/image3.png"/><Relationship Id="rId43" Type="http://schemas.openxmlformats.org/officeDocument/2006/relationships/hyperlink" Target="https://www.zotero.org/google-docs/?KBzpyp" TargetMode="External"/><Relationship Id="rId48" Type="http://schemas.openxmlformats.org/officeDocument/2006/relationships/hyperlink" Target="https://www.zotero.org/google-docs/?KBzpyp" TargetMode="External"/><Relationship Id="rId64" Type="http://schemas.openxmlformats.org/officeDocument/2006/relationships/hyperlink" Target="https://www.zotero.org/google-docs/?KBzpyp" TargetMode="External"/><Relationship Id="rId69" Type="http://schemas.openxmlformats.org/officeDocument/2006/relationships/hyperlink" Target="https://www.zotero.org/google-docs/?KBzpyp" TargetMode="External"/><Relationship Id="rId8" Type="http://schemas.openxmlformats.org/officeDocument/2006/relationships/hyperlink" Target="https://www.zotero.org/google-docs/?5lHpvH" TargetMode="External"/><Relationship Id="rId51" Type="http://schemas.openxmlformats.org/officeDocument/2006/relationships/hyperlink" Target="https://www.zotero.org/google-docs/?KBzpyp" TargetMode="External"/><Relationship Id="rId72" Type="http://schemas.openxmlformats.org/officeDocument/2006/relationships/hyperlink" Target="https://www.zotero.org/google-docs/?KBzpyp" TargetMode="External"/><Relationship Id="rId80" Type="http://schemas.openxmlformats.org/officeDocument/2006/relationships/hyperlink" Target="https://www.zotero.org/google-docs/?KBzpyp" TargetMode="External"/><Relationship Id="rId85" Type="http://schemas.openxmlformats.org/officeDocument/2006/relationships/hyperlink" Target="https://www.zotero.org/google-docs/?KBzpyp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zotero.org/google-docs/?m18GNS" TargetMode="External"/><Relationship Id="rId17" Type="http://schemas.openxmlformats.org/officeDocument/2006/relationships/hyperlink" Target="https://www.zotero.org/google-docs/?O0ZYt0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s://www.zotero.org/google-docs/?KBzpyp" TargetMode="External"/><Relationship Id="rId38" Type="http://schemas.openxmlformats.org/officeDocument/2006/relationships/hyperlink" Target="https://www.zotero.org/google-docs/?KBzpyp" TargetMode="External"/><Relationship Id="rId46" Type="http://schemas.openxmlformats.org/officeDocument/2006/relationships/hyperlink" Target="https://www.zotero.org/google-docs/?KBzpyp" TargetMode="External"/><Relationship Id="rId59" Type="http://schemas.openxmlformats.org/officeDocument/2006/relationships/hyperlink" Target="https://www.zotero.org/google-docs/?KBzpyp" TargetMode="External"/><Relationship Id="rId67" Type="http://schemas.openxmlformats.org/officeDocument/2006/relationships/hyperlink" Target="https://www.zotero.org/google-docs/?KBzpyp" TargetMode="External"/><Relationship Id="rId20" Type="http://schemas.openxmlformats.org/officeDocument/2006/relationships/hyperlink" Target="https://www.zotero.org/google-docs/?aFx4Ts" TargetMode="External"/><Relationship Id="rId41" Type="http://schemas.openxmlformats.org/officeDocument/2006/relationships/hyperlink" Target="https://www.zotero.org/google-docs/?KBzpyp" TargetMode="External"/><Relationship Id="rId54" Type="http://schemas.openxmlformats.org/officeDocument/2006/relationships/hyperlink" Target="https://www.zotero.org/google-docs/?KBzpyp" TargetMode="External"/><Relationship Id="rId62" Type="http://schemas.openxmlformats.org/officeDocument/2006/relationships/hyperlink" Target="https://www.zotero.org/google-docs/?KBzpyp" TargetMode="External"/><Relationship Id="rId70" Type="http://schemas.openxmlformats.org/officeDocument/2006/relationships/hyperlink" Target="https://www.zotero.org/google-docs/?KBzpyp" TargetMode="External"/><Relationship Id="rId75" Type="http://schemas.openxmlformats.org/officeDocument/2006/relationships/hyperlink" Target="https://www.zotero.org/google-docs/?KBzpyp" TargetMode="External"/><Relationship Id="rId83" Type="http://schemas.openxmlformats.org/officeDocument/2006/relationships/hyperlink" Target="https://www.zotero.org/google-docs/?KBzpyp" TargetMode="External"/><Relationship Id="rId88" Type="http://schemas.openxmlformats.org/officeDocument/2006/relationships/hyperlink" Target="https://www.zotero.org/google-docs/?KBzpyp" TargetMode="External"/><Relationship Id="rId91" Type="http://schemas.openxmlformats.org/officeDocument/2006/relationships/hyperlink" Target="https://www.zotero.org/google-docs/?KBzpyp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s://www.zotero.org/google-docs/?0qzMhy" TargetMode="External"/><Relationship Id="rId23" Type="http://schemas.openxmlformats.org/officeDocument/2006/relationships/header" Target="header1.xml"/><Relationship Id="rId28" Type="http://schemas.openxmlformats.org/officeDocument/2006/relationships/hyperlink" Target="https://www.zotero.org/google-docs/?KBzpyp" TargetMode="External"/><Relationship Id="rId36" Type="http://schemas.openxmlformats.org/officeDocument/2006/relationships/hyperlink" Target="https://www.zotero.org/google-docs/?KBzpyp" TargetMode="External"/><Relationship Id="rId49" Type="http://schemas.openxmlformats.org/officeDocument/2006/relationships/hyperlink" Target="https://www.zotero.org/google-docs/?KBzpyp" TargetMode="External"/><Relationship Id="rId57" Type="http://schemas.openxmlformats.org/officeDocument/2006/relationships/hyperlink" Target="https://www.zotero.org/google-docs/?KBzpyp" TargetMode="External"/><Relationship Id="rId10" Type="http://schemas.openxmlformats.org/officeDocument/2006/relationships/hyperlink" Target="https://www.zotero.org/google-docs/?HlG32e" TargetMode="External"/><Relationship Id="rId31" Type="http://schemas.openxmlformats.org/officeDocument/2006/relationships/hyperlink" Target="https://www.zotero.org/google-docs/?KBzpyp" TargetMode="External"/><Relationship Id="rId44" Type="http://schemas.openxmlformats.org/officeDocument/2006/relationships/hyperlink" Target="https://www.zotero.org/google-docs/?KBzpyp" TargetMode="External"/><Relationship Id="rId52" Type="http://schemas.openxmlformats.org/officeDocument/2006/relationships/hyperlink" Target="https://www.zotero.org/google-docs/?KBzpyp" TargetMode="External"/><Relationship Id="rId60" Type="http://schemas.openxmlformats.org/officeDocument/2006/relationships/hyperlink" Target="https://www.zotero.org/google-docs/?KBzpyp" TargetMode="External"/><Relationship Id="rId65" Type="http://schemas.openxmlformats.org/officeDocument/2006/relationships/hyperlink" Target="https://www.zotero.org/google-docs/?KBzpyp" TargetMode="External"/><Relationship Id="rId73" Type="http://schemas.openxmlformats.org/officeDocument/2006/relationships/hyperlink" Target="https://doi.org/10.3354/meps293283" TargetMode="External"/><Relationship Id="rId78" Type="http://schemas.openxmlformats.org/officeDocument/2006/relationships/hyperlink" Target="https://www.zotero.org/google-docs/?KBzpyp" TargetMode="External"/><Relationship Id="rId81" Type="http://schemas.openxmlformats.org/officeDocument/2006/relationships/hyperlink" Target="https://www.zotero.org/google-docs/?KBzpyp" TargetMode="External"/><Relationship Id="rId86" Type="http://schemas.openxmlformats.org/officeDocument/2006/relationships/hyperlink" Target="https://www.zotero.org/google-docs/?KBzpyp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zotero.org/google-docs/?Rgkcns" TargetMode="External"/><Relationship Id="rId13" Type="http://schemas.openxmlformats.org/officeDocument/2006/relationships/hyperlink" Target="https://www.zotero.org/google-docs/?0wHblZ" TargetMode="External"/><Relationship Id="rId18" Type="http://schemas.openxmlformats.org/officeDocument/2006/relationships/hyperlink" Target="https://www.zotero.org/google-docs/?K0QSwc" TargetMode="External"/><Relationship Id="rId39" Type="http://schemas.openxmlformats.org/officeDocument/2006/relationships/hyperlink" Target="https://www.zotero.org/google-docs/?KBzpyp" TargetMode="External"/><Relationship Id="rId34" Type="http://schemas.openxmlformats.org/officeDocument/2006/relationships/hyperlink" Target="https://www.zotero.org/google-docs/?KBzpyp" TargetMode="External"/><Relationship Id="rId50" Type="http://schemas.openxmlformats.org/officeDocument/2006/relationships/hyperlink" Target="https://www.zotero.org/google-docs/?KBzpyp" TargetMode="External"/><Relationship Id="rId55" Type="http://schemas.openxmlformats.org/officeDocument/2006/relationships/hyperlink" Target="https://www.zotero.org/google-docs/?KBzpyp" TargetMode="External"/><Relationship Id="rId76" Type="http://schemas.openxmlformats.org/officeDocument/2006/relationships/hyperlink" Target="https://www.zotero.org/google-docs/?KBzpyp" TargetMode="External"/><Relationship Id="rId7" Type="http://schemas.openxmlformats.org/officeDocument/2006/relationships/hyperlink" Target="https://www.zotero.org/google-docs/?QBhosL" TargetMode="External"/><Relationship Id="rId71" Type="http://schemas.openxmlformats.org/officeDocument/2006/relationships/hyperlink" Target="https://www.zotero.org/google-docs/?KBzpyp" TargetMode="External"/><Relationship Id="rId92" Type="http://schemas.openxmlformats.org/officeDocument/2006/relationships/hyperlink" Target="https://www.zotero.org/google-docs/?KBzpyp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zotero.org/google-docs/?KBzpyp" TargetMode="External"/><Relationship Id="rId24" Type="http://schemas.openxmlformats.org/officeDocument/2006/relationships/footer" Target="footer1.xml"/><Relationship Id="rId40" Type="http://schemas.openxmlformats.org/officeDocument/2006/relationships/hyperlink" Target="https://www.zotero.org/google-docs/?KBzpyp" TargetMode="External"/><Relationship Id="rId45" Type="http://schemas.openxmlformats.org/officeDocument/2006/relationships/hyperlink" Target="https://www.zotero.org/google-docs/?KBzpyp" TargetMode="External"/><Relationship Id="rId66" Type="http://schemas.openxmlformats.org/officeDocument/2006/relationships/hyperlink" Target="https://www.zotero.org/google-docs/?KBzpyp" TargetMode="External"/><Relationship Id="rId87" Type="http://schemas.openxmlformats.org/officeDocument/2006/relationships/hyperlink" Target="https://www.zotero.org/google-docs/?KBzpyp" TargetMode="External"/><Relationship Id="rId61" Type="http://schemas.openxmlformats.org/officeDocument/2006/relationships/hyperlink" Target="https://www.zotero.org/google-docs/?KBzpyp" TargetMode="External"/><Relationship Id="rId82" Type="http://schemas.openxmlformats.org/officeDocument/2006/relationships/hyperlink" Target="http://www.redmap.org.au" TargetMode="External"/><Relationship Id="rId19" Type="http://schemas.openxmlformats.org/officeDocument/2006/relationships/hyperlink" Target="https://www.zotero.org/google-docs/?gWKhfo" TargetMode="External"/><Relationship Id="rId14" Type="http://schemas.openxmlformats.org/officeDocument/2006/relationships/hyperlink" Target="https://www.zotero.org/google-docs/?yzxh9M" TargetMode="External"/><Relationship Id="rId30" Type="http://schemas.openxmlformats.org/officeDocument/2006/relationships/hyperlink" Target="https://www.zotero.org/google-docs/?KBzpyp" TargetMode="External"/><Relationship Id="rId35" Type="http://schemas.openxmlformats.org/officeDocument/2006/relationships/hyperlink" Target="https://www.zotero.org/google-docs/?KBzpyp" TargetMode="External"/><Relationship Id="rId56" Type="http://schemas.openxmlformats.org/officeDocument/2006/relationships/hyperlink" Target="https://www.zotero.org/google-docs/?KBzpyp" TargetMode="External"/><Relationship Id="rId77" Type="http://schemas.openxmlformats.org/officeDocument/2006/relationships/hyperlink" Target="https://www.zotero.org/google-docs/?KBzpy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KzQBem2sTdTmdWCcO1kCW/vmg==">CgMxLjAyCGguZ2pkZ3hzMgloLjMwajB6bGwyDmguZWdwbzlvbHBxNmk0Mg5oLmZ4NnU5aHNnZTJwdTIJaC4xZm9iOXRlMgloLjN6bnlzaDcyDWgucm5kc2c4cXdqejkyCWguMmV0OTJwMDIIaC50eWpjd3QyCWguM2R5NnZrbTIJaC4xdDNoNXNmMg5oLjZpaXFtb3R6em9zZDgAciExaU5FRFI5S2xqMzVPZm1KVGFFdXdTaHNtaXBwMW5Xbkw=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16</Pages>
  <Words>3067</Words>
  <Characters>17488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Natasha Hardy</cp:lastModifiedBy>
  <cp:revision>4</cp:revision>
  <dcterms:created xsi:type="dcterms:W3CDTF">2021-04-28T22:57:00Z</dcterms:created>
  <dcterms:modified xsi:type="dcterms:W3CDTF">2023-09-04T18:08:00Z</dcterms:modified>
</cp:coreProperties>
</file>