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4C03" w:rsidRDefault="00564C03">
      <w:pPr>
        <w:spacing w:line="480" w:lineRule="auto"/>
        <w:jc w:val="center"/>
        <w:rPr>
          <w:rFonts w:ascii="Times New Roman" w:eastAsia="Times New Roman" w:hAnsi="Times New Roman" w:cs="Times New Roman"/>
          <w:b/>
          <w:sz w:val="28"/>
          <w:szCs w:val="28"/>
        </w:rPr>
      </w:pPr>
    </w:p>
    <w:p w14:paraId="00000002" w14:textId="77777777" w:rsidR="00564C03" w:rsidRDefault="00564C03">
      <w:pPr>
        <w:spacing w:line="480" w:lineRule="auto"/>
        <w:jc w:val="center"/>
        <w:rPr>
          <w:rFonts w:ascii="Times New Roman" w:eastAsia="Times New Roman" w:hAnsi="Times New Roman" w:cs="Times New Roman"/>
          <w:b/>
          <w:sz w:val="28"/>
          <w:szCs w:val="28"/>
        </w:rPr>
      </w:pPr>
    </w:p>
    <w:p w14:paraId="00000003" w14:textId="77777777" w:rsidR="00564C03" w:rsidRDefault="00564C03">
      <w:pPr>
        <w:spacing w:line="480" w:lineRule="auto"/>
        <w:jc w:val="center"/>
        <w:rPr>
          <w:rFonts w:ascii="Times New Roman" w:eastAsia="Times New Roman" w:hAnsi="Times New Roman" w:cs="Times New Roman"/>
          <w:b/>
          <w:sz w:val="28"/>
          <w:szCs w:val="28"/>
        </w:rPr>
      </w:pPr>
    </w:p>
    <w:p w14:paraId="00000004" w14:textId="77777777" w:rsidR="00564C03" w:rsidRDefault="00564C03">
      <w:pPr>
        <w:spacing w:line="480" w:lineRule="auto"/>
        <w:jc w:val="center"/>
        <w:rPr>
          <w:rFonts w:ascii="Times New Roman" w:eastAsia="Times New Roman" w:hAnsi="Times New Roman" w:cs="Times New Roman"/>
          <w:b/>
          <w:sz w:val="28"/>
          <w:szCs w:val="28"/>
        </w:rPr>
      </w:pPr>
    </w:p>
    <w:p w14:paraId="00000005" w14:textId="77777777" w:rsidR="00564C03" w:rsidRDefault="00564C03">
      <w:pPr>
        <w:spacing w:line="480" w:lineRule="auto"/>
        <w:rPr>
          <w:rFonts w:ascii="Times New Roman" w:eastAsia="Times New Roman" w:hAnsi="Times New Roman" w:cs="Times New Roman"/>
          <w:b/>
          <w:sz w:val="28"/>
          <w:szCs w:val="28"/>
        </w:rPr>
      </w:pPr>
    </w:p>
    <w:p w14:paraId="00000006" w14:textId="77777777" w:rsidR="00564C03" w:rsidRDefault="00564C03">
      <w:pPr>
        <w:spacing w:line="480" w:lineRule="auto"/>
        <w:jc w:val="center"/>
        <w:rPr>
          <w:rFonts w:ascii="Times New Roman" w:eastAsia="Times New Roman" w:hAnsi="Times New Roman" w:cs="Times New Roman"/>
          <w:b/>
          <w:sz w:val="28"/>
          <w:szCs w:val="28"/>
        </w:rPr>
      </w:pPr>
    </w:p>
    <w:p w14:paraId="7E67CB3E" w14:textId="77777777" w:rsidR="00DA5329" w:rsidRDefault="00DA5329">
      <w:pPr>
        <w:spacing w:line="240" w:lineRule="auto"/>
        <w:jc w:val="center"/>
        <w:rPr>
          <w:rFonts w:ascii="Times New Roman" w:eastAsia="Times New Roman" w:hAnsi="Times New Roman" w:cs="Times New Roman"/>
          <w:b/>
          <w:sz w:val="28"/>
          <w:szCs w:val="28"/>
        </w:rPr>
      </w:pPr>
    </w:p>
    <w:p w14:paraId="00000007" w14:textId="190C0D52" w:rsidR="00564C03" w:rsidRDefault="00A45ED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Copyright and the Fair Use Defense:</w:t>
      </w:r>
    </w:p>
    <w:p w14:paraId="00000008" w14:textId="77777777" w:rsidR="00564C03" w:rsidRDefault="00A45ED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Transformation of Transformative Works and the Digital Age</w:t>
      </w:r>
    </w:p>
    <w:p w14:paraId="00000009" w14:textId="77777777" w:rsidR="00564C03" w:rsidRDefault="00A45ED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 Natasha LaChac</w:t>
      </w:r>
    </w:p>
    <w:p w14:paraId="0000000A" w14:textId="77777777" w:rsidR="00564C03" w:rsidRDefault="00A45ED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Communication Law, Spring 2021 - Professor Watson</w:t>
      </w:r>
      <w:r>
        <w:br w:type="page"/>
      </w:r>
    </w:p>
    <w:p w14:paraId="684F20A4" w14:textId="77777777" w:rsidR="00923F4C" w:rsidRPr="00923F4C" w:rsidRDefault="00923F4C" w:rsidP="00923F4C">
      <w:pPr>
        <w:spacing w:line="480" w:lineRule="auto"/>
        <w:jc w:val="center"/>
        <w:rPr>
          <w:rFonts w:ascii="Times New Roman" w:eastAsia="Times New Roman" w:hAnsi="Times New Roman" w:cs="Times New Roman"/>
          <w:sz w:val="24"/>
          <w:szCs w:val="24"/>
          <w:lang w:val="en-US"/>
        </w:rPr>
      </w:pPr>
      <w:r w:rsidRPr="00923F4C">
        <w:rPr>
          <w:rFonts w:ascii="Times New Roman" w:eastAsia="Times New Roman" w:hAnsi="Times New Roman" w:cs="Times New Roman"/>
          <w:b/>
          <w:bCs/>
          <w:color w:val="000000"/>
          <w:sz w:val="24"/>
          <w:szCs w:val="24"/>
          <w:lang w:val="en-US"/>
        </w:rPr>
        <w:lastRenderedPageBreak/>
        <w:t>Introduction</w:t>
      </w:r>
    </w:p>
    <w:p w14:paraId="3EA41835" w14:textId="4200DAA3" w:rsidR="00923F4C" w:rsidRPr="00923F4C" w:rsidRDefault="00923F4C" w:rsidP="002342AA">
      <w:pPr>
        <w:spacing w:line="480" w:lineRule="auto"/>
        <w:ind w:firstLine="720"/>
        <w:rPr>
          <w:rFonts w:ascii="Times New Roman" w:eastAsia="Times New Roman" w:hAnsi="Times New Roman" w:cs="Times New Roman"/>
          <w:sz w:val="24"/>
          <w:szCs w:val="24"/>
          <w:lang w:val="en-US"/>
        </w:rPr>
      </w:pPr>
      <w:r w:rsidRPr="00923F4C">
        <w:rPr>
          <w:rFonts w:ascii="Times New Roman" w:eastAsia="Times New Roman" w:hAnsi="Times New Roman" w:cs="Times New Roman"/>
          <w:color w:val="000000"/>
          <w:sz w:val="24"/>
          <w:szCs w:val="24"/>
          <w:lang w:val="en-US"/>
        </w:rPr>
        <w:t>In 2009, the Associated Press sued artist Shepard Fairey for copyright infringement. Fairey had taken a photograph shot by an Associated Press reporter and edited it into the now-iconic Obama “Hope” poster.</w:t>
      </w:r>
      <w:r w:rsidR="00051E81">
        <w:rPr>
          <w:rStyle w:val="FootnoteReference"/>
          <w:rFonts w:ascii="Times New Roman" w:eastAsia="Times New Roman" w:hAnsi="Times New Roman" w:cs="Times New Roman"/>
          <w:color w:val="000000"/>
          <w:sz w:val="24"/>
          <w:szCs w:val="24"/>
          <w:lang w:val="en-US"/>
        </w:rPr>
        <w:footnoteReference w:id="1"/>
      </w:r>
      <w:r w:rsidRPr="00923F4C">
        <w:rPr>
          <w:rFonts w:ascii="Times New Roman" w:eastAsia="Times New Roman" w:hAnsi="Times New Roman" w:cs="Times New Roman"/>
          <w:color w:val="000000"/>
          <w:sz w:val="24"/>
          <w:szCs w:val="24"/>
          <w:lang w:val="en-US"/>
        </w:rPr>
        <w:t xml:space="preserve"> The Associated Press held that the power violated copyright and that the work could not be transformative if it was essentially a “form of computerized paint by the numbers;”</w:t>
      </w:r>
      <w:r w:rsidR="00051E81">
        <w:rPr>
          <w:rStyle w:val="FootnoteReference"/>
          <w:rFonts w:ascii="Times New Roman" w:eastAsia="Times New Roman" w:hAnsi="Times New Roman" w:cs="Times New Roman"/>
          <w:color w:val="000000"/>
          <w:sz w:val="24"/>
          <w:szCs w:val="24"/>
          <w:lang w:val="en-US"/>
        </w:rPr>
        <w:footnoteReference w:id="2"/>
      </w:r>
      <w:r w:rsidRPr="00923F4C">
        <w:rPr>
          <w:rFonts w:ascii="Times New Roman" w:eastAsia="Times New Roman" w:hAnsi="Times New Roman" w:cs="Times New Roman"/>
          <w:color w:val="000000"/>
          <w:sz w:val="24"/>
          <w:szCs w:val="24"/>
          <w:lang w:val="en-US"/>
        </w:rPr>
        <w:t xml:space="preserve"> Fairey maintained that he had transformed the original photograph and was protected by fair use. After two years, the Associated Press and Fairey settled the lawsuit, in a move that experts </w:t>
      </w:r>
      <w:r w:rsidR="0015069D" w:rsidRPr="00923F4C">
        <w:rPr>
          <w:rFonts w:ascii="Times New Roman" w:eastAsia="Times New Roman" w:hAnsi="Times New Roman" w:cs="Times New Roman"/>
          <w:color w:val="000000"/>
          <w:sz w:val="24"/>
          <w:szCs w:val="24"/>
          <w:lang w:val="en-US"/>
        </w:rPr>
        <w:t>claimed,</w:t>
      </w:r>
      <w:r w:rsidRPr="00923F4C">
        <w:rPr>
          <w:rFonts w:ascii="Times New Roman" w:eastAsia="Times New Roman" w:hAnsi="Times New Roman" w:cs="Times New Roman"/>
          <w:color w:val="000000"/>
          <w:sz w:val="24"/>
          <w:szCs w:val="24"/>
          <w:lang w:val="en-US"/>
        </w:rPr>
        <w:t xml:space="preserve"> “was the right move for both sides.”</w:t>
      </w:r>
      <w:r w:rsidR="00051E81">
        <w:rPr>
          <w:rStyle w:val="FootnoteReference"/>
          <w:rFonts w:ascii="Times New Roman" w:eastAsia="Times New Roman" w:hAnsi="Times New Roman" w:cs="Times New Roman"/>
          <w:color w:val="000000"/>
          <w:sz w:val="24"/>
          <w:szCs w:val="24"/>
          <w:lang w:val="en-US"/>
        </w:rPr>
        <w:footnoteReference w:id="3"/>
      </w:r>
      <w:r w:rsidRPr="00923F4C">
        <w:rPr>
          <w:rFonts w:ascii="Times New Roman" w:eastAsia="Times New Roman" w:hAnsi="Times New Roman" w:cs="Times New Roman"/>
          <w:color w:val="000000"/>
          <w:sz w:val="24"/>
          <w:szCs w:val="24"/>
          <w:lang w:val="en-US"/>
        </w:rPr>
        <w:t xml:space="preserve"> The lawsuit, had it not been settled, would have set new precedent for copyright law and the fair use doctrine. Fair use is a contentious and subjective issue and precedents in this area of law are influential, and in an age of digital media the law gets more complicated. In the changing landscape, it often seems safer to settle than risk setting new precedent that will influence what a transformative work is for decades, as seen in the Hope poster case.</w:t>
      </w:r>
      <w:r w:rsidR="00DA5329">
        <w:rPr>
          <w:rFonts w:ascii="Times New Roman" w:eastAsia="Times New Roman" w:hAnsi="Times New Roman" w:cs="Times New Roman"/>
          <w:color w:val="000000"/>
          <w:sz w:val="24"/>
          <w:szCs w:val="24"/>
          <w:lang w:val="en-US"/>
        </w:rPr>
        <w:t xml:space="preserve"> There is a reluctance on the side of companies and digital creators to resolve these issues in court, as the consequences of those decisions may create limitations for the innovations of digital technologies.</w:t>
      </w:r>
    </w:p>
    <w:p w14:paraId="384180EC" w14:textId="232F6A48" w:rsidR="00923F4C" w:rsidRPr="00923F4C" w:rsidRDefault="00923F4C" w:rsidP="00923F4C">
      <w:pPr>
        <w:spacing w:line="480" w:lineRule="auto"/>
        <w:ind w:firstLine="720"/>
        <w:rPr>
          <w:rFonts w:ascii="Times New Roman" w:eastAsia="Times New Roman" w:hAnsi="Times New Roman" w:cs="Times New Roman"/>
          <w:sz w:val="24"/>
          <w:szCs w:val="24"/>
          <w:lang w:val="en-US"/>
        </w:rPr>
      </w:pPr>
      <w:r w:rsidRPr="00923F4C">
        <w:rPr>
          <w:rFonts w:ascii="Times New Roman" w:eastAsia="Times New Roman" w:hAnsi="Times New Roman" w:cs="Times New Roman"/>
          <w:color w:val="000000"/>
          <w:sz w:val="24"/>
          <w:szCs w:val="24"/>
          <w:lang w:val="en-US"/>
        </w:rPr>
        <w:t xml:space="preserve">The purpose of this paper is to examine copyright law and the applications of the fair use defense. This study will examine typical fair use defense as well as their applications for digital media and will discuss the implications for the future evolution of the fair use defense. The first section of the paper is the Literature Review, and it will examine what scholars consider to be applicable uses of the fair use doctrine and what qualifies as a derivative work. This section will </w:t>
      </w:r>
      <w:r w:rsidRPr="00923F4C">
        <w:rPr>
          <w:rFonts w:ascii="Times New Roman" w:eastAsia="Times New Roman" w:hAnsi="Times New Roman" w:cs="Times New Roman"/>
          <w:color w:val="000000"/>
          <w:sz w:val="24"/>
          <w:szCs w:val="24"/>
          <w:lang w:val="en-US"/>
        </w:rPr>
        <w:lastRenderedPageBreak/>
        <w:t>examine historical and current United States copyright legislation. It will explore judicial decisions which set the precedent for what is considered fair use. This section will also define transformative use and discuss the cases which shaped this definition.</w:t>
      </w:r>
      <w:r w:rsidR="00BA797D">
        <w:rPr>
          <w:rFonts w:ascii="Times New Roman" w:eastAsia="Times New Roman" w:hAnsi="Times New Roman" w:cs="Times New Roman"/>
          <w:color w:val="000000"/>
          <w:sz w:val="24"/>
          <w:szCs w:val="24"/>
          <w:lang w:val="en-US"/>
        </w:rPr>
        <w:t xml:space="preserve"> It</w:t>
      </w:r>
      <w:r w:rsidR="0015069D">
        <w:rPr>
          <w:rFonts w:ascii="Times New Roman" w:eastAsia="Times New Roman" w:hAnsi="Times New Roman" w:cs="Times New Roman"/>
          <w:color w:val="000000"/>
          <w:sz w:val="24"/>
          <w:szCs w:val="24"/>
          <w:lang w:val="en-US"/>
        </w:rPr>
        <w:t xml:space="preserve"> will discuss</w:t>
      </w:r>
      <w:r w:rsidRPr="00923F4C">
        <w:rPr>
          <w:rFonts w:ascii="Times New Roman" w:eastAsia="Times New Roman" w:hAnsi="Times New Roman" w:cs="Times New Roman"/>
          <w:color w:val="000000"/>
          <w:sz w:val="24"/>
          <w:szCs w:val="24"/>
          <w:lang w:val="en-US"/>
        </w:rPr>
        <w:t xml:space="preserve"> the expansion of the fair use doctrine and the changing landscape of fair use in a digital age</w:t>
      </w:r>
      <w:r w:rsidR="0015069D">
        <w:rPr>
          <w:rFonts w:ascii="Times New Roman" w:eastAsia="Times New Roman" w:hAnsi="Times New Roman" w:cs="Times New Roman"/>
          <w:color w:val="000000"/>
          <w:sz w:val="24"/>
          <w:szCs w:val="24"/>
          <w:lang w:val="en-US"/>
        </w:rPr>
        <w:t>. It will speak to the evolution of precedent to manage emerging technologies</w:t>
      </w:r>
      <w:r w:rsidRPr="00923F4C">
        <w:rPr>
          <w:rFonts w:ascii="Times New Roman" w:eastAsia="Times New Roman" w:hAnsi="Times New Roman" w:cs="Times New Roman"/>
          <w:color w:val="000000"/>
          <w:sz w:val="24"/>
          <w:szCs w:val="24"/>
          <w:lang w:val="en-US"/>
        </w:rPr>
        <w:t xml:space="preserve"> well as </w:t>
      </w:r>
      <w:r w:rsidR="0015069D">
        <w:rPr>
          <w:rFonts w:ascii="Times New Roman" w:eastAsia="Times New Roman" w:hAnsi="Times New Roman" w:cs="Times New Roman"/>
          <w:color w:val="000000"/>
          <w:sz w:val="24"/>
          <w:szCs w:val="24"/>
          <w:lang w:val="en-US"/>
        </w:rPr>
        <w:t>the limitations of the transformative use defense</w:t>
      </w:r>
      <w:r w:rsidRPr="00923F4C">
        <w:rPr>
          <w:rFonts w:ascii="Times New Roman" w:eastAsia="Times New Roman" w:hAnsi="Times New Roman" w:cs="Times New Roman"/>
          <w:color w:val="000000"/>
          <w:sz w:val="24"/>
          <w:szCs w:val="24"/>
          <w:lang w:val="en-US"/>
        </w:rPr>
        <w:t>.</w:t>
      </w:r>
      <w:r w:rsidR="002B3A0E">
        <w:rPr>
          <w:rFonts w:ascii="Times New Roman" w:eastAsia="Times New Roman" w:hAnsi="Times New Roman" w:cs="Times New Roman"/>
          <w:color w:val="000000"/>
          <w:sz w:val="24"/>
          <w:szCs w:val="24"/>
          <w:lang w:val="en-US"/>
        </w:rPr>
        <w:t xml:space="preserve"> </w:t>
      </w:r>
      <w:r w:rsidR="00BA797D">
        <w:rPr>
          <w:rFonts w:ascii="Times New Roman" w:eastAsia="Times New Roman" w:hAnsi="Times New Roman" w:cs="Times New Roman"/>
          <w:color w:val="000000"/>
          <w:sz w:val="24"/>
          <w:szCs w:val="24"/>
          <w:lang w:val="en-US"/>
        </w:rPr>
        <w:t>Lastly, this section</w:t>
      </w:r>
      <w:r w:rsidR="002B3A0E">
        <w:rPr>
          <w:rFonts w:ascii="Times New Roman" w:eastAsia="Times New Roman" w:hAnsi="Times New Roman" w:cs="Times New Roman"/>
          <w:color w:val="000000"/>
          <w:sz w:val="24"/>
          <w:szCs w:val="24"/>
          <w:lang w:val="en-US"/>
        </w:rPr>
        <w:t xml:space="preserve"> will </w:t>
      </w:r>
      <w:r w:rsidR="0015069D">
        <w:rPr>
          <w:rFonts w:ascii="Times New Roman" w:eastAsia="Times New Roman" w:hAnsi="Times New Roman" w:cs="Times New Roman"/>
          <w:color w:val="000000"/>
          <w:sz w:val="24"/>
          <w:szCs w:val="24"/>
          <w:lang w:val="en-US"/>
        </w:rPr>
        <w:t>discuss new</w:t>
      </w:r>
      <w:r w:rsidR="002B3A0E">
        <w:rPr>
          <w:rFonts w:ascii="Times New Roman" w:eastAsia="Times New Roman" w:hAnsi="Times New Roman" w:cs="Times New Roman"/>
          <w:color w:val="000000"/>
          <w:sz w:val="24"/>
          <w:szCs w:val="24"/>
          <w:lang w:val="en-US"/>
        </w:rPr>
        <w:t xml:space="preserve"> copyright regulations and the implications these limits have for consumers and creators.</w:t>
      </w:r>
      <w:r w:rsidR="00611C3D">
        <w:rPr>
          <w:rFonts w:ascii="Times New Roman" w:eastAsia="Times New Roman" w:hAnsi="Times New Roman" w:cs="Times New Roman"/>
          <w:color w:val="000000"/>
          <w:sz w:val="24"/>
          <w:szCs w:val="24"/>
          <w:lang w:val="en-US"/>
        </w:rPr>
        <w:t xml:space="preserve"> </w:t>
      </w:r>
      <w:r w:rsidR="00BA797D">
        <w:rPr>
          <w:rFonts w:ascii="Times New Roman" w:eastAsia="Times New Roman" w:hAnsi="Times New Roman" w:cs="Times New Roman"/>
          <w:color w:val="000000"/>
          <w:sz w:val="24"/>
          <w:szCs w:val="24"/>
          <w:lang w:val="en-US"/>
        </w:rPr>
        <w:t>It will explore</w:t>
      </w:r>
      <w:r w:rsidR="00611C3D">
        <w:rPr>
          <w:rFonts w:ascii="Times New Roman" w:eastAsia="Times New Roman" w:hAnsi="Times New Roman" w:cs="Times New Roman"/>
          <w:color w:val="000000"/>
          <w:sz w:val="24"/>
          <w:szCs w:val="24"/>
          <w:lang w:val="en-US"/>
        </w:rPr>
        <w:t xml:space="preserve"> the protections for digital creators and the Digital Millennium Copyright Act. It will examine the limitations of this legislation to protect content creators and service providers.</w:t>
      </w:r>
    </w:p>
    <w:p w14:paraId="43FBA524" w14:textId="77777777" w:rsidR="00923F4C" w:rsidRPr="00923F4C" w:rsidRDefault="00923F4C" w:rsidP="00051E81">
      <w:pPr>
        <w:spacing w:line="480" w:lineRule="auto"/>
        <w:jc w:val="center"/>
        <w:rPr>
          <w:rFonts w:ascii="Times New Roman" w:eastAsia="Times New Roman" w:hAnsi="Times New Roman" w:cs="Times New Roman"/>
          <w:sz w:val="24"/>
          <w:szCs w:val="24"/>
          <w:lang w:val="en-US"/>
        </w:rPr>
      </w:pPr>
      <w:r w:rsidRPr="00923F4C">
        <w:rPr>
          <w:rFonts w:ascii="Times New Roman" w:eastAsia="Times New Roman" w:hAnsi="Times New Roman" w:cs="Times New Roman"/>
          <w:b/>
          <w:bCs/>
          <w:color w:val="000000"/>
          <w:sz w:val="24"/>
          <w:szCs w:val="24"/>
          <w:lang w:val="en-US"/>
        </w:rPr>
        <w:t>Literature Review</w:t>
      </w:r>
    </w:p>
    <w:p w14:paraId="27FB33E4" w14:textId="3E501D74" w:rsidR="00923F4C" w:rsidRPr="00923F4C" w:rsidRDefault="00923F4C" w:rsidP="00923F4C">
      <w:pPr>
        <w:spacing w:line="480" w:lineRule="auto"/>
        <w:ind w:firstLine="720"/>
        <w:rPr>
          <w:rFonts w:ascii="Times New Roman" w:eastAsia="Times New Roman" w:hAnsi="Times New Roman" w:cs="Times New Roman"/>
          <w:sz w:val="24"/>
          <w:szCs w:val="24"/>
          <w:lang w:val="en-US"/>
        </w:rPr>
      </w:pPr>
      <w:r w:rsidRPr="00923F4C">
        <w:rPr>
          <w:rFonts w:ascii="Times New Roman" w:eastAsia="Times New Roman" w:hAnsi="Times New Roman" w:cs="Times New Roman"/>
          <w:color w:val="000000"/>
          <w:sz w:val="24"/>
          <w:szCs w:val="24"/>
          <w:lang w:val="en-US"/>
        </w:rPr>
        <w:t>Copyright is a form of intellectual property protected by law. It protects novels, movies, books, songs, software, and other original works. Copyright does not protect facts or ideas, merely the expression of ideas. U.S. copyright law began in the Constitution. It is written in Article 1, Section 8, which gives Congress the power “To promote the Progress of Science and useful Arts, by securing for limited Times to Authors and Inventors the exclusive Right to their respective Writings and Discoveries.”</w:t>
      </w:r>
      <w:r w:rsidR="00AB5EAC">
        <w:rPr>
          <w:rStyle w:val="FootnoteReference"/>
          <w:rFonts w:ascii="Times New Roman" w:eastAsia="Times New Roman" w:hAnsi="Times New Roman" w:cs="Times New Roman"/>
          <w:color w:val="000000"/>
          <w:sz w:val="24"/>
          <w:szCs w:val="24"/>
          <w:lang w:val="en-US"/>
        </w:rPr>
        <w:footnoteReference w:id="4"/>
      </w:r>
      <w:r w:rsidRPr="00923F4C">
        <w:rPr>
          <w:rFonts w:ascii="Times New Roman" w:eastAsia="Times New Roman" w:hAnsi="Times New Roman" w:cs="Times New Roman"/>
          <w:color w:val="000000"/>
          <w:sz w:val="24"/>
          <w:szCs w:val="24"/>
          <w:lang w:val="en-US"/>
        </w:rPr>
        <w:t xml:space="preserve"> Copyright was elaborated upon with the Copyright Act of 1790, which was the first copyright law and was amended multiple times to specify the types of works that were covered under copyright.</w:t>
      </w:r>
      <w:r w:rsidR="00AB5EAC">
        <w:rPr>
          <w:rStyle w:val="FootnoteReference"/>
          <w:rFonts w:ascii="Times New Roman" w:eastAsia="Times New Roman" w:hAnsi="Times New Roman" w:cs="Times New Roman"/>
          <w:color w:val="000000"/>
          <w:sz w:val="24"/>
          <w:szCs w:val="24"/>
          <w:lang w:val="en-US"/>
        </w:rPr>
        <w:footnoteReference w:id="5"/>
      </w:r>
      <w:r w:rsidRPr="00923F4C">
        <w:rPr>
          <w:rFonts w:ascii="Times New Roman" w:eastAsia="Times New Roman" w:hAnsi="Times New Roman" w:cs="Times New Roman"/>
          <w:color w:val="000000"/>
          <w:sz w:val="24"/>
          <w:szCs w:val="24"/>
          <w:lang w:val="en-US"/>
        </w:rPr>
        <w:t xml:space="preserve"> The Copyright Act of 1909 was the next major piece of copyright legislation. Amendments to this act included protections for motion pictures and sound recordings.</w:t>
      </w:r>
      <w:r w:rsidR="00AB5EAC">
        <w:rPr>
          <w:rStyle w:val="FootnoteReference"/>
          <w:rFonts w:ascii="Times New Roman" w:eastAsia="Times New Roman" w:hAnsi="Times New Roman" w:cs="Times New Roman"/>
          <w:color w:val="000000"/>
          <w:sz w:val="24"/>
          <w:szCs w:val="24"/>
          <w:lang w:val="en-US"/>
        </w:rPr>
        <w:footnoteReference w:id="6"/>
      </w:r>
      <w:r w:rsidRPr="00923F4C">
        <w:rPr>
          <w:rFonts w:ascii="Times New Roman" w:eastAsia="Times New Roman" w:hAnsi="Times New Roman" w:cs="Times New Roman"/>
          <w:color w:val="000000"/>
          <w:sz w:val="24"/>
          <w:szCs w:val="24"/>
          <w:lang w:val="en-US"/>
        </w:rPr>
        <w:t xml:space="preserve"> The last major revision of federal copyright law was the Copyright Act of 1976, which expanded federal protection to published and unpublished works.</w:t>
      </w:r>
      <w:r w:rsidR="00AB5EAC">
        <w:rPr>
          <w:rStyle w:val="FootnoteReference"/>
          <w:rFonts w:ascii="Times New Roman" w:eastAsia="Times New Roman" w:hAnsi="Times New Roman" w:cs="Times New Roman"/>
          <w:color w:val="000000"/>
          <w:sz w:val="24"/>
          <w:szCs w:val="24"/>
          <w:lang w:val="en-US"/>
        </w:rPr>
        <w:footnoteReference w:id="7"/>
      </w:r>
      <w:r w:rsidRPr="00923F4C">
        <w:rPr>
          <w:rFonts w:ascii="Times New Roman" w:eastAsia="Times New Roman" w:hAnsi="Times New Roman" w:cs="Times New Roman"/>
          <w:color w:val="000000"/>
          <w:sz w:val="24"/>
          <w:szCs w:val="24"/>
          <w:lang w:val="en-US"/>
        </w:rPr>
        <w:t> </w:t>
      </w:r>
    </w:p>
    <w:p w14:paraId="6B027530" w14:textId="391D2BDA" w:rsidR="00923F4C" w:rsidRPr="00923F4C" w:rsidRDefault="00923F4C" w:rsidP="00923F4C">
      <w:pPr>
        <w:spacing w:line="480" w:lineRule="auto"/>
        <w:ind w:firstLine="720"/>
        <w:rPr>
          <w:rFonts w:ascii="Times New Roman" w:eastAsia="Times New Roman" w:hAnsi="Times New Roman" w:cs="Times New Roman"/>
          <w:sz w:val="24"/>
          <w:szCs w:val="24"/>
          <w:lang w:val="en-US"/>
        </w:rPr>
      </w:pPr>
      <w:r w:rsidRPr="00923F4C">
        <w:rPr>
          <w:rFonts w:ascii="Times New Roman" w:eastAsia="Times New Roman" w:hAnsi="Times New Roman" w:cs="Times New Roman"/>
          <w:color w:val="000000"/>
          <w:sz w:val="24"/>
          <w:szCs w:val="24"/>
          <w:lang w:val="en-US"/>
        </w:rPr>
        <w:lastRenderedPageBreak/>
        <w:t>The Copyright Act of 1976 includes provisions for works protected by the fair use doctrine, as well as a definition for derivative works. Section 103 says that the copyright for “derivative work extends only to the material contributed by the author of such work,”</w:t>
      </w:r>
      <w:r w:rsidR="00AB5EAC">
        <w:rPr>
          <w:rStyle w:val="FootnoteReference"/>
          <w:rFonts w:ascii="Times New Roman" w:eastAsia="Times New Roman" w:hAnsi="Times New Roman" w:cs="Times New Roman"/>
          <w:color w:val="000000"/>
          <w:sz w:val="24"/>
          <w:szCs w:val="24"/>
          <w:lang w:val="en-US"/>
        </w:rPr>
        <w:footnoteReference w:id="8"/>
      </w:r>
      <w:r w:rsidRPr="00923F4C">
        <w:rPr>
          <w:rFonts w:ascii="Times New Roman" w:eastAsia="Times New Roman" w:hAnsi="Times New Roman" w:cs="Times New Roman"/>
          <w:color w:val="000000"/>
          <w:sz w:val="24"/>
          <w:szCs w:val="24"/>
          <w:lang w:val="en-US"/>
        </w:rPr>
        <w:t xml:space="preserve"> and that work is treated as independent of the original work. Section 107 defines fair use as four exceptions to using a copyrighted work that would not be copyright infringement. Fair use protects copyrighted works reproduced “for purposes such as criticism, comment, news reporting, teaching (including multiple copies for classroom use), scholarship, or research, is not an infringement of copyright.”</w:t>
      </w:r>
      <w:r w:rsidR="00AB5EAC">
        <w:rPr>
          <w:rStyle w:val="FootnoteReference"/>
          <w:rFonts w:ascii="Times New Roman" w:eastAsia="Times New Roman" w:hAnsi="Times New Roman" w:cs="Times New Roman"/>
          <w:color w:val="000000"/>
          <w:sz w:val="24"/>
          <w:szCs w:val="24"/>
          <w:lang w:val="en-US"/>
        </w:rPr>
        <w:footnoteReference w:id="9"/>
      </w:r>
      <w:r w:rsidRPr="00923F4C">
        <w:rPr>
          <w:rFonts w:ascii="Times New Roman" w:eastAsia="Times New Roman" w:hAnsi="Times New Roman" w:cs="Times New Roman"/>
          <w:color w:val="000000"/>
          <w:sz w:val="24"/>
          <w:szCs w:val="24"/>
          <w:lang w:val="en-US"/>
        </w:rPr>
        <w:t xml:space="preserve"> The courts use a four-part test to determine what is protected under fair use.</w:t>
      </w:r>
    </w:p>
    <w:p w14:paraId="58569797" w14:textId="77777777" w:rsidR="00923F4C" w:rsidRPr="00923F4C" w:rsidRDefault="00923F4C" w:rsidP="00923F4C">
      <w:pPr>
        <w:spacing w:line="240" w:lineRule="auto"/>
        <w:ind w:left="1440" w:right="1440"/>
        <w:rPr>
          <w:rFonts w:ascii="Times New Roman" w:eastAsia="Times New Roman" w:hAnsi="Times New Roman" w:cs="Times New Roman"/>
          <w:sz w:val="24"/>
          <w:szCs w:val="24"/>
          <w:lang w:val="en-US"/>
        </w:rPr>
      </w:pPr>
      <w:r w:rsidRPr="00923F4C">
        <w:rPr>
          <w:rFonts w:ascii="Times New Roman" w:eastAsia="Times New Roman" w:hAnsi="Times New Roman" w:cs="Times New Roman"/>
          <w:color w:val="000000"/>
          <w:sz w:val="24"/>
          <w:szCs w:val="24"/>
          <w:lang w:val="en-US"/>
        </w:rPr>
        <w:t>1) the purpose and character of the use, including whether such use is of a commercial nature or is for nonprofit educational purposes;</w:t>
      </w:r>
    </w:p>
    <w:p w14:paraId="0D025E17" w14:textId="77777777" w:rsidR="00923F4C" w:rsidRPr="00923F4C" w:rsidRDefault="00923F4C" w:rsidP="00923F4C">
      <w:pPr>
        <w:spacing w:line="240" w:lineRule="auto"/>
        <w:ind w:left="1440" w:right="1440"/>
        <w:rPr>
          <w:rFonts w:ascii="Times New Roman" w:eastAsia="Times New Roman" w:hAnsi="Times New Roman" w:cs="Times New Roman"/>
          <w:sz w:val="24"/>
          <w:szCs w:val="24"/>
          <w:lang w:val="en-US"/>
        </w:rPr>
      </w:pPr>
      <w:r w:rsidRPr="00923F4C">
        <w:rPr>
          <w:rFonts w:ascii="Times New Roman" w:eastAsia="Times New Roman" w:hAnsi="Times New Roman" w:cs="Times New Roman"/>
          <w:color w:val="000000"/>
          <w:sz w:val="24"/>
          <w:szCs w:val="24"/>
          <w:lang w:val="en-US"/>
        </w:rPr>
        <w:t>(2) the nature of the copyrighted work;</w:t>
      </w:r>
    </w:p>
    <w:p w14:paraId="2EE050DA" w14:textId="77777777" w:rsidR="00923F4C" w:rsidRPr="00923F4C" w:rsidRDefault="00923F4C" w:rsidP="00923F4C">
      <w:pPr>
        <w:spacing w:line="240" w:lineRule="auto"/>
        <w:ind w:left="1440" w:right="1440"/>
        <w:rPr>
          <w:rFonts w:ascii="Times New Roman" w:eastAsia="Times New Roman" w:hAnsi="Times New Roman" w:cs="Times New Roman"/>
          <w:sz w:val="24"/>
          <w:szCs w:val="24"/>
          <w:lang w:val="en-US"/>
        </w:rPr>
      </w:pPr>
      <w:r w:rsidRPr="00923F4C">
        <w:rPr>
          <w:rFonts w:ascii="Times New Roman" w:eastAsia="Times New Roman" w:hAnsi="Times New Roman" w:cs="Times New Roman"/>
          <w:color w:val="000000"/>
          <w:sz w:val="24"/>
          <w:szCs w:val="24"/>
          <w:lang w:val="en-US"/>
        </w:rPr>
        <w:t>(3) the amount and substantiality of the portion used in relation to the copyrighted work as a whole; and</w:t>
      </w:r>
    </w:p>
    <w:p w14:paraId="6E8A9362" w14:textId="126016CB" w:rsidR="00923F4C" w:rsidRPr="00923F4C" w:rsidRDefault="00923F4C" w:rsidP="00923F4C">
      <w:pPr>
        <w:spacing w:line="240" w:lineRule="auto"/>
        <w:ind w:left="1440" w:right="1440"/>
        <w:rPr>
          <w:rFonts w:ascii="Times New Roman" w:eastAsia="Times New Roman" w:hAnsi="Times New Roman" w:cs="Times New Roman"/>
          <w:sz w:val="24"/>
          <w:szCs w:val="24"/>
          <w:lang w:val="en-US"/>
        </w:rPr>
      </w:pPr>
      <w:r w:rsidRPr="00923F4C">
        <w:rPr>
          <w:rFonts w:ascii="Times New Roman" w:eastAsia="Times New Roman" w:hAnsi="Times New Roman" w:cs="Times New Roman"/>
          <w:color w:val="000000"/>
          <w:sz w:val="24"/>
          <w:szCs w:val="24"/>
          <w:lang w:val="en-US"/>
        </w:rPr>
        <w:t>(4) the effect of the use upon the potential market for or value of the copyrighted work.</w:t>
      </w:r>
      <w:r w:rsidR="00AB5EAC">
        <w:rPr>
          <w:rStyle w:val="FootnoteReference"/>
          <w:rFonts w:ascii="Times New Roman" w:eastAsia="Times New Roman" w:hAnsi="Times New Roman" w:cs="Times New Roman"/>
          <w:color w:val="000000"/>
          <w:sz w:val="24"/>
          <w:szCs w:val="24"/>
          <w:lang w:val="en-US"/>
        </w:rPr>
        <w:footnoteReference w:id="10"/>
      </w:r>
    </w:p>
    <w:p w14:paraId="55450EC9" w14:textId="77777777" w:rsidR="00923F4C" w:rsidRPr="00923F4C" w:rsidRDefault="00923F4C" w:rsidP="00923F4C">
      <w:pPr>
        <w:spacing w:line="240" w:lineRule="auto"/>
        <w:rPr>
          <w:rFonts w:ascii="Times New Roman" w:eastAsia="Times New Roman" w:hAnsi="Times New Roman" w:cs="Times New Roman"/>
          <w:sz w:val="24"/>
          <w:szCs w:val="24"/>
          <w:lang w:val="en-US"/>
        </w:rPr>
      </w:pPr>
    </w:p>
    <w:p w14:paraId="55551C58" w14:textId="7460CC74" w:rsidR="00923F4C" w:rsidRPr="00923F4C" w:rsidRDefault="00923F4C" w:rsidP="002342AA">
      <w:pPr>
        <w:spacing w:line="480" w:lineRule="auto"/>
        <w:ind w:firstLine="720"/>
        <w:rPr>
          <w:rFonts w:ascii="Times New Roman" w:eastAsia="Times New Roman" w:hAnsi="Times New Roman" w:cs="Times New Roman"/>
          <w:sz w:val="24"/>
          <w:szCs w:val="24"/>
          <w:lang w:val="en-US"/>
        </w:rPr>
      </w:pPr>
      <w:r w:rsidRPr="00923F4C">
        <w:rPr>
          <w:rFonts w:ascii="Times New Roman" w:eastAsia="Times New Roman" w:hAnsi="Times New Roman" w:cs="Times New Roman"/>
          <w:color w:val="000000"/>
          <w:sz w:val="24"/>
          <w:szCs w:val="24"/>
          <w:lang w:val="en-US"/>
        </w:rPr>
        <w:t xml:space="preserve">The four-part test is the basis for the doctrine of transformative works. A transformative work is a work that falls under fair use because it is transformative enough from the original that it stands on its own. </w:t>
      </w:r>
      <w:r w:rsidR="002342AA">
        <w:rPr>
          <w:rFonts w:ascii="Times New Roman" w:eastAsia="Times New Roman" w:hAnsi="Times New Roman" w:cs="Times New Roman"/>
          <w:color w:val="000000"/>
          <w:sz w:val="24"/>
          <w:szCs w:val="24"/>
          <w:lang w:val="en-US"/>
        </w:rPr>
        <w:t>Attorney Richard Stim wrote that t</w:t>
      </w:r>
      <w:r w:rsidRPr="00923F4C">
        <w:rPr>
          <w:rFonts w:ascii="Times New Roman" w:eastAsia="Times New Roman" w:hAnsi="Times New Roman" w:cs="Times New Roman"/>
          <w:color w:val="000000"/>
          <w:sz w:val="24"/>
          <w:szCs w:val="24"/>
          <w:lang w:val="en-US"/>
        </w:rPr>
        <w:t xml:space="preserve">he doctrine of transformative works was established in the 1994 Supreme Court case </w:t>
      </w:r>
      <w:r w:rsidRPr="00923F4C">
        <w:rPr>
          <w:rFonts w:ascii="Times New Roman" w:eastAsia="Times New Roman" w:hAnsi="Times New Roman" w:cs="Times New Roman"/>
          <w:i/>
          <w:iCs/>
          <w:color w:val="000000"/>
          <w:sz w:val="24"/>
          <w:szCs w:val="24"/>
          <w:lang w:val="en-US"/>
        </w:rPr>
        <w:t>Campbell v. Acuff-Rose Music, Inc</w:t>
      </w:r>
      <w:r w:rsidRPr="00923F4C">
        <w:rPr>
          <w:rFonts w:ascii="Times New Roman" w:eastAsia="Times New Roman" w:hAnsi="Times New Roman" w:cs="Times New Roman"/>
          <w:color w:val="000000"/>
          <w:sz w:val="24"/>
          <w:szCs w:val="24"/>
          <w:lang w:val="en-US"/>
        </w:rPr>
        <w:t>. The band 2 Live Crew borrowed the opening words from the song “Pretty Woman.”</w:t>
      </w:r>
      <w:r w:rsidR="002342AA">
        <w:rPr>
          <w:rStyle w:val="FootnoteReference"/>
          <w:rFonts w:ascii="Times New Roman" w:eastAsia="Times New Roman" w:hAnsi="Times New Roman" w:cs="Times New Roman"/>
          <w:color w:val="000000"/>
          <w:sz w:val="24"/>
          <w:szCs w:val="24"/>
          <w:lang w:val="en-US"/>
        </w:rPr>
        <w:footnoteReference w:id="11"/>
      </w:r>
      <w:r w:rsidRPr="00923F4C">
        <w:rPr>
          <w:rFonts w:ascii="Times New Roman" w:eastAsia="Times New Roman" w:hAnsi="Times New Roman" w:cs="Times New Roman"/>
          <w:color w:val="000000"/>
          <w:sz w:val="24"/>
          <w:szCs w:val="24"/>
          <w:lang w:val="en-US"/>
        </w:rPr>
        <w:t xml:space="preserve"> The music and rest of the song was distinct. The Supreme Court unanimously ruled that 2 Live Crew’s use of the line “Oh, pretty woman, walking down the street” was fair use. The Court emphasized that the most important aspect of the four-part test is that the purpose and character of the use was </w:t>
      </w:r>
      <w:r w:rsidRPr="00923F4C">
        <w:rPr>
          <w:rFonts w:ascii="Times New Roman" w:eastAsia="Times New Roman" w:hAnsi="Times New Roman" w:cs="Times New Roman"/>
          <w:color w:val="000000"/>
          <w:sz w:val="24"/>
          <w:szCs w:val="24"/>
          <w:lang w:val="en-US"/>
        </w:rPr>
        <w:lastRenderedPageBreak/>
        <w:t>transformative.</w:t>
      </w:r>
      <w:r w:rsidR="002342AA">
        <w:rPr>
          <w:rStyle w:val="FootnoteReference"/>
          <w:rFonts w:ascii="Times New Roman" w:eastAsia="Times New Roman" w:hAnsi="Times New Roman" w:cs="Times New Roman"/>
          <w:color w:val="000000"/>
          <w:sz w:val="24"/>
          <w:szCs w:val="24"/>
          <w:lang w:val="en-US"/>
        </w:rPr>
        <w:footnoteReference w:id="12"/>
      </w:r>
      <w:r w:rsidRPr="00923F4C">
        <w:rPr>
          <w:rFonts w:ascii="Times New Roman" w:eastAsia="Times New Roman" w:hAnsi="Times New Roman" w:cs="Times New Roman"/>
          <w:color w:val="000000"/>
          <w:sz w:val="24"/>
          <w:szCs w:val="24"/>
          <w:lang w:val="en-US"/>
        </w:rPr>
        <w:t xml:space="preserve"> In the case of </w:t>
      </w:r>
      <w:r w:rsidRPr="00923F4C">
        <w:rPr>
          <w:rFonts w:ascii="Times New Roman" w:eastAsia="Times New Roman" w:hAnsi="Times New Roman" w:cs="Times New Roman"/>
          <w:i/>
          <w:iCs/>
          <w:color w:val="000000"/>
          <w:sz w:val="24"/>
          <w:szCs w:val="24"/>
          <w:lang w:val="en-US"/>
        </w:rPr>
        <w:t>Campbell</w:t>
      </w:r>
      <w:r w:rsidRPr="00923F4C">
        <w:rPr>
          <w:rFonts w:ascii="Times New Roman" w:eastAsia="Times New Roman" w:hAnsi="Times New Roman" w:cs="Times New Roman"/>
          <w:color w:val="000000"/>
          <w:sz w:val="24"/>
          <w:szCs w:val="24"/>
          <w:lang w:val="en-US"/>
        </w:rPr>
        <w:t>, the work was transformative because the line was a parody of the original song.</w:t>
      </w:r>
      <w:r w:rsidR="002342AA" w:rsidRPr="00923F4C">
        <w:rPr>
          <w:rFonts w:ascii="Times New Roman" w:eastAsia="Times New Roman" w:hAnsi="Times New Roman" w:cs="Times New Roman"/>
          <w:color w:val="000000"/>
          <w:sz w:val="24"/>
          <w:szCs w:val="24"/>
          <w:lang w:val="en-US"/>
        </w:rPr>
        <w:t xml:space="preserve"> </w:t>
      </w:r>
      <w:r w:rsidRPr="00923F4C">
        <w:rPr>
          <w:rFonts w:ascii="Times New Roman" w:eastAsia="Times New Roman" w:hAnsi="Times New Roman" w:cs="Times New Roman"/>
          <w:color w:val="000000"/>
          <w:sz w:val="24"/>
          <w:szCs w:val="24"/>
          <w:lang w:val="en-US"/>
        </w:rPr>
        <w:t>Justice Souter delivered the opinion.</w:t>
      </w:r>
    </w:p>
    <w:p w14:paraId="3D2D4851" w14:textId="40908610" w:rsidR="00923F4C" w:rsidRPr="00923F4C" w:rsidRDefault="00923F4C" w:rsidP="00923F4C">
      <w:pPr>
        <w:spacing w:line="240" w:lineRule="auto"/>
        <w:ind w:left="1440" w:right="1440"/>
        <w:rPr>
          <w:rFonts w:ascii="Times New Roman" w:eastAsia="Times New Roman" w:hAnsi="Times New Roman" w:cs="Times New Roman"/>
          <w:sz w:val="24"/>
          <w:szCs w:val="24"/>
          <w:lang w:val="en-US"/>
        </w:rPr>
      </w:pPr>
      <w:r w:rsidRPr="00923F4C">
        <w:rPr>
          <w:rFonts w:ascii="Times New Roman" w:eastAsia="Times New Roman" w:hAnsi="Times New Roman" w:cs="Times New Roman"/>
          <w:color w:val="000000"/>
          <w:sz w:val="24"/>
          <w:szCs w:val="24"/>
          <w:lang w:val="en-US"/>
        </w:rPr>
        <w:t>…the enquiry focuses on whether the new work merely supersedes the objects of the original creation, or whether and to what extent it is “transformative,” altering the original with new expression, meaning, or message. The more transformative the new work, the less will be the significance of other factors, like commercialism, that may weigh against a finding of fair use.</w:t>
      </w:r>
      <w:r w:rsidR="002342AA">
        <w:rPr>
          <w:rStyle w:val="FootnoteReference"/>
          <w:rFonts w:ascii="Times New Roman" w:eastAsia="Times New Roman" w:hAnsi="Times New Roman" w:cs="Times New Roman"/>
          <w:color w:val="000000"/>
          <w:sz w:val="24"/>
          <w:szCs w:val="24"/>
          <w:lang w:val="en-US"/>
        </w:rPr>
        <w:footnoteReference w:id="13"/>
      </w:r>
    </w:p>
    <w:p w14:paraId="0D3C17EE" w14:textId="77777777" w:rsidR="00923F4C" w:rsidRPr="00923F4C" w:rsidRDefault="00923F4C" w:rsidP="00923F4C">
      <w:pPr>
        <w:spacing w:line="240" w:lineRule="auto"/>
        <w:rPr>
          <w:rFonts w:ascii="Times New Roman" w:eastAsia="Times New Roman" w:hAnsi="Times New Roman" w:cs="Times New Roman"/>
          <w:sz w:val="24"/>
          <w:szCs w:val="24"/>
          <w:lang w:val="en-US"/>
        </w:rPr>
      </w:pPr>
    </w:p>
    <w:p w14:paraId="556ECA65" w14:textId="7FB1C897" w:rsidR="00923F4C" w:rsidRPr="00923F4C" w:rsidRDefault="00923F4C" w:rsidP="002342AA">
      <w:pPr>
        <w:spacing w:line="480" w:lineRule="auto"/>
        <w:ind w:firstLine="720"/>
        <w:rPr>
          <w:rFonts w:ascii="Times New Roman" w:eastAsia="Times New Roman" w:hAnsi="Times New Roman" w:cs="Times New Roman"/>
          <w:sz w:val="24"/>
          <w:szCs w:val="24"/>
          <w:lang w:val="en-US"/>
        </w:rPr>
      </w:pPr>
      <w:r w:rsidRPr="00923F4C">
        <w:rPr>
          <w:rFonts w:ascii="Times New Roman" w:eastAsia="Times New Roman" w:hAnsi="Times New Roman" w:cs="Times New Roman"/>
          <w:color w:val="000000"/>
          <w:sz w:val="24"/>
          <w:szCs w:val="24"/>
          <w:lang w:val="en-US"/>
        </w:rPr>
        <w:t xml:space="preserve">The determination of transformative works in </w:t>
      </w:r>
      <w:r w:rsidRPr="00923F4C">
        <w:rPr>
          <w:rFonts w:ascii="Times New Roman" w:eastAsia="Times New Roman" w:hAnsi="Times New Roman" w:cs="Times New Roman"/>
          <w:i/>
          <w:iCs/>
          <w:color w:val="000000"/>
          <w:sz w:val="24"/>
          <w:szCs w:val="24"/>
          <w:lang w:val="en-US"/>
        </w:rPr>
        <w:t>Campbell</w:t>
      </w:r>
      <w:r w:rsidRPr="00923F4C">
        <w:rPr>
          <w:rFonts w:ascii="Times New Roman" w:eastAsia="Times New Roman" w:hAnsi="Times New Roman" w:cs="Times New Roman"/>
          <w:color w:val="000000"/>
          <w:sz w:val="24"/>
          <w:szCs w:val="24"/>
          <w:lang w:val="en-US"/>
        </w:rPr>
        <w:t xml:space="preserve"> became a roadmap for cases to follow. To understand how the fair use qualifications are interpreted, it is important to study the language used in </w:t>
      </w:r>
      <w:r w:rsidRPr="00923F4C">
        <w:rPr>
          <w:rFonts w:ascii="Times New Roman" w:eastAsia="Times New Roman" w:hAnsi="Times New Roman" w:cs="Times New Roman"/>
          <w:i/>
          <w:iCs/>
          <w:color w:val="000000"/>
          <w:sz w:val="24"/>
          <w:szCs w:val="24"/>
          <w:lang w:val="en-US"/>
        </w:rPr>
        <w:t>Cariou v. Prince</w:t>
      </w:r>
      <w:r w:rsidRPr="00923F4C">
        <w:rPr>
          <w:rFonts w:ascii="Times New Roman" w:eastAsia="Times New Roman" w:hAnsi="Times New Roman" w:cs="Times New Roman"/>
          <w:color w:val="000000"/>
          <w:sz w:val="24"/>
          <w:szCs w:val="24"/>
          <w:lang w:val="en-US"/>
        </w:rPr>
        <w:t>. Photographer Patrick Cariou published the book “Yes Rasta” in 2000. Richard Prince, a celebrity appropriation artist, incorporated thirty-five of those photographs in a series of collages titled Canal Zone.</w:t>
      </w:r>
      <w:r w:rsidR="009B54ED">
        <w:rPr>
          <w:rStyle w:val="FootnoteReference"/>
          <w:rFonts w:ascii="Times New Roman" w:eastAsia="Times New Roman" w:hAnsi="Times New Roman" w:cs="Times New Roman"/>
          <w:color w:val="000000"/>
          <w:sz w:val="24"/>
          <w:szCs w:val="24"/>
          <w:lang w:val="en-US"/>
        </w:rPr>
        <w:footnoteReference w:id="14"/>
      </w:r>
      <w:r w:rsidRPr="00923F4C">
        <w:rPr>
          <w:rFonts w:ascii="Times New Roman" w:eastAsia="Times New Roman" w:hAnsi="Times New Roman" w:cs="Times New Roman"/>
          <w:color w:val="000000"/>
          <w:sz w:val="24"/>
          <w:szCs w:val="24"/>
          <w:lang w:val="en-US"/>
        </w:rPr>
        <w:t xml:space="preserve"> Prince’s collages were displayed in the Gagosian Gallery in New York in 2008. Prior to the gallery, an owner contacted Cariou to inquire about displaying his work, but canceled their collaboration after mistakenly assuming that Cariou was working with Prince. Following this, Cariou sued Prince for copyright infringement.</w:t>
      </w:r>
      <w:r w:rsidR="009B54ED">
        <w:rPr>
          <w:rStyle w:val="FootnoteReference"/>
          <w:rFonts w:ascii="Times New Roman" w:eastAsia="Times New Roman" w:hAnsi="Times New Roman" w:cs="Times New Roman"/>
          <w:color w:val="000000"/>
          <w:sz w:val="24"/>
          <w:szCs w:val="24"/>
          <w:lang w:val="en-US"/>
        </w:rPr>
        <w:footnoteReference w:id="15"/>
      </w:r>
    </w:p>
    <w:p w14:paraId="165762BB" w14:textId="49238572" w:rsidR="00923F4C" w:rsidRPr="00923F4C" w:rsidRDefault="00923F4C" w:rsidP="002342AA">
      <w:pPr>
        <w:spacing w:line="480" w:lineRule="auto"/>
        <w:ind w:firstLine="720"/>
        <w:rPr>
          <w:rFonts w:ascii="Times New Roman" w:eastAsia="Times New Roman" w:hAnsi="Times New Roman" w:cs="Times New Roman"/>
          <w:sz w:val="24"/>
          <w:szCs w:val="24"/>
          <w:lang w:val="en-US"/>
        </w:rPr>
      </w:pPr>
      <w:r w:rsidRPr="00923F4C">
        <w:rPr>
          <w:rFonts w:ascii="Times New Roman" w:eastAsia="Times New Roman" w:hAnsi="Times New Roman" w:cs="Times New Roman"/>
          <w:color w:val="000000"/>
          <w:sz w:val="24"/>
          <w:szCs w:val="24"/>
          <w:lang w:val="en-US"/>
        </w:rPr>
        <w:t xml:space="preserve">Prince was found liable for copyright infringement in the Southern District of New York. </w:t>
      </w:r>
      <w:r w:rsidR="002342AA">
        <w:rPr>
          <w:rFonts w:ascii="Times New Roman" w:eastAsia="Times New Roman" w:hAnsi="Times New Roman" w:cs="Times New Roman"/>
          <w:color w:val="000000"/>
          <w:sz w:val="24"/>
          <w:szCs w:val="24"/>
          <w:lang w:val="en-US"/>
        </w:rPr>
        <w:t>According t</w:t>
      </w:r>
      <w:r w:rsidR="009B54ED">
        <w:rPr>
          <w:rFonts w:ascii="Times New Roman" w:eastAsia="Times New Roman" w:hAnsi="Times New Roman" w:cs="Times New Roman"/>
          <w:color w:val="000000"/>
          <w:sz w:val="24"/>
          <w:szCs w:val="24"/>
          <w:lang w:val="en-US"/>
        </w:rPr>
        <w:t>o</w:t>
      </w:r>
      <w:r w:rsidR="002342AA">
        <w:rPr>
          <w:rFonts w:ascii="Times New Roman" w:eastAsia="Times New Roman" w:hAnsi="Times New Roman" w:cs="Times New Roman"/>
          <w:color w:val="000000"/>
          <w:sz w:val="24"/>
          <w:szCs w:val="24"/>
          <w:lang w:val="en-US"/>
        </w:rPr>
        <w:t xml:space="preserve"> a publication in the Harvard Law Review, t</w:t>
      </w:r>
      <w:r w:rsidRPr="00923F4C">
        <w:rPr>
          <w:rFonts w:ascii="Times New Roman" w:eastAsia="Times New Roman" w:hAnsi="Times New Roman" w:cs="Times New Roman"/>
          <w:color w:val="000000"/>
          <w:sz w:val="24"/>
          <w:szCs w:val="24"/>
          <w:lang w:val="en-US"/>
        </w:rPr>
        <w:t>he district court said that Prince’s work was not transformative because it did not comment upon the original photographs.</w:t>
      </w:r>
      <w:r w:rsidR="009B54ED">
        <w:rPr>
          <w:rStyle w:val="FootnoteReference"/>
          <w:rFonts w:ascii="Times New Roman" w:eastAsia="Times New Roman" w:hAnsi="Times New Roman" w:cs="Times New Roman"/>
          <w:color w:val="000000"/>
          <w:sz w:val="24"/>
          <w:szCs w:val="24"/>
          <w:lang w:val="en-US"/>
        </w:rPr>
        <w:footnoteReference w:id="16"/>
      </w:r>
      <w:r w:rsidRPr="00923F4C">
        <w:rPr>
          <w:rFonts w:ascii="Times New Roman" w:eastAsia="Times New Roman" w:hAnsi="Times New Roman" w:cs="Times New Roman"/>
          <w:color w:val="000000"/>
          <w:sz w:val="24"/>
          <w:szCs w:val="24"/>
          <w:lang w:val="en-US"/>
        </w:rPr>
        <w:t xml:space="preserve"> The court </w:t>
      </w:r>
      <w:r w:rsidRPr="00923F4C">
        <w:rPr>
          <w:rFonts w:ascii="Times New Roman" w:eastAsia="Times New Roman" w:hAnsi="Times New Roman" w:cs="Times New Roman"/>
          <w:color w:val="000000"/>
          <w:sz w:val="24"/>
          <w:szCs w:val="24"/>
          <w:lang w:val="en-US"/>
        </w:rPr>
        <w:lastRenderedPageBreak/>
        <w:t>also found that Prince’s collage undermined Cariou’s ability to market his original work, and therefore it was copyright infringement.</w:t>
      </w:r>
      <w:r w:rsidR="009B54ED">
        <w:rPr>
          <w:rStyle w:val="FootnoteReference"/>
          <w:rFonts w:ascii="Times New Roman" w:eastAsia="Times New Roman" w:hAnsi="Times New Roman" w:cs="Times New Roman"/>
          <w:color w:val="000000"/>
          <w:sz w:val="24"/>
          <w:szCs w:val="24"/>
          <w:lang w:val="en-US"/>
        </w:rPr>
        <w:footnoteReference w:id="17"/>
      </w:r>
    </w:p>
    <w:p w14:paraId="5E724875" w14:textId="12A42DA3" w:rsidR="002342AA" w:rsidRDefault="00923F4C" w:rsidP="002342AA">
      <w:pPr>
        <w:spacing w:line="480" w:lineRule="auto"/>
        <w:ind w:firstLine="720"/>
        <w:rPr>
          <w:rFonts w:ascii="Times New Roman" w:eastAsia="Times New Roman" w:hAnsi="Times New Roman" w:cs="Times New Roman"/>
          <w:sz w:val="24"/>
          <w:szCs w:val="24"/>
          <w:lang w:val="en-US"/>
        </w:rPr>
      </w:pPr>
      <w:r w:rsidRPr="00923F4C">
        <w:rPr>
          <w:rFonts w:ascii="Times New Roman" w:eastAsia="Times New Roman" w:hAnsi="Times New Roman" w:cs="Times New Roman"/>
          <w:color w:val="000000"/>
          <w:sz w:val="24"/>
          <w:szCs w:val="24"/>
          <w:lang w:val="en-US"/>
        </w:rPr>
        <w:t>The Second Circuit Court reversed the decision of the lower court. It concluded that Prince’s works were transformative because of how they would “appear[] to the reasonable observer.”</w:t>
      </w:r>
      <w:r w:rsidR="009B54ED">
        <w:rPr>
          <w:rStyle w:val="FootnoteReference"/>
          <w:rFonts w:ascii="Times New Roman" w:eastAsia="Times New Roman" w:hAnsi="Times New Roman" w:cs="Times New Roman"/>
          <w:color w:val="000000"/>
          <w:sz w:val="24"/>
          <w:szCs w:val="24"/>
          <w:lang w:val="en-US"/>
        </w:rPr>
        <w:footnoteReference w:id="18"/>
      </w:r>
      <w:r w:rsidRPr="00923F4C">
        <w:rPr>
          <w:rFonts w:ascii="Times New Roman" w:eastAsia="Times New Roman" w:hAnsi="Times New Roman" w:cs="Times New Roman"/>
          <w:color w:val="000000"/>
          <w:sz w:val="24"/>
          <w:szCs w:val="24"/>
          <w:lang w:val="en-US"/>
        </w:rPr>
        <w:t xml:space="preserve"> Prince himself testified during his deposition that he did not intend to comment upon Cariou’s original work and create new meaning. The Second Circuit, however, did not take that to discredit his claim to fair use; Judge Parker said that “the law does not require that a secondary use comment on the original artist or work.”</w:t>
      </w:r>
      <w:r w:rsidR="009B54ED">
        <w:rPr>
          <w:rStyle w:val="FootnoteReference"/>
          <w:rFonts w:ascii="Times New Roman" w:eastAsia="Times New Roman" w:hAnsi="Times New Roman" w:cs="Times New Roman"/>
          <w:color w:val="000000"/>
          <w:sz w:val="24"/>
          <w:szCs w:val="24"/>
          <w:lang w:val="en-US"/>
        </w:rPr>
        <w:footnoteReference w:id="19"/>
      </w:r>
      <w:r w:rsidRPr="00923F4C">
        <w:rPr>
          <w:rFonts w:ascii="Times New Roman" w:eastAsia="Times New Roman" w:hAnsi="Times New Roman" w:cs="Times New Roman"/>
          <w:color w:val="000000"/>
          <w:sz w:val="24"/>
          <w:szCs w:val="24"/>
          <w:lang w:val="en-US"/>
        </w:rPr>
        <w:t xml:space="preserve"> </w:t>
      </w:r>
      <w:r w:rsidR="002342AA">
        <w:rPr>
          <w:rFonts w:ascii="Times New Roman" w:eastAsia="Times New Roman" w:hAnsi="Times New Roman" w:cs="Times New Roman"/>
          <w:color w:val="000000"/>
          <w:sz w:val="24"/>
          <w:szCs w:val="24"/>
          <w:lang w:val="en-US"/>
        </w:rPr>
        <w:t xml:space="preserve">As explained by copyright lawyer Melissa Eckhause, </w:t>
      </w:r>
      <w:r w:rsidRPr="00923F4C">
        <w:rPr>
          <w:rFonts w:ascii="Times New Roman" w:eastAsia="Times New Roman" w:hAnsi="Times New Roman" w:cs="Times New Roman"/>
          <w:i/>
          <w:iCs/>
          <w:color w:val="000000"/>
          <w:sz w:val="24"/>
          <w:szCs w:val="24"/>
          <w:lang w:val="en-US"/>
        </w:rPr>
        <w:t>Cariou</w:t>
      </w:r>
      <w:r w:rsidRPr="00923F4C">
        <w:rPr>
          <w:rFonts w:ascii="Times New Roman" w:eastAsia="Times New Roman" w:hAnsi="Times New Roman" w:cs="Times New Roman"/>
          <w:color w:val="000000"/>
          <w:sz w:val="24"/>
          <w:szCs w:val="24"/>
          <w:lang w:val="en-US"/>
        </w:rPr>
        <w:t xml:space="preserve"> expanded the definition of a transformative work as it was interpreted in </w:t>
      </w:r>
      <w:r w:rsidRPr="00923F4C">
        <w:rPr>
          <w:rFonts w:ascii="Times New Roman" w:eastAsia="Times New Roman" w:hAnsi="Times New Roman" w:cs="Times New Roman"/>
          <w:i/>
          <w:iCs/>
          <w:color w:val="000000"/>
          <w:sz w:val="24"/>
          <w:szCs w:val="24"/>
          <w:lang w:val="en-US"/>
        </w:rPr>
        <w:t>Campbell</w:t>
      </w:r>
      <w:r w:rsidRPr="00923F4C">
        <w:rPr>
          <w:rFonts w:ascii="Times New Roman" w:eastAsia="Times New Roman" w:hAnsi="Times New Roman" w:cs="Times New Roman"/>
          <w:color w:val="000000"/>
          <w:sz w:val="24"/>
          <w:szCs w:val="24"/>
          <w:lang w:val="en-US"/>
        </w:rPr>
        <w:t xml:space="preserve">. In </w:t>
      </w:r>
      <w:r w:rsidRPr="00923F4C">
        <w:rPr>
          <w:rFonts w:ascii="Times New Roman" w:eastAsia="Times New Roman" w:hAnsi="Times New Roman" w:cs="Times New Roman"/>
          <w:i/>
          <w:iCs/>
          <w:color w:val="000000"/>
          <w:sz w:val="24"/>
          <w:szCs w:val="24"/>
          <w:lang w:val="en-US"/>
        </w:rPr>
        <w:t>Campbell</w:t>
      </w:r>
      <w:r w:rsidRPr="00923F4C">
        <w:rPr>
          <w:rFonts w:ascii="Times New Roman" w:eastAsia="Times New Roman" w:hAnsi="Times New Roman" w:cs="Times New Roman"/>
          <w:color w:val="000000"/>
          <w:sz w:val="24"/>
          <w:szCs w:val="24"/>
          <w:lang w:val="en-US"/>
        </w:rPr>
        <w:t xml:space="preserve">, a transformative work was a form of parody, but </w:t>
      </w:r>
      <w:r w:rsidRPr="00923F4C">
        <w:rPr>
          <w:rFonts w:ascii="Times New Roman" w:eastAsia="Times New Roman" w:hAnsi="Times New Roman" w:cs="Times New Roman"/>
          <w:i/>
          <w:iCs/>
          <w:color w:val="000000"/>
          <w:sz w:val="24"/>
          <w:szCs w:val="24"/>
          <w:lang w:val="en-US"/>
        </w:rPr>
        <w:t>Cariou</w:t>
      </w:r>
      <w:r w:rsidRPr="00923F4C">
        <w:rPr>
          <w:rFonts w:ascii="Times New Roman" w:eastAsia="Times New Roman" w:hAnsi="Times New Roman" w:cs="Times New Roman"/>
          <w:color w:val="000000"/>
          <w:sz w:val="24"/>
          <w:szCs w:val="24"/>
          <w:lang w:val="en-US"/>
        </w:rPr>
        <w:t xml:space="preserve"> instead defined a transformative work as something that “generally must alter the original with ‘new expression, meaning, or message.’”</w:t>
      </w:r>
      <w:r w:rsidR="009B54ED">
        <w:rPr>
          <w:rStyle w:val="FootnoteReference"/>
          <w:rFonts w:ascii="Times New Roman" w:eastAsia="Times New Roman" w:hAnsi="Times New Roman" w:cs="Times New Roman"/>
          <w:color w:val="000000"/>
          <w:sz w:val="24"/>
          <w:szCs w:val="24"/>
          <w:lang w:val="en-US"/>
        </w:rPr>
        <w:footnoteReference w:id="20"/>
      </w:r>
      <w:r w:rsidRPr="00923F4C">
        <w:rPr>
          <w:rFonts w:ascii="Times New Roman" w:eastAsia="Times New Roman" w:hAnsi="Times New Roman" w:cs="Times New Roman"/>
          <w:color w:val="000000"/>
          <w:sz w:val="24"/>
          <w:szCs w:val="24"/>
          <w:lang w:val="en-US"/>
        </w:rPr>
        <w:t xml:space="preserve"> </w:t>
      </w:r>
      <w:r w:rsidR="00CF5969">
        <w:rPr>
          <w:rFonts w:ascii="Times New Roman" w:eastAsia="Times New Roman" w:hAnsi="Times New Roman" w:cs="Times New Roman"/>
          <w:color w:val="000000"/>
          <w:sz w:val="24"/>
          <w:szCs w:val="24"/>
          <w:lang w:val="en-US"/>
        </w:rPr>
        <w:t>The Harvard Law Review expands that</w:t>
      </w:r>
      <w:r w:rsidRPr="00923F4C">
        <w:rPr>
          <w:rFonts w:ascii="Times New Roman" w:eastAsia="Times New Roman" w:hAnsi="Times New Roman" w:cs="Times New Roman"/>
          <w:color w:val="000000"/>
          <w:sz w:val="24"/>
          <w:szCs w:val="24"/>
          <w:lang w:val="en-US"/>
        </w:rPr>
        <w:t xml:space="preserve"> decision in </w:t>
      </w:r>
      <w:r w:rsidRPr="00923F4C">
        <w:rPr>
          <w:rFonts w:ascii="Times New Roman" w:eastAsia="Times New Roman" w:hAnsi="Times New Roman" w:cs="Times New Roman"/>
          <w:i/>
          <w:iCs/>
          <w:color w:val="000000"/>
          <w:sz w:val="24"/>
          <w:szCs w:val="24"/>
          <w:lang w:val="en-US"/>
        </w:rPr>
        <w:t>Cariou</w:t>
      </w:r>
      <w:r w:rsidRPr="00923F4C">
        <w:rPr>
          <w:rFonts w:ascii="Times New Roman" w:eastAsia="Times New Roman" w:hAnsi="Times New Roman" w:cs="Times New Roman"/>
          <w:color w:val="000000"/>
          <w:sz w:val="24"/>
          <w:szCs w:val="24"/>
          <w:lang w:val="en-US"/>
        </w:rPr>
        <w:t xml:space="preserve"> was also important because it did not require the transformative work to comment upon the original.</w:t>
      </w:r>
      <w:r w:rsidR="00CF5969">
        <w:rPr>
          <w:rStyle w:val="FootnoteReference"/>
          <w:rFonts w:ascii="Times New Roman" w:eastAsia="Times New Roman" w:hAnsi="Times New Roman" w:cs="Times New Roman"/>
          <w:color w:val="000000"/>
          <w:sz w:val="24"/>
          <w:szCs w:val="24"/>
          <w:lang w:val="en-US"/>
        </w:rPr>
        <w:footnoteReference w:id="21"/>
      </w:r>
      <w:r w:rsidRPr="00923F4C">
        <w:rPr>
          <w:rFonts w:ascii="Times New Roman" w:eastAsia="Times New Roman" w:hAnsi="Times New Roman" w:cs="Times New Roman"/>
          <w:color w:val="000000"/>
          <w:sz w:val="24"/>
          <w:szCs w:val="24"/>
          <w:lang w:val="en-US"/>
        </w:rPr>
        <w:t xml:space="preserve"> The Second Circuit had determined in cases before </w:t>
      </w:r>
      <w:r w:rsidRPr="00923F4C">
        <w:rPr>
          <w:rFonts w:ascii="Times New Roman" w:eastAsia="Times New Roman" w:hAnsi="Times New Roman" w:cs="Times New Roman"/>
          <w:i/>
          <w:iCs/>
          <w:color w:val="000000"/>
          <w:sz w:val="24"/>
          <w:szCs w:val="24"/>
          <w:lang w:val="en-US"/>
        </w:rPr>
        <w:t>Cariou</w:t>
      </w:r>
      <w:r w:rsidRPr="00923F4C">
        <w:rPr>
          <w:rFonts w:ascii="Times New Roman" w:eastAsia="Times New Roman" w:hAnsi="Times New Roman" w:cs="Times New Roman"/>
          <w:color w:val="000000"/>
          <w:sz w:val="24"/>
          <w:szCs w:val="24"/>
          <w:lang w:val="en-US"/>
        </w:rPr>
        <w:t xml:space="preserve"> that transformative works did not necessarily have to be parodies, but the decision in </w:t>
      </w:r>
      <w:r w:rsidRPr="00923F4C">
        <w:rPr>
          <w:rFonts w:ascii="Times New Roman" w:eastAsia="Times New Roman" w:hAnsi="Times New Roman" w:cs="Times New Roman"/>
          <w:i/>
          <w:iCs/>
          <w:color w:val="000000"/>
          <w:sz w:val="24"/>
          <w:szCs w:val="24"/>
          <w:lang w:val="en-US"/>
        </w:rPr>
        <w:t>Cariou</w:t>
      </w:r>
      <w:r w:rsidRPr="00923F4C">
        <w:rPr>
          <w:rFonts w:ascii="Times New Roman" w:eastAsia="Times New Roman" w:hAnsi="Times New Roman" w:cs="Times New Roman"/>
          <w:color w:val="000000"/>
          <w:sz w:val="24"/>
          <w:szCs w:val="24"/>
          <w:lang w:val="en-US"/>
        </w:rPr>
        <w:t xml:space="preserve"> further widened the scope.</w:t>
      </w:r>
      <w:r w:rsidR="009B54ED">
        <w:rPr>
          <w:rStyle w:val="FootnoteReference"/>
          <w:rFonts w:ascii="Times New Roman" w:eastAsia="Times New Roman" w:hAnsi="Times New Roman" w:cs="Times New Roman"/>
          <w:color w:val="000000"/>
          <w:sz w:val="24"/>
          <w:szCs w:val="24"/>
          <w:lang w:val="en-US"/>
        </w:rPr>
        <w:footnoteReference w:id="22"/>
      </w:r>
    </w:p>
    <w:p w14:paraId="30175789" w14:textId="04C22615" w:rsidR="00923F4C" w:rsidRPr="00923F4C" w:rsidRDefault="00F34A3D" w:rsidP="002342AA">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 xml:space="preserve">As digital technologies evolve, so must the copyright precedent to encompass them. </w:t>
      </w:r>
      <w:r w:rsidR="00923F4C" w:rsidRPr="00923F4C">
        <w:rPr>
          <w:rFonts w:ascii="Times New Roman" w:eastAsia="Times New Roman" w:hAnsi="Times New Roman" w:cs="Times New Roman"/>
          <w:i/>
          <w:iCs/>
          <w:color w:val="000000"/>
          <w:sz w:val="24"/>
          <w:szCs w:val="24"/>
          <w:lang w:val="en-US"/>
        </w:rPr>
        <w:t>Sony Corp. v. Universal City Studios, Inc.</w:t>
      </w:r>
      <w:r w:rsidR="00923F4C" w:rsidRPr="00923F4C">
        <w:rPr>
          <w:rFonts w:ascii="Times New Roman" w:eastAsia="Times New Roman" w:hAnsi="Times New Roman" w:cs="Times New Roman"/>
          <w:color w:val="000000"/>
          <w:sz w:val="24"/>
          <w:szCs w:val="24"/>
          <w:lang w:val="en-US"/>
        </w:rPr>
        <w:t xml:space="preserve"> was a critical copyright case which expanded on fair use for digital mediums and emphasized the rights of private consumers. Sony was the manufacturer of the Betamax VTR, which allowed consumers to tape and replay broadcast television.</w:t>
      </w:r>
      <w:r w:rsidR="00940BBF">
        <w:rPr>
          <w:rStyle w:val="FootnoteReference"/>
          <w:rFonts w:ascii="Times New Roman" w:eastAsia="Times New Roman" w:hAnsi="Times New Roman" w:cs="Times New Roman"/>
          <w:color w:val="000000"/>
          <w:sz w:val="24"/>
          <w:szCs w:val="24"/>
          <w:lang w:val="en-US"/>
        </w:rPr>
        <w:footnoteReference w:id="23"/>
      </w:r>
      <w:r w:rsidR="00923F4C" w:rsidRPr="00923F4C">
        <w:rPr>
          <w:rFonts w:ascii="Times New Roman" w:eastAsia="Times New Roman" w:hAnsi="Times New Roman" w:cs="Times New Roman"/>
          <w:color w:val="000000"/>
          <w:sz w:val="24"/>
          <w:szCs w:val="24"/>
          <w:lang w:val="en-US"/>
        </w:rPr>
        <w:t xml:space="preserve"> In 1976, Universal City Studios sued Sony in California District Court over the Betamax, alleging that </w:t>
      </w:r>
      <w:r w:rsidR="00923F4C" w:rsidRPr="00923F4C">
        <w:rPr>
          <w:rFonts w:ascii="Times New Roman" w:eastAsia="Times New Roman" w:hAnsi="Times New Roman" w:cs="Times New Roman"/>
          <w:color w:val="000000"/>
          <w:sz w:val="24"/>
          <w:szCs w:val="24"/>
          <w:lang w:val="en-US"/>
        </w:rPr>
        <w:lastRenderedPageBreak/>
        <w:t>“home recording of television constitutes copyright infringement, and that Sony was directly, contributorily, or vicariously liable for the infringement.”</w:t>
      </w:r>
      <w:r w:rsidR="00940BBF">
        <w:rPr>
          <w:rStyle w:val="FootnoteReference"/>
          <w:rFonts w:ascii="Times New Roman" w:eastAsia="Times New Roman" w:hAnsi="Times New Roman" w:cs="Times New Roman"/>
          <w:color w:val="000000"/>
          <w:sz w:val="24"/>
          <w:szCs w:val="24"/>
          <w:lang w:val="en-US"/>
        </w:rPr>
        <w:footnoteReference w:id="24"/>
      </w:r>
      <w:r w:rsidR="00923F4C" w:rsidRPr="00923F4C">
        <w:rPr>
          <w:rFonts w:ascii="Times New Roman" w:eastAsia="Times New Roman" w:hAnsi="Times New Roman" w:cs="Times New Roman"/>
          <w:color w:val="000000"/>
          <w:sz w:val="24"/>
          <w:szCs w:val="24"/>
          <w:lang w:val="en-US"/>
        </w:rPr>
        <w:t xml:space="preserve"> The court ruled in favor of the defendants.</w:t>
      </w:r>
      <w:r w:rsidR="00940BBF">
        <w:rPr>
          <w:rFonts w:ascii="Times New Roman" w:eastAsia="Times New Roman" w:hAnsi="Times New Roman" w:cs="Times New Roman"/>
          <w:color w:val="000000"/>
          <w:sz w:val="24"/>
          <w:szCs w:val="24"/>
          <w:lang w:val="en-US"/>
        </w:rPr>
        <w:t xml:space="preserve"> As written by the Virginia Law Review, it found</w:t>
      </w:r>
      <w:r w:rsidR="00923F4C" w:rsidRPr="00923F4C">
        <w:rPr>
          <w:rFonts w:ascii="Times New Roman" w:eastAsia="Times New Roman" w:hAnsi="Times New Roman" w:cs="Times New Roman"/>
          <w:color w:val="000000"/>
          <w:sz w:val="24"/>
          <w:szCs w:val="24"/>
          <w:lang w:val="en-US"/>
        </w:rPr>
        <w:t xml:space="preserve"> that home recording specifically for noncommercial home use was exempt from infringement by the Copyright Act of 1976, and because it the enforcement of noncommercial home recordings would beget privacy issues.</w:t>
      </w:r>
      <w:r w:rsidR="00940BBF">
        <w:rPr>
          <w:rStyle w:val="FootnoteReference"/>
          <w:rFonts w:ascii="Times New Roman" w:eastAsia="Times New Roman" w:hAnsi="Times New Roman" w:cs="Times New Roman"/>
          <w:color w:val="000000"/>
          <w:sz w:val="24"/>
          <w:szCs w:val="24"/>
          <w:lang w:val="en-US"/>
        </w:rPr>
        <w:footnoteReference w:id="25"/>
      </w:r>
      <w:r w:rsidR="00923F4C" w:rsidRPr="00923F4C">
        <w:rPr>
          <w:rFonts w:ascii="Times New Roman" w:eastAsia="Times New Roman" w:hAnsi="Times New Roman" w:cs="Times New Roman"/>
          <w:color w:val="000000"/>
          <w:sz w:val="24"/>
          <w:szCs w:val="24"/>
          <w:lang w:val="en-US"/>
        </w:rPr>
        <w:t xml:space="preserve"> The court also ruled against Universal City Studio’s allegation that Sony sold the Betamax knowing that their consumers may take part in an infringing activity. It found that the probability of economic harm to the plaintiffs was speculative and concluded that Universal City Studios could not prove market losses.</w:t>
      </w:r>
      <w:r w:rsidR="00940BBF">
        <w:rPr>
          <w:rStyle w:val="FootnoteReference"/>
          <w:rFonts w:ascii="Times New Roman" w:eastAsia="Times New Roman" w:hAnsi="Times New Roman" w:cs="Times New Roman"/>
          <w:color w:val="000000"/>
          <w:sz w:val="24"/>
          <w:szCs w:val="24"/>
          <w:lang w:val="en-US"/>
        </w:rPr>
        <w:footnoteReference w:id="26"/>
      </w:r>
      <w:r w:rsidR="00923F4C" w:rsidRPr="00923F4C">
        <w:rPr>
          <w:rFonts w:ascii="Times New Roman" w:eastAsia="Times New Roman" w:hAnsi="Times New Roman" w:cs="Times New Roman"/>
          <w:color w:val="000000"/>
          <w:sz w:val="24"/>
          <w:szCs w:val="24"/>
          <w:lang w:val="en-US"/>
        </w:rPr>
        <w:t xml:space="preserve"> Additionally, the court held that the plaintiffs would “deprive Sony of financial reward for years of investment and improvement of this technology,”</w:t>
      </w:r>
      <w:r w:rsidR="00940BBF">
        <w:rPr>
          <w:rStyle w:val="FootnoteReference"/>
          <w:rFonts w:ascii="Times New Roman" w:eastAsia="Times New Roman" w:hAnsi="Times New Roman" w:cs="Times New Roman"/>
          <w:color w:val="000000"/>
          <w:sz w:val="24"/>
          <w:szCs w:val="24"/>
          <w:lang w:val="en-US"/>
        </w:rPr>
        <w:footnoteReference w:id="27"/>
      </w:r>
      <w:r w:rsidR="00923F4C" w:rsidRPr="00923F4C">
        <w:rPr>
          <w:rFonts w:ascii="Times New Roman" w:eastAsia="Times New Roman" w:hAnsi="Times New Roman" w:cs="Times New Roman"/>
          <w:color w:val="000000"/>
          <w:sz w:val="24"/>
          <w:szCs w:val="24"/>
          <w:lang w:val="en-US"/>
        </w:rPr>
        <w:t xml:space="preserve"> a judgement which </w:t>
      </w:r>
      <w:r w:rsidR="00CF5969">
        <w:rPr>
          <w:rFonts w:ascii="Times New Roman" w:eastAsia="Times New Roman" w:hAnsi="Times New Roman" w:cs="Times New Roman"/>
          <w:color w:val="000000"/>
          <w:sz w:val="24"/>
          <w:szCs w:val="24"/>
          <w:lang w:val="en-US"/>
        </w:rPr>
        <w:t xml:space="preserve">the Virginia Law Review held </w:t>
      </w:r>
      <w:r w:rsidR="00923F4C" w:rsidRPr="00923F4C">
        <w:rPr>
          <w:rFonts w:ascii="Times New Roman" w:eastAsia="Times New Roman" w:hAnsi="Times New Roman" w:cs="Times New Roman"/>
          <w:color w:val="000000"/>
          <w:sz w:val="24"/>
          <w:szCs w:val="24"/>
          <w:lang w:val="en-US"/>
        </w:rPr>
        <w:t>protected digital innovations.</w:t>
      </w:r>
      <w:r w:rsidR="00515F2A">
        <w:rPr>
          <w:rStyle w:val="FootnoteReference"/>
          <w:rFonts w:ascii="Times New Roman" w:eastAsia="Times New Roman" w:hAnsi="Times New Roman" w:cs="Times New Roman"/>
          <w:color w:val="000000"/>
          <w:sz w:val="24"/>
          <w:szCs w:val="24"/>
          <w:lang w:val="en-US"/>
        </w:rPr>
        <w:footnoteReference w:id="28"/>
      </w:r>
      <w:r w:rsidR="00923F4C" w:rsidRPr="00923F4C">
        <w:rPr>
          <w:rFonts w:ascii="Times New Roman" w:eastAsia="Times New Roman" w:hAnsi="Times New Roman" w:cs="Times New Roman"/>
          <w:color w:val="000000"/>
          <w:sz w:val="24"/>
          <w:szCs w:val="24"/>
          <w:lang w:val="en-US"/>
        </w:rPr>
        <w:t> </w:t>
      </w:r>
    </w:p>
    <w:p w14:paraId="4CE05064" w14:textId="36C8A8CD" w:rsidR="00923F4C" w:rsidRPr="00923F4C" w:rsidRDefault="00923F4C" w:rsidP="005A0319">
      <w:pPr>
        <w:spacing w:line="480" w:lineRule="auto"/>
        <w:ind w:firstLine="720"/>
        <w:rPr>
          <w:rFonts w:ascii="Times New Roman" w:eastAsia="Times New Roman" w:hAnsi="Times New Roman" w:cs="Times New Roman"/>
          <w:sz w:val="24"/>
          <w:szCs w:val="24"/>
          <w:lang w:val="en-US"/>
        </w:rPr>
      </w:pPr>
      <w:r w:rsidRPr="00923F4C">
        <w:rPr>
          <w:rFonts w:ascii="Times New Roman" w:eastAsia="Times New Roman" w:hAnsi="Times New Roman" w:cs="Times New Roman"/>
          <w:color w:val="000000"/>
          <w:sz w:val="24"/>
          <w:szCs w:val="24"/>
          <w:lang w:val="en-US"/>
        </w:rPr>
        <w:t xml:space="preserve">The Ninth Circuit Court reversed the decision of the lower court, </w:t>
      </w:r>
      <w:r w:rsidR="005A0319">
        <w:rPr>
          <w:rFonts w:ascii="Times New Roman" w:eastAsia="Times New Roman" w:hAnsi="Times New Roman" w:cs="Times New Roman"/>
          <w:color w:val="000000"/>
          <w:sz w:val="24"/>
          <w:szCs w:val="24"/>
          <w:lang w:val="en-US"/>
        </w:rPr>
        <w:t xml:space="preserve">reported on by Touro Law Review, </w:t>
      </w:r>
      <w:r w:rsidRPr="00923F4C">
        <w:rPr>
          <w:rFonts w:ascii="Times New Roman" w:eastAsia="Times New Roman" w:hAnsi="Times New Roman" w:cs="Times New Roman"/>
          <w:color w:val="000000"/>
          <w:sz w:val="24"/>
          <w:szCs w:val="24"/>
          <w:lang w:val="en-US"/>
        </w:rPr>
        <w:t>finding that Sony was liable for contributory infringement.</w:t>
      </w:r>
      <w:r w:rsidR="005A0319">
        <w:rPr>
          <w:rStyle w:val="FootnoteReference"/>
          <w:rFonts w:ascii="Times New Roman" w:eastAsia="Times New Roman" w:hAnsi="Times New Roman" w:cs="Times New Roman"/>
          <w:color w:val="000000"/>
          <w:sz w:val="24"/>
          <w:szCs w:val="24"/>
          <w:lang w:val="en-US"/>
        </w:rPr>
        <w:footnoteReference w:id="29"/>
      </w:r>
      <w:r w:rsidRPr="00923F4C">
        <w:rPr>
          <w:rFonts w:ascii="Times New Roman" w:eastAsia="Times New Roman" w:hAnsi="Times New Roman" w:cs="Times New Roman"/>
          <w:color w:val="000000"/>
          <w:sz w:val="24"/>
          <w:szCs w:val="24"/>
          <w:lang w:val="en-US"/>
        </w:rPr>
        <w:t xml:space="preserve"> Sony appealed to the Supreme Court, which reversed the ruling of the Ninth Circuit in 1984. The Supreme Court upheld the opinion of the district court. It agreed that the fair use doctrine protected VTR technology because it was capable of noncommercial home use. Importantly, </w:t>
      </w:r>
      <w:r w:rsidR="00940BBF">
        <w:rPr>
          <w:rFonts w:ascii="Times New Roman" w:eastAsia="Times New Roman" w:hAnsi="Times New Roman" w:cs="Times New Roman"/>
          <w:color w:val="000000"/>
          <w:sz w:val="24"/>
          <w:szCs w:val="24"/>
          <w:lang w:val="en-US"/>
        </w:rPr>
        <w:t xml:space="preserve">as noted by legislative attorney Robin Jeweler, the court said </w:t>
      </w:r>
      <w:r w:rsidRPr="00923F4C">
        <w:rPr>
          <w:rFonts w:ascii="Times New Roman" w:eastAsia="Times New Roman" w:hAnsi="Times New Roman" w:cs="Times New Roman"/>
          <w:color w:val="000000"/>
          <w:sz w:val="24"/>
          <w:szCs w:val="24"/>
          <w:lang w:val="en-US"/>
        </w:rPr>
        <w:t xml:space="preserve">that the sale of the Betamax was protected, because the Copyright Act of 1976 did not “encompass control over an article of commerce that </w:t>
      </w:r>
      <w:r w:rsidRPr="00923F4C">
        <w:rPr>
          <w:rFonts w:ascii="Times New Roman" w:eastAsia="Times New Roman" w:hAnsi="Times New Roman" w:cs="Times New Roman"/>
          <w:color w:val="000000"/>
          <w:sz w:val="24"/>
          <w:szCs w:val="24"/>
          <w:lang w:val="en-US"/>
        </w:rPr>
        <w:lastRenderedPageBreak/>
        <w:t>is not the object of copyright protection.”</w:t>
      </w:r>
      <w:r w:rsidR="005A0319">
        <w:rPr>
          <w:rStyle w:val="FootnoteReference"/>
          <w:rFonts w:ascii="Times New Roman" w:eastAsia="Times New Roman" w:hAnsi="Times New Roman" w:cs="Times New Roman"/>
          <w:color w:val="000000"/>
          <w:sz w:val="24"/>
          <w:szCs w:val="24"/>
          <w:lang w:val="en-US"/>
        </w:rPr>
        <w:footnoteReference w:id="30"/>
      </w:r>
      <w:r w:rsidRPr="00923F4C">
        <w:rPr>
          <w:rFonts w:ascii="Times New Roman" w:eastAsia="Times New Roman" w:hAnsi="Times New Roman" w:cs="Times New Roman"/>
          <w:color w:val="000000"/>
          <w:sz w:val="24"/>
          <w:szCs w:val="24"/>
          <w:lang w:val="en-US"/>
        </w:rPr>
        <w:t xml:space="preserve"> The court also found that the Betamax did not financially impair the plaintiff’s copyrighted works.</w:t>
      </w:r>
      <w:r w:rsidR="00940BBF">
        <w:rPr>
          <w:rStyle w:val="FootnoteReference"/>
          <w:rFonts w:ascii="Times New Roman" w:eastAsia="Times New Roman" w:hAnsi="Times New Roman" w:cs="Times New Roman"/>
          <w:color w:val="000000"/>
          <w:sz w:val="24"/>
          <w:szCs w:val="24"/>
          <w:lang w:val="en-US"/>
        </w:rPr>
        <w:footnoteReference w:id="31"/>
      </w:r>
      <w:r w:rsidRPr="00923F4C">
        <w:rPr>
          <w:rFonts w:ascii="Times New Roman" w:eastAsia="Times New Roman" w:hAnsi="Times New Roman" w:cs="Times New Roman"/>
          <w:color w:val="000000"/>
          <w:sz w:val="24"/>
          <w:szCs w:val="24"/>
          <w:lang w:val="en-US"/>
        </w:rPr>
        <w:t> </w:t>
      </w:r>
    </w:p>
    <w:p w14:paraId="5478FBAC" w14:textId="42363B4A" w:rsidR="00923F4C" w:rsidRPr="00923F4C" w:rsidRDefault="008F49A7" w:rsidP="00923F4C">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The doctrine of the Betamax case is an important one because</w:t>
      </w:r>
      <w:r w:rsidR="00CF5969">
        <w:rPr>
          <w:rFonts w:ascii="Times New Roman" w:eastAsia="Times New Roman" w:hAnsi="Times New Roman" w:cs="Times New Roman"/>
          <w:color w:val="000000"/>
          <w:sz w:val="24"/>
          <w:szCs w:val="24"/>
          <w:lang w:val="en-US"/>
        </w:rPr>
        <w:t xml:space="preserve">, as noted by the Touro Law Review, </w:t>
      </w:r>
      <w:r>
        <w:rPr>
          <w:rFonts w:ascii="Times New Roman" w:eastAsia="Times New Roman" w:hAnsi="Times New Roman" w:cs="Times New Roman"/>
          <w:color w:val="000000"/>
          <w:sz w:val="24"/>
          <w:szCs w:val="24"/>
          <w:lang w:val="en-US"/>
        </w:rPr>
        <w:t>it</w:t>
      </w:r>
      <w:r w:rsidR="00F34A3D">
        <w:rPr>
          <w:rFonts w:ascii="Times New Roman" w:eastAsia="Times New Roman" w:hAnsi="Times New Roman" w:cs="Times New Roman"/>
          <w:color w:val="000000"/>
          <w:sz w:val="24"/>
          <w:szCs w:val="24"/>
          <w:lang w:val="en-US"/>
        </w:rPr>
        <w:t xml:space="preserve"> protected the rights of companies to innovate new technologies and the rights private consumers to create content.</w:t>
      </w:r>
      <w:r w:rsidR="00CF5969">
        <w:rPr>
          <w:rStyle w:val="FootnoteReference"/>
          <w:rFonts w:ascii="Times New Roman" w:eastAsia="Times New Roman" w:hAnsi="Times New Roman" w:cs="Times New Roman"/>
          <w:color w:val="000000"/>
          <w:sz w:val="24"/>
          <w:szCs w:val="24"/>
          <w:lang w:val="en-US"/>
        </w:rPr>
        <w:footnoteReference w:id="32"/>
      </w:r>
      <w:r w:rsidR="00F34A3D">
        <w:rPr>
          <w:rFonts w:ascii="Times New Roman" w:eastAsia="Times New Roman" w:hAnsi="Times New Roman" w:cs="Times New Roman"/>
          <w:color w:val="000000"/>
          <w:sz w:val="24"/>
          <w:szCs w:val="24"/>
          <w:lang w:val="en-US"/>
        </w:rPr>
        <w:t xml:space="preserve"> This decision has </w:t>
      </w:r>
      <w:r>
        <w:rPr>
          <w:rFonts w:ascii="Times New Roman" w:eastAsia="Times New Roman" w:hAnsi="Times New Roman" w:cs="Times New Roman"/>
          <w:color w:val="000000"/>
          <w:sz w:val="24"/>
          <w:szCs w:val="24"/>
          <w:lang w:val="en-US"/>
        </w:rPr>
        <w:t xml:space="preserve">since been revisited in the context of new digital technologies. The protections in </w:t>
      </w:r>
      <w:r>
        <w:rPr>
          <w:rFonts w:ascii="Times New Roman" w:eastAsia="Times New Roman" w:hAnsi="Times New Roman" w:cs="Times New Roman"/>
          <w:i/>
          <w:iCs/>
          <w:color w:val="000000"/>
          <w:sz w:val="24"/>
          <w:szCs w:val="24"/>
          <w:lang w:val="en-US"/>
        </w:rPr>
        <w:t>Sony</w:t>
      </w:r>
      <w:r>
        <w:rPr>
          <w:rFonts w:ascii="Times New Roman" w:eastAsia="Times New Roman" w:hAnsi="Times New Roman" w:cs="Times New Roman"/>
          <w:color w:val="000000"/>
          <w:sz w:val="24"/>
          <w:szCs w:val="24"/>
          <w:lang w:val="en-US"/>
        </w:rPr>
        <w:t xml:space="preserve"> have not applied in subsequent cases where the technologies were shown to have substantial infringing uses. </w:t>
      </w:r>
      <w:r w:rsidR="00923F4C" w:rsidRPr="00923F4C">
        <w:rPr>
          <w:rFonts w:ascii="Times New Roman" w:eastAsia="Times New Roman" w:hAnsi="Times New Roman" w:cs="Times New Roman"/>
          <w:i/>
          <w:iCs/>
          <w:color w:val="000000"/>
          <w:sz w:val="24"/>
          <w:szCs w:val="24"/>
          <w:lang w:val="en-US"/>
        </w:rPr>
        <w:t>A&amp;M Records, Inc. v. Napster, Inc.</w:t>
      </w:r>
      <w:r w:rsidR="00923F4C" w:rsidRPr="00923F4C">
        <w:rPr>
          <w:rFonts w:ascii="Times New Roman" w:eastAsia="Times New Roman" w:hAnsi="Times New Roman" w:cs="Times New Roman"/>
          <w:color w:val="000000"/>
          <w:sz w:val="24"/>
          <w:szCs w:val="24"/>
          <w:lang w:val="en-US"/>
        </w:rPr>
        <w:t xml:space="preserve"> is one such case</w:t>
      </w:r>
      <w:r>
        <w:rPr>
          <w:rFonts w:ascii="Times New Roman" w:eastAsia="Times New Roman" w:hAnsi="Times New Roman" w:cs="Times New Roman"/>
          <w:color w:val="000000"/>
          <w:sz w:val="24"/>
          <w:szCs w:val="24"/>
          <w:lang w:val="en-US"/>
        </w:rPr>
        <w:t>, as discussed by a Washington University case study</w:t>
      </w:r>
      <w:r w:rsidR="00923F4C" w:rsidRPr="00923F4C">
        <w:rPr>
          <w:rFonts w:ascii="Times New Roman" w:eastAsia="Times New Roman" w:hAnsi="Times New Roman" w:cs="Times New Roman"/>
          <w:color w:val="000000"/>
          <w:sz w:val="24"/>
          <w:szCs w:val="24"/>
          <w:lang w:val="en-US"/>
        </w:rPr>
        <w:t>. Napster was a peer-to-peer network, which is a network that can transfer data directly between individual computers without using a server.</w:t>
      </w:r>
      <w:r>
        <w:rPr>
          <w:rStyle w:val="FootnoteReference"/>
          <w:rFonts w:ascii="Times New Roman" w:eastAsia="Times New Roman" w:hAnsi="Times New Roman" w:cs="Times New Roman"/>
          <w:color w:val="000000"/>
          <w:sz w:val="24"/>
          <w:szCs w:val="24"/>
          <w:lang w:val="en-US"/>
        </w:rPr>
        <w:footnoteReference w:id="33"/>
      </w:r>
      <w:r w:rsidR="00923F4C" w:rsidRPr="00923F4C">
        <w:rPr>
          <w:rFonts w:ascii="Times New Roman" w:eastAsia="Times New Roman" w:hAnsi="Times New Roman" w:cs="Times New Roman"/>
          <w:color w:val="000000"/>
          <w:sz w:val="24"/>
          <w:szCs w:val="24"/>
          <w:lang w:val="en-US"/>
        </w:rPr>
        <w:t xml:space="preserve"> A&amp;M Records sued Napster for copyright infringement because the network allowed users to distribute their music for free. The Ninth Circuit Court ruled that Napster was liable for copyright infringement. It found that the recordings being distributed were not fair use because they copied the entirety of the original music.</w:t>
      </w:r>
      <w:r>
        <w:rPr>
          <w:rStyle w:val="FootnoteReference"/>
          <w:rFonts w:ascii="Times New Roman" w:eastAsia="Times New Roman" w:hAnsi="Times New Roman" w:cs="Times New Roman"/>
          <w:color w:val="000000"/>
          <w:sz w:val="24"/>
          <w:szCs w:val="24"/>
          <w:lang w:val="en-US"/>
        </w:rPr>
        <w:footnoteReference w:id="34"/>
      </w:r>
      <w:r w:rsidR="00923F4C" w:rsidRPr="00923F4C">
        <w:rPr>
          <w:rFonts w:ascii="Times New Roman" w:eastAsia="Times New Roman" w:hAnsi="Times New Roman" w:cs="Times New Roman"/>
          <w:color w:val="000000"/>
          <w:sz w:val="24"/>
          <w:szCs w:val="24"/>
          <w:lang w:val="en-US"/>
        </w:rPr>
        <w:t xml:space="preserve"> The court also found that Napster caused substantial financial harm by reducing CD sales among college students, affecting the market for the copyrighted work.</w:t>
      </w:r>
      <w:r w:rsidR="00DA5329">
        <w:rPr>
          <w:rStyle w:val="FootnoteReference"/>
          <w:rFonts w:ascii="Times New Roman" w:eastAsia="Times New Roman" w:hAnsi="Times New Roman" w:cs="Times New Roman"/>
          <w:color w:val="000000"/>
          <w:sz w:val="24"/>
          <w:szCs w:val="24"/>
          <w:lang w:val="en-US"/>
        </w:rPr>
        <w:footnoteReference w:id="35"/>
      </w:r>
      <w:r w:rsidR="00923F4C" w:rsidRPr="00923F4C">
        <w:rPr>
          <w:rFonts w:ascii="Times New Roman" w:eastAsia="Times New Roman" w:hAnsi="Times New Roman" w:cs="Times New Roman"/>
          <w:color w:val="000000"/>
          <w:sz w:val="24"/>
          <w:szCs w:val="24"/>
          <w:lang w:val="en-US"/>
        </w:rPr>
        <w:t xml:space="preserve"> Unlike in </w:t>
      </w:r>
      <w:r w:rsidR="00923F4C" w:rsidRPr="00923F4C">
        <w:rPr>
          <w:rFonts w:ascii="Times New Roman" w:eastAsia="Times New Roman" w:hAnsi="Times New Roman" w:cs="Times New Roman"/>
          <w:i/>
          <w:iCs/>
          <w:color w:val="000000"/>
          <w:sz w:val="24"/>
          <w:szCs w:val="24"/>
          <w:lang w:val="en-US"/>
        </w:rPr>
        <w:t>Sony</w:t>
      </w:r>
      <w:r w:rsidR="00923F4C" w:rsidRPr="00923F4C">
        <w:rPr>
          <w:rFonts w:ascii="Times New Roman" w:eastAsia="Times New Roman" w:hAnsi="Times New Roman" w:cs="Times New Roman"/>
          <w:color w:val="000000"/>
          <w:sz w:val="24"/>
          <w:szCs w:val="24"/>
          <w:lang w:val="en-US"/>
        </w:rPr>
        <w:t>, where it was found that the technology was capable of non</w:t>
      </w:r>
      <w:r>
        <w:rPr>
          <w:rFonts w:ascii="Times New Roman" w:eastAsia="Times New Roman" w:hAnsi="Times New Roman" w:cs="Times New Roman"/>
          <w:color w:val="000000"/>
          <w:sz w:val="24"/>
          <w:szCs w:val="24"/>
          <w:lang w:val="en-US"/>
        </w:rPr>
        <w:t>-</w:t>
      </w:r>
      <w:r w:rsidR="00923F4C" w:rsidRPr="00923F4C">
        <w:rPr>
          <w:rFonts w:ascii="Times New Roman" w:eastAsia="Times New Roman" w:hAnsi="Times New Roman" w:cs="Times New Roman"/>
          <w:color w:val="000000"/>
          <w:sz w:val="24"/>
          <w:szCs w:val="24"/>
          <w:lang w:val="en-US"/>
        </w:rPr>
        <w:t>infringing home use, the court ruled that Napster was too vast and anonymous a service to be considered personal use.</w:t>
      </w:r>
      <w:r>
        <w:rPr>
          <w:rStyle w:val="FootnoteReference"/>
          <w:rFonts w:ascii="Times New Roman" w:eastAsia="Times New Roman" w:hAnsi="Times New Roman" w:cs="Times New Roman"/>
          <w:color w:val="000000"/>
          <w:sz w:val="24"/>
          <w:szCs w:val="24"/>
          <w:lang w:val="en-US"/>
        </w:rPr>
        <w:footnoteReference w:id="36"/>
      </w:r>
      <w:r w:rsidR="00923F4C" w:rsidRPr="00923F4C">
        <w:rPr>
          <w:rFonts w:ascii="Times New Roman" w:eastAsia="Times New Roman" w:hAnsi="Times New Roman" w:cs="Times New Roman"/>
          <w:color w:val="000000"/>
          <w:sz w:val="24"/>
          <w:szCs w:val="24"/>
          <w:lang w:val="en-US"/>
        </w:rPr>
        <w:t xml:space="preserve"> Additionally, the court found that Napster was liable for contributory infringement because they had knowledge of widespread copyright infringement but </w:t>
      </w:r>
      <w:r w:rsidR="00923F4C" w:rsidRPr="00923F4C">
        <w:rPr>
          <w:rFonts w:ascii="Times New Roman" w:eastAsia="Times New Roman" w:hAnsi="Times New Roman" w:cs="Times New Roman"/>
          <w:color w:val="000000"/>
          <w:sz w:val="24"/>
          <w:szCs w:val="24"/>
          <w:lang w:val="en-US"/>
        </w:rPr>
        <w:lastRenderedPageBreak/>
        <w:t>did nothing to curb it. Napster was not eligible for protection because it made no effort to issue takedown notices or remove infringing content.</w:t>
      </w:r>
      <w:r>
        <w:rPr>
          <w:rStyle w:val="FootnoteReference"/>
          <w:rFonts w:ascii="Times New Roman" w:eastAsia="Times New Roman" w:hAnsi="Times New Roman" w:cs="Times New Roman"/>
          <w:color w:val="000000"/>
          <w:sz w:val="24"/>
          <w:szCs w:val="24"/>
          <w:lang w:val="en-US"/>
        </w:rPr>
        <w:footnoteReference w:id="37"/>
      </w:r>
    </w:p>
    <w:p w14:paraId="405BCC2D" w14:textId="239553E3" w:rsidR="00923F4C" w:rsidRPr="00923F4C" w:rsidRDefault="00923F4C" w:rsidP="002342AA">
      <w:pPr>
        <w:spacing w:line="480" w:lineRule="auto"/>
        <w:ind w:firstLine="720"/>
        <w:rPr>
          <w:rFonts w:ascii="Times New Roman" w:eastAsia="Times New Roman" w:hAnsi="Times New Roman" w:cs="Times New Roman"/>
          <w:sz w:val="24"/>
          <w:szCs w:val="24"/>
          <w:lang w:val="en-US"/>
        </w:rPr>
      </w:pPr>
      <w:r w:rsidRPr="00923F4C">
        <w:rPr>
          <w:rFonts w:ascii="Times New Roman" w:eastAsia="Times New Roman" w:hAnsi="Times New Roman" w:cs="Times New Roman"/>
          <w:i/>
          <w:iCs/>
          <w:color w:val="000000"/>
          <w:sz w:val="24"/>
          <w:szCs w:val="24"/>
          <w:lang w:val="en-US"/>
        </w:rPr>
        <w:t>Sony</w:t>
      </w:r>
      <w:r w:rsidRPr="00923F4C">
        <w:rPr>
          <w:rFonts w:ascii="Times New Roman" w:eastAsia="Times New Roman" w:hAnsi="Times New Roman" w:cs="Times New Roman"/>
          <w:color w:val="000000"/>
          <w:sz w:val="24"/>
          <w:szCs w:val="24"/>
          <w:lang w:val="en-US"/>
        </w:rPr>
        <w:t xml:space="preserve"> was again revisited in </w:t>
      </w:r>
      <w:r w:rsidRPr="00923F4C">
        <w:rPr>
          <w:rFonts w:ascii="Times New Roman" w:eastAsia="Times New Roman" w:hAnsi="Times New Roman" w:cs="Times New Roman"/>
          <w:i/>
          <w:iCs/>
          <w:color w:val="000000"/>
          <w:sz w:val="24"/>
          <w:szCs w:val="24"/>
          <w:lang w:val="en-US"/>
        </w:rPr>
        <w:t>MGM Studios, Inc. v. Grokster, Ltd.</w:t>
      </w:r>
      <w:r w:rsidRPr="00923F4C">
        <w:rPr>
          <w:rFonts w:ascii="Times New Roman" w:eastAsia="Times New Roman" w:hAnsi="Times New Roman" w:cs="Times New Roman"/>
          <w:color w:val="000000"/>
          <w:sz w:val="24"/>
          <w:szCs w:val="24"/>
          <w:lang w:val="en-US"/>
        </w:rPr>
        <w:t xml:space="preserve"> in 2005. Grokster was sued for copyright infringement, like in </w:t>
      </w:r>
      <w:r w:rsidRPr="00923F4C">
        <w:rPr>
          <w:rFonts w:ascii="Times New Roman" w:eastAsia="Times New Roman" w:hAnsi="Times New Roman" w:cs="Times New Roman"/>
          <w:i/>
          <w:iCs/>
          <w:color w:val="000000"/>
          <w:sz w:val="24"/>
          <w:szCs w:val="24"/>
          <w:lang w:val="en-US"/>
        </w:rPr>
        <w:t>Napster</w:t>
      </w:r>
      <w:r w:rsidRPr="00923F4C">
        <w:rPr>
          <w:rFonts w:ascii="Times New Roman" w:eastAsia="Times New Roman" w:hAnsi="Times New Roman" w:cs="Times New Roman"/>
          <w:color w:val="000000"/>
          <w:sz w:val="24"/>
          <w:szCs w:val="24"/>
          <w:lang w:val="en-US"/>
        </w:rPr>
        <w:t xml:space="preserve">, for the use of peer-to-peer file sharing networks. The lower courts ruled in favor of Grokster, citing the precedent of the Betamax case which protected the technology </w:t>
      </w:r>
      <w:r w:rsidR="00914DEF" w:rsidRPr="00923F4C">
        <w:rPr>
          <w:rFonts w:ascii="Times New Roman" w:eastAsia="Times New Roman" w:hAnsi="Times New Roman" w:cs="Times New Roman"/>
          <w:color w:val="000000"/>
          <w:sz w:val="24"/>
          <w:szCs w:val="24"/>
          <w:lang w:val="en-US"/>
        </w:rPr>
        <w:t>if</w:t>
      </w:r>
      <w:r w:rsidRPr="00923F4C">
        <w:rPr>
          <w:rFonts w:ascii="Times New Roman" w:eastAsia="Times New Roman" w:hAnsi="Times New Roman" w:cs="Times New Roman"/>
          <w:color w:val="000000"/>
          <w:sz w:val="24"/>
          <w:szCs w:val="24"/>
          <w:lang w:val="en-US"/>
        </w:rPr>
        <w:t xml:space="preserve"> it was “capable of substantial </w:t>
      </w:r>
      <w:r w:rsidR="008F49A7" w:rsidRPr="00923F4C">
        <w:rPr>
          <w:rFonts w:ascii="Times New Roman" w:eastAsia="Times New Roman" w:hAnsi="Times New Roman" w:cs="Times New Roman"/>
          <w:color w:val="000000"/>
          <w:sz w:val="24"/>
          <w:szCs w:val="24"/>
          <w:lang w:val="en-US"/>
        </w:rPr>
        <w:t>no</w:t>
      </w:r>
      <w:r w:rsidR="008F49A7">
        <w:rPr>
          <w:rFonts w:ascii="Times New Roman" w:eastAsia="Times New Roman" w:hAnsi="Times New Roman" w:cs="Times New Roman"/>
          <w:color w:val="000000"/>
          <w:sz w:val="24"/>
          <w:szCs w:val="24"/>
          <w:lang w:val="en-US"/>
        </w:rPr>
        <w:t>n-</w:t>
      </w:r>
      <w:r w:rsidR="008F49A7" w:rsidRPr="00923F4C">
        <w:rPr>
          <w:rFonts w:ascii="Times New Roman" w:eastAsia="Times New Roman" w:hAnsi="Times New Roman" w:cs="Times New Roman"/>
          <w:color w:val="000000"/>
          <w:sz w:val="24"/>
          <w:szCs w:val="24"/>
          <w:lang w:val="en-US"/>
        </w:rPr>
        <w:t>infringing</w:t>
      </w:r>
      <w:r w:rsidRPr="00923F4C">
        <w:rPr>
          <w:rFonts w:ascii="Times New Roman" w:eastAsia="Times New Roman" w:hAnsi="Times New Roman" w:cs="Times New Roman"/>
          <w:color w:val="000000"/>
          <w:sz w:val="24"/>
          <w:szCs w:val="24"/>
          <w:lang w:val="en-US"/>
        </w:rPr>
        <w:t xml:space="preserve"> uses.”</w:t>
      </w:r>
      <w:r w:rsidR="00914DEF">
        <w:rPr>
          <w:rStyle w:val="FootnoteReference"/>
          <w:rFonts w:ascii="Times New Roman" w:eastAsia="Times New Roman" w:hAnsi="Times New Roman" w:cs="Times New Roman"/>
          <w:color w:val="000000"/>
          <w:sz w:val="24"/>
          <w:szCs w:val="24"/>
          <w:lang w:val="en-US"/>
        </w:rPr>
        <w:footnoteReference w:id="38"/>
      </w:r>
      <w:r w:rsidRPr="00923F4C">
        <w:rPr>
          <w:rFonts w:ascii="Times New Roman" w:eastAsia="Times New Roman" w:hAnsi="Times New Roman" w:cs="Times New Roman"/>
          <w:color w:val="000000"/>
          <w:sz w:val="24"/>
          <w:szCs w:val="24"/>
          <w:lang w:val="en-US"/>
        </w:rPr>
        <w:t xml:space="preserve"> The Supreme Court ruled against Grokster. The court ruled that the case was different from </w:t>
      </w:r>
      <w:r w:rsidRPr="00923F4C">
        <w:rPr>
          <w:rFonts w:ascii="Times New Roman" w:eastAsia="Times New Roman" w:hAnsi="Times New Roman" w:cs="Times New Roman"/>
          <w:i/>
          <w:iCs/>
          <w:color w:val="000000"/>
          <w:sz w:val="24"/>
          <w:szCs w:val="24"/>
          <w:lang w:val="en-US"/>
        </w:rPr>
        <w:t>Sony</w:t>
      </w:r>
      <w:r w:rsidRPr="00923F4C">
        <w:rPr>
          <w:rFonts w:ascii="Times New Roman" w:eastAsia="Times New Roman" w:hAnsi="Times New Roman" w:cs="Times New Roman"/>
          <w:color w:val="000000"/>
          <w:sz w:val="24"/>
          <w:szCs w:val="24"/>
          <w:lang w:val="en-US"/>
        </w:rPr>
        <w:t xml:space="preserve"> because the technology was not only capable of sustaining non</w:t>
      </w:r>
      <w:r w:rsidR="008F49A7">
        <w:rPr>
          <w:rFonts w:ascii="Times New Roman" w:eastAsia="Times New Roman" w:hAnsi="Times New Roman" w:cs="Times New Roman"/>
          <w:color w:val="000000"/>
          <w:sz w:val="24"/>
          <w:szCs w:val="24"/>
          <w:lang w:val="en-US"/>
        </w:rPr>
        <w:t>-</w:t>
      </w:r>
      <w:r w:rsidRPr="00923F4C">
        <w:rPr>
          <w:rFonts w:ascii="Times New Roman" w:eastAsia="Times New Roman" w:hAnsi="Times New Roman" w:cs="Times New Roman"/>
          <w:color w:val="000000"/>
          <w:sz w:val="24"/>
          <w:szCs w:val="24"/>
          <w:lang w:val="en-US"/>
        </w:rPr>
        <w:t>infringing uses, but a primary function was to do so. Grokster could not prove that the primary use of the peer-to-peer technology was for non</w:t>
      </w:r>
      <w:r w:rsidR="00A53B82">
        <w:rPr>
          <w:rFonts w:ascii="Times New Roman" w:eastAsia="Times New Roman" w:hAnsi="Times New Roman" w:cs="Times New Roman"/>
          <w:color w:val="000000"/>
          <w:sz w:val="24"/>
          <w:szCs w:val="24"/>
          <w:lang w:val="en-US"/>
        </w:rPr>
        <w:t>-</w:t>
      </w:r>
      <w:r w:rsidRPr="00923F4C">
        <w:rPr>
          <w:rFonts w:ascii="Times New Roman" w:eastAsia="Times New Roman" w:hAnsi="Times New Roman" w:cs="Times New Roman"/>
          <w:color w:val="000000"/>
          <w:sz w:val="24"/>
          <w:szCs w:val="24"/>
          <w:lang w:val="en-US"/>
        </w:rPr>
        <w:t xml:space="preserve">infringing use. Like in </w:t>
      </w:r>
      <w:r w:rsidRPr="00923F4C">
        <w:rPr>
          <w:rFonts w:ascii="Times New Roman" w:eastAsia="Times New Roman" w:hAnsi="Times New Roman" w:cs="Times New Roman"/>
          <w:i/>
          <w:iCs/>
          <w:color w:val="000000"/>
          <w:sz w:val="24"/>
          <w:szCs w:val="24"/>
          <w:lang w:val="en-US"/>
        </w:rPr>
        <w:t>Napster</w:t>
      </w:r>
      <w:r w:rsidRPr="00923F4C">
        <w:rPr>
          <w:rFonts w:ascii="Times New Roman" w:eastAsia="Times New Roman" w:hAnsi="Times New Roman" w:cs="Times New Roman"/>
          <w:color w:val="000000"/>
          <w:sz w:val="24"/>
          <w:szCs w:val="24"/>
          <w:lang w:val="en-US"/>
        </w:rPr>
        <w:t>, the court also found that the peer-to-peer technology enabled infringement on a broad scale and presented market effects for MGM Studios.</w:t>
      </w:r>
      <w:r w:rsidR="00914DEF">
        <w:rPr>
          <w:rStyle w:val="FootnoteReference"/>
          <w:rFonts w:ascii="Times New Roman" w:eastAsia="Times New Roman" w:hAnsi="Times New Roman" w:cs="Times New Roman"/>
          <w:color w:val="000000"/>
          <w:sz w:val="24"/>
          <w:szCs w:val="24"/>
          <w:lang w:val="en-US"/>
        </w:rPr>
        <w:footnoteReference w:id="39"/>
      </w:r>
    </w:p>
    <w:p w14:paraId="1CB4BA42" w14:textId="44140615" w:rsidR="00923F4C" w:rsidRPr="00923F4C" w:rsidRDefault="00923F4C" w:rsidP="002342AA">
      <w:pPr>
        <w:spacing w:line="480" w:lineRule="auto"/>
        <w:ind w:firstLine="720"/>
        <w:rPr>
          <w:rFonts w:ascii="Times New Roman" w:eastAsia="Times New Roman" w:hAnsi="Times New Roman" w:cs="Times New Roman"/>
          <w:sz w:val="24"/>
          <w:szCs w:val="24"/>
          <w:lang w:val="en-US"/>
        </w:rPr>
      </w:pPr>
      <w:r w:rsidRPr="00923F4C">
        <w:rPr>
          <w:rFonts w:ascii="Times New Roman" w:eastAsia="Times New Roman" w:hAnsi="Times New Roman" w:cs="Times New Roman"/>
          <w:color w:val="000000"/>
          <w:sz w:val="24"/>
          <w:szCs w:val="24"/>
          <w:lang w:val="en-US"/>
        </w:rPr>
        <w:t>Peer-to-peer networks and the subsequent lawsuits are indicative of how copyright lawsuits have become different in a digital landscape. By their nature, peer-to-peer networks allow users to directly connect with one another and evade a content controller.</w:t>
      </w:r>
      <w:r w:rsidR="00BB67B1">
        <w:rPr>
          <w:rStyle w:val="FootnoteReference"/>
          <w:rFonts w:ascii="Times New Roman" w:eastAsia="Times New Roman" w:hAnsi="Times New Roman" w:cs="Times New Roman"/>
          <w:color w:val="000000"/>
          <w:sz w:val="24"/>
          <w:szCs w:val="24"/>
          <w:lang w:val="en-US"/>
        </w:rPr>
        <w:footnoteReference w:id="40"/>
      </w:r>
      <w:r w:rsidRPr="00923F4C">
        <w:rPr>
          <w:rFonts w:ascii="Times New Roman" w:eastAsia="Times New Roman" w:hAnsi="Times New Roman" w:cs="Times New Roman"/>
          <w:color w:val="000000"/>
          <w:sz w:val="24"/>
          <w:szCs w:val="24"/>
          <w:lang w:val="en-US"/>
        </w:rPr>
        <w:t xml:space="preserve"> Jessica Reyman, professor and digital ethics and copyright author, acknowledges how evolving technologies complicate copyright law. She writes that “the balance formulated by copyright law between authors’ rights and users’ rights is throw off kilter: the very structure of the balance no longer works the way it did in a pre-digital culture.”</w:t>
      </w:r>
      <w:r w:rsidR="00663452">
        <w:rPr>
          <w:rStyle w:val="FootnoteReference"/>
          <w:rFonts w:ascii="Times New Roman" w:eastAsia="Times New Roman" w:hAnsi="Times New Roman" w:cs="Times New Roman"/>
          <w:color w:val="000000"/>
          <w:sz w:val="24"/>
          <w:szCs w:val="24"/>
          <w:lang w:val="en-US"/>
        </w:rPr>
        <w:footnoteReference w:id="41"/>
      </w:r>
    </w:p>
    <w:p w14:paraId="5C5A3CA2" w14:textId="40BFB2B5" w:rsidR="00923F4C" w:rsidRPr="00923F4C" w:rsidRDefault="00923F4C" w:rsidP="002342AA">
      <w:pPr>
        <w:spacing w:line="480" w:lineRule="auto"/>
        <w:ind w:firstLine="720"/>
        <w:rPr>
          <w:rFonts w:ascii="Times New Roman" w:eastAsia="Times New Roman" w:hAnsi="Times New Roman" w:cs="Times New Roman"/>
          <w:sz w:val="24"/>
          <w:szCs w:val="24"/>
          <w:lang w:val="en-US"/>
        </w:rPr>
      </w:pPr>
      <w:r w:rsidRPr="00923F4C">
        <w:rPr>
          <w:rFonts w:ascii="Times New Roman" w:eastAsia="Times New Roman" w:hAnsi="Times New Roman" w:cs="Times New Roman"/>
          <w:color w:val="000000"/>
          <w:sz w:val="24"/>
          <w:szCs w:val="24"/>
          <w:lang w:val="en-US"/>
        </w:rPr>
        <w:lastRenderedPageBreak/>
        <w:t xml:space="preserve">The decisions in </w:t>
      </w:r>
      <w:r w:rsidRPr="00923F4C">
        <w:rPr>
          <w:rFonts w:ascii="Times New Roman" w:eastAsia="Times New Roman" w:hAnsi="Times New Roman" w:cs="Times New Roman"/>
          <w:i/>
          <w:iCs/>
          <w:color w:val="000000"/>
          <w:sz w:val="24"/>
          <w:szCs w:val="24"/>
          <w:lang w:val="en-US"/>
        </w:rPr>
        <w:t>Napster</w:t>
      </w:r>
      <w:r w:rsidRPr="00923F4C">
        <w:rPr>
          <w:rFonts w:ascii="Times New Roman" w:eastAsia="Times New Roman" w:hAnsi="Times New Roman" w:cs="Times New Roman"/>
          <w:color w:val="000000"/>
          <w:sz w:val="24"/>
          <w:szCs w:val="24"/>
          <w:lang w:val="en-US"/>
        </w:rPr>
        <w:t xml:space="preserve"> and </w:t>
      </w:r>
      <w:r w:rsidRPr="00923F4C">
        <w:rPr>
          <w:rFonts w:ascii="Times New Roman" w:eastAsia="Times New Roman" w:hAnsi="Times New Roman" w:cs="Times New Roman"/>
          <w:i/>
          <w:iCs/>
          <w:color w:val="000000"/>
          <w:sz w:val="24"/>
          <w:szCs w:val="24"/>
          <w:lang w:val="en-US"/>
        </w:rPr>
        <w:t>Grokster</w:t>
      </w:r>
      <w:r w:rsidRPr="00923F4C">
        <w:rPr>
          <w:rFonts w:ascii="Times New Roman" w:eastAsia="Times New Roman" w:hAnsi="Times New Roman" w:cs="Times New Roman"/>
          <w:color w:val="000000"/>
          <w:sz w:val="24"/>
          <w:szCs w:val="24"/>
          <w:lang w:val="en-US"/>
        </w:rPr>
        <w:t xml:space="preserve"> set the precedent for a changing digital landscape. Reyman notes the battle in </w:t>
      </w:r>
      <w:r w:rsidRPr="00923F4C">
        <w:rPr>
          <w:rFonts w:ascii="Times New Roman" w:eastAsia="Times New Roman" w:hAnsi="Times New Roman" w:cs="Times New Roman"/>
          <w:i/>
          <w:iCs/>
          <w:color w:val="000000"/>
          <w:sz w:val="24"/>
          <w:szCs w:val="24"/>
          <w:lang w:val="en-US"/>
        </w:rPr>
        <w:t>Grokster</w:t>
      </w:r>
      <w:r w:rsidRPr="00923F4C">
        <w:rPr>
          <w:rFonts w:ascii="Times New Roman" w:eastAsia="Times New Roman" w:hAnsi="Times New Roman" w:cs="Times New Roman"/>
          <w:color w:val="000000"/>
          <w:sz w:val="24"/>
          <w:szCs w:val="24"/>
          <w:lang w:val="en-US"/>
        </w:rPr>
        <w:t xml:space="preserve"> between copyright and digital technologies, and that court ruling in these cases must strike a balance between competing interests.</w:t>
      </w:r>
      <w:r w:rsidR="00BB67B1">
        <w:rPr>
          <w:rStyle w:val="FootnoteReference"/>
          <w:rFonts w:ascii="Times New Roman" w:eastAsia="Times New Roman" w:hAnsi="Times New Roman" w:cs="Times New Roman"/>
          <w:color w:val="000000"/>
          <w:sz w:val="24"/>
          <w:szCs w:val="24"/>
          <w:lang w:val="en-US"/>
        </w:rPr>
        <w:footnoteReference w:id="42"/>
      </w:r>
      <w:r w:rsidRPr="00923F4C">
        <w:rPr>
          <w:rFonts w:ascii="Times New Roman" w:eastAsia="Times New Roman" w:hAnsi="Times New Roman" w:cs="Times New Roman"/>
          <w:color w:val="000000"/>
          <w:sz w:val="24"/>
          <w:szCs w:val="24"/>
          <w:lang w:val="en-US"/>
        </w:rPr>
        <w:t xml:space="preserve"> Justice Souter, in the opinion for </w:t>
      </w:r>
      <w:r w:rsidRPr="00923F4C">
        <w:rPr>
          <w:rFonts w:ascii="Times New Roman" w:eastAsia="Times New Roman" w:hAnsi="Times New Roman" w:cs="Times New Roman"/>
          <w:i/>
          <w:iCs/>
          <w:color w:val="000000"/>
          <w:sz w:val="24"/>
          <w:szCs w:val="24"/>
          <w:lang w:val="en-US"/>
        </w:rPr>
        <w:t>Grokster</w:t>
      </w:r>
      <w:r w:rsidRPr="00923F4C">
        <w:rPr>
          <w:rFonts w:ascii="Times New Roman" w:eastAsia="Times New Roman" w:hAnsi="Times New Roman" w:cs="Times New Roman"/>
          <w:color w:val="000000"/>
          <w:sz w:val="24"/>
          <w:szCs w:val="24"/>
          <w:lang w:val="en-US"/>
        </w:rPr>
        <w:t>, acknowledges this tension. </w:t>
      </w:r>
    </w:p>
    <w:p w14:paraId="0CD4F7B5" w14:textId="0032BA9F" w:rsidR="00923F4C" w:rsidRPr="00923F4C" w:rsidRDefault="00923F4C" w:rsidP="00923F4C">
      <w:pPr>
        <w:spacing w:line="240" w:lineRule="auto"/>
        <w:ind w:left="1440" w:right="1440"/>
        <w:rPr>
          <w:rFonts w:ascii="Times New Roman" w:eastAsia="Times New Roman" w:hAnsi="Times New Roman" w:cs="Times New Roman"/>
          <w:sz w:val="24"/>
          <w:szCs w:val="24"/>
          <w:lang w:val="en-US"/>
        </w:rPr>
      </w:pPr>
      <w:r w:rsidRPr="00923F4C">
        <w:rPr>
          <w:rFonts w:ascii="Times New Roman" w:eastAsia="Times New Roman" w:hAnsi="Times New Roman" w:cs="Times New Roman"/>
          <w:color w:val="000000"/>
          <w:sz w:val="24"/>
          <w:szCs w:val="24"/>
          <w:lang w:val="en-US"/>
        </w:rPr>
        <w:t>He identifies the two values as 1) the value in the creation of intellectual property, made possible by the enforcement of copyright protection, and 2) the value in innovative communication technology development, enabled by limiting the incidence of liability for copyright infringement. The goal of the ruling, then, becomes one of “balance,” or finding a fair state of copyright law that protects the interests of two types of innovation: artistic and intellectual creation and technology development.</w:t>
      </w:r>
      <w:r w:rsidR="00663452">
        <w:rPr>
          <w:rStyle w:val="FootnoteReference"/>
          <w:rFonts w:ascii="Times New Roman" w:eastAsia="Times New Roman" w:hAnsi="Times New Roman" w:cs="Times New Roman"/>
          <w:color w:val="000000"/>
          <w:sz w:val="24"/>
          <w:szCs w:val="24"/>
          <w:lang w:val="en-US"/>
        </w:rPr>
        <w:footnoteReference w:id="43"/>
      </w:r>
    </w:p>
    <w:p w14:paraId="612FA0F6" w14:textId="77777777" w:rsidR="00923F4C" w:rsidRPr="00923F4C" w:rsidRDefault="00923F4C" w:rsidP="00923F4C">
      <w:pPr>
        <w:spacing w:line="240" w:lineRule="auto"/>
        <w:rPr>
          <w:rFonts w:ascii="Times New Roman" w:eastAsia="Times New Roman" w:hAnsi="Times New Roman" w:cs="Times New Roman"/>
          <w:sz w:val="24"/>
          <w:szCs w:val="24"/>
          <w:lang w:val="en-US"/>
        </w:rPr>
      </w:pPr>
    </w:p>
    <w:p w14:paraId="6739ABC5" w14:textId="68515D55" w:rsidR="00F34A3D" w:rsidRDefault="00923F4C" w:rsidP="00B2068F">
      <w:pPr>
        <w:spacing w:line="480" w:lineRule="auto"/>
        <w:ind w:firstLine="720"/>
        <w:rPr>
          <w:rFonts w:ascii="Times New Roman" w:eastAsia="Times New Roman" w:hAnsi="Times New Roman" w:cs="Times New Roman"/>
          <w:color w:val="000000"/>
          <w:sz w:val="24"/>
          <w:szCs w:val="24"/>
          <w:lang w:val="en-US"/>
        </w:rPr>
      </w:pPr>
      <w:r w:rsidRPr="00923F4C">
        <w:rPr>
          <w:rFonts w:ascii="Times New Roman" w:eastAsia="Times New Roman" w:hAnsi="Times New Roman" w:cs="Times New Roman"/>
          <w:color w:val="000000"/>
          <w:sz w:val="24"/>
          <w:szCs w:val="24"/>
          <w:lang w:val="en-US"/>
        </w:rPr>
        <w:t xml:space="preserve">Copyright decisions in a digital age have lasting implications for the balance of creator and consumer rights. This is evident in the justice’s split decision in </w:t>
      </w:r>
      <w:r w:rsidRPr="00923F4C">
        <w:rPr>
          <w:rFonts w:ascii="Times New Roman" w:eastAsia="Times New Roman" w:hAnsi="Times New Roman" w:cs="Times New Roman"/>
          <w:i/>
          <w:iCs/>
          <w:color w:val="000000"/>
          <w:sz w:val="24"/>
          <w:szCs w:val="24"/>
          <w:lang w:val="en-US"/>
        </w:rPr>
        <w:t>Grokster</w:t>
      </w:r>
      <w:r w:rsidRPr="00923F4C">
        <w:rPr>
          <w:rFonts w:ascii="Times New Roman" w:eastAsia="Times New Roman" w:hAnsi="Times New Roman" w:cs="Times New Roman"/>
          <w:color w:val="000000"/>
          <w:sz w:val="24"/>
          <w:szCs w:val="24"/>
          <w:lang w:val="en-US"/>
        </w:rPr>
        <w:t xml:space="preserve">. Though the court was unanimous, </w:t>
      </w:r>
      <w:r w:rsidR="00086C28">
        <w:rPr>
          <w:rFonts w:ascii="Times New Roman" w:eastAsia="Times New Roman" w:hAnsi="Times New Roman" w:cs="Times New Roman"/>
          <w:color w:val="000000"/>
          <w:sz w:val="24"/>
          <w:szCs w:val="24"/>
          <w:lang w:val="en-US"/>
        </w:rPr>
        <w:t xml:space="preserve">Reyman underscores that </w:t>
      </w:r>
      <w:r w:rsidRPr="00923F4C">
        <w:rPr>
          <w:rFonts w:ascii="Times New Roman" w:eastAsia="Times New Roman" w:hAnsi="Times New Roman" w:cs="Times New Roman"/>
          <w:color w:val="000000"/>
          <w:sz w:val="24"/>
          <w:szCs w:val="24"/>
          <w:lang w:val="en-US"/>
        </w:rPr>
        <w:t>there were two concurring opinions which</w:t>
      </w:r>
      <w:r w:rsidR="00F34A3D">
        <w:rPr>
          <w:rFonts w:ascii="Times New Roman" w:eastAsia="Times New Roman" w:hAnsi="Times New Roman" w:cs="Times New Roman"/>
          <w:color w:val="000000"/>
          <w:sz w:val="24"/>
          <w:szCs w:val="24"/>
          <w:lang w:val="en-US"/>
        </w:rPr>
        <w:t xml:space="preserve"> argued for a revision of the </w:t>
      </w:r>
      <w:r w:rsidR="00F34A3D">
        <w:rPr>
          <w:rFonts w:ascii="Times New Roman" w:eastAsia="Times New Roman" w:hAnsi="Times New Roman" w:cs="Times New Roman"/>
          <w:i/>
          <w:iCs/>
          <w:color w:val="000000"/>
          <w:sz w:val="24"/>
          <w:szCs w:val="24"/>
          <w:lang w:val="en-US"/>
        </w:rPr>
        <w:t>Sony</w:t>
      </w:r>
      <w:r w:rsidR="00F34A3D">
        <w:rPr>
          <w:rFonts w:ascii="Times New Roman" w:eastAsia="Times New Roman" w:hAnsi="Times New Roman" w:cs="Times New Roman"/>
          <w:color w:val="000000"/>
          <w:sz w:val="24"/>
          <w:szCs w:val="24"/>
          <w:lang w:val="en-US"/>
        </w:rPr>
        <w:t xml:space="preserve"> decision. Justice Ginsburg, joined by Justices Kennedy and Rehnquist, wrote that the decision indicated a need to revisit the Betamax doctrine given that the technology </w:t>
      </w:r>
      <w:r w:rsidR="00B2068F">
        <w:rPr>
          <w:rFonts w:ascii="Times New Roman" w:eastAsia="Times New Roman" w:hAnsi="Times New Roman" w:cs="Times New Roman"/>
          <w:color w:val="000000"/>
          <w:sz w:val="24"/>
          <w:szCs w:val="24"/>
          <w:lang w:val="en-US"/>
        </w:rPr>
        <w:t>was based in infringing uses.</w:t>
      </w:r>
      <w:r w:rsidR="00B2068F">
        <w:rPr>
          <w:rStyle w:val="FootnoteReference"/>
          <w:rFonts w:ascii="Times New Roman" w:eastAsia="Times New Roman" w:hAnsi="Times New Roman" w:cs="Times New Roman"/>
          <w:color w:val="000000"/>
          <w:sz w:val="24"/>
          <w:szCs w:val="24"/>
          <w:lang w:val="en-US"/>
        </w:rPr>
        <w:footnoteReference w:id="44"/>
      </w:r>
      <w:r w:rsidR="00B2068F">
        <w:rPr>
          <w:rFonts w:ascii="Times New Roman" w:eastAsia="Times New Roman" w:hAnsi="Times New Roman" w:cs="Times New Roman"/>
          <w:color w:val="000000"/>
          <w:sz w:val="24"/>
          <w:szCs w:val="24"/>
          <w:lang w:val="en-US"/>
        </w:rPr>
        <w:t xml:space="preserve"> </w:t>
      </w:r>
      <w:r w:rsidR="00F34A3D">
        <w:rPr>
          <w:rFonts w:ascii="Times New Roman" w:eastAsia="Times New Roman" w:hAnsi="Times New Roman" w:cs="Times New Roman"/>
          <w:color w:val="000000"/>
          <w:sz w:val="24"/>
          <w:szCs w:val="24"/>
          <w:lang w:val="en-US"/>
        </w:rPr>
        <w:t>Justice Breyer, concurring with Justices Stevens and O’Connor</w:t>
      </w:r>
      <w:r w:rsidR="00B2068F">
        <w:rPr>
          <w:rFonts w:ascii="Times New Roman" w:eastAsia="Times New Roman" w:hAnsi="Times New Roman" w:cs="Times New Roman"/>
          <w:color w:val="000000"/>
          <w:sz w:val="24"/>
          <w:szCs w:val="24"/>
          <w:lang w:val="en-US"/>
        </w:rPr>
        <w:t xml:space="preserve">, conversely argued that “a strong demonstrated need for modifying </w:t>
      </w:r>
      <w:r w:rsidR="00B2068F">
        <w:rPr>
          <w:rFonts w:ascii="Times New Roman" w:eastAsia="Times New Roman" w:hAnsi="Times New Roman" w:cs="Times New Roman"/>
          <w:i/>
          <w:iCs/>
          <w:color w:val="000000"/>
          <w:sz w:val="24"/>
          <w:szCs w:val="24"/>
          <w:lang w:val="en-US"/>
        </w:rPr>
        <w:t>Sony</w:t>
      </w:r>
      <w:r w:rsidR="00B2068F">
        <w:rPr>
          <w:rFonts w:ascii="Times New Roman" w:eastAsia="Times New Roman" w:hAnsi="Times New Roman" w:cs="Times New Roman"/>
          <w:color w:val="000000"/>
          <w:sz w:val="24"/>
          <w:szCs w:val="24"/>
          <w:lang w:val="en-US"/>
        </w:rPr>
        <w:t xml:space="preserve"> has not yet been shown.”</w:t>
      </w:r>
      <w:r w:rsidR="00B2068F">
        <w:rPr>
          <w:rStyle w:val="FootnoteReference"/>
          <w:rFonts w:ascii="Times New Roman" w:eastAsia="Times New Roman" w:hAnsi="Times New Roman" w:cs="Times New Roman"/>
          <w:color w:val="000000"/>
          <w:sz w:val="24"/>
          <w:szCs w:val="24"/>
          <w:lang w:val="en-US"/>
        </w:rPr>
        <w:footnoteReference w:id="45"/>
      </w:r>
      <w:r w:rsidR="00B2068F">
        <w:rPr>
          <w:rFonts w:ascii="Times New Roman" w:eastAsia="Times New Roman" w:hAnsi="Times New Roman" w:cs="Times New Roman"/>
          <w:color w:val="000000"/>
          <w:sz w:val="24"/>
          <w:szCs w:val="24"/>
          <w:lang w:val="en-US"/>
        </w:rPr>
        <w:t xml:space="preserve"> He held that the </w:t>
      </w:r>
      <w:r w:rsidR="00B2068F">
        <w:rPr>
          <w:rFonts w:ascii="Times New Roman" w:eastAsia="Times New Roman" w:hAnsi="Times New Roman" w:cs="Times New Roman"/>
          <w:i/>
          <w:iCs/>
          <w:color w:val="000000"/>
          <w:sz w:val="24"/>
          <w:szCs w:val="24"/>
          <w:lang w:val="en-US"/>
        </w:rPr>
        <w:t>Sony</w:t>
      </w:r>
      <w:r w:rsidR="00B2068F">
        <w:rPr>
          <w:rFonts w:ascii="Times New Roman" w:eastAsia="Times New Roman" w:hAnsi="Times New Roman" w:cs="Times New Roman"/>
          <w:color w:val="000000"/>
          <w:sz w:val="24"/>
          <w:szCs w:val="24"/>
          <w:lang w:val="en-US"/>
        </w:rPr>
        <w:t xml:space="preserve"> precedent was a strong standard for protecting technological innovation while also maintaining copyright.</w:t>
      </w:r>
      <w:r w:rsidR="00B2068F">
        <w:rPr>
          <w:rStyle w:val="FootnoteReference"/>
          <w:rFonts w:ascii="Times New Roman" w:eastAsia="Times New Roman" w:hAnsi="Times New Roman" w:cs="Times New Roman"/>
          <w:color w:val="000000"/>
          <w:sz w:val="24"/>
          <w:szCs w:val="24"/>
          <w:lang w:val="en-US"/>
        </w:rPr>
        <w:footnoteReference w:id="46"/>
      </w:r>
      <w:r w:rsidR="00B2068F">
        <w:rPr>
          <w:rFonts w:ascii="Times New Roman" w:eastAsia="Times New Roman" w:hAnsi="Times New Roman" w:cs="Times New Roman"/>
          <w:color w:val="000000"/>
          <w:sz w:val="24"/>
          <w:szCs w:val="24"/>
          <w:lang w:val="en-US"/>
        </w:rPr>
        <w:t xml:space="preserve"> The official opinion of the court as written by Justice Souter, however, does not </w:t>
      </w:r>
      <w:r w:rsidR="00396871">
        <w:rPr>
          <w:rFonts w:ascii="Times New Roman" w:eastAsia="Times New Roman" w:hAnsi="Times New Roman" w:cs="Times New Roman"/>
          <w:color w:val="000000"/>
          <w:sz w:val="24"/>
          <w:szCs w:val="24"/>
          <w:lang w:val="en-US"/>
        </w:rPr>
        <w:t>revisit</w:t>
      </w:r>
      <w:r w:rsidR="00B2068F">
        <w:rPr>
          <w:rFonts w:ascii="Times New Roman" w:eastAsia="Times New Roman" w:hAnsi="Times New Roman" w:cs="Times New Roman"/>
          <w:color w:val="000000"/>
          <w:sz w:val="24"/>
          <w:szCs w:val="24"/>
          <w:lang w:val="en-US"/>
        </w:rPr>
        <w:t xml:space="preserve"> the </w:t>
      </w:r>
      <w:r w:rsidR="00B2068F">
        <w:rPr>
          <w:rFonts w:ascii="Times New Roman" w:eastAsia="Times New Roman" w:hAnsi="Times New Roman" w:cs="Times New Roman"/>
          <w:i/>
          <w:iCs/>
          <w:color w:val="000000"/>
          <w:sz w:val="24"/>
          <w:szCs w:val="24"/>
          <w:lang w:val="en-US"/>
        </w:rPr>
        <w:t>Sony</w:t>
      </w:r>
      <w:r w:rsidR="00B2068F">
        <w:rPr>
          <w:rFonts w:ascii="Times New Roman" w:eastAsia="Times New Roman" w:hAnsi="Times New Roman" w:cs="Times New Roman"/>
          <w:color w:val="000000"/>
          <w:sz w:val="24"/>
          <w:szCs w:val="24"/>
          <w:lang w:val="en-US"/>
        </w:rPr>
        <w:t xml:space="preserve"> </w:t>
      </w:r>
      <w:r w:rsidR="00396871">
        <w:rPr>
          <w:rFonts w:ascii="Times New Roman" w:eastAsia="Times New Roman" w:hAnsi="Times New Roman" w:cs="Times New Roman"/>
          <w:color w:val="000000"/>
          <w:sz w:val="24"/>
          <w:szCs w:val="24"/>
          <w:lang w:val="en-US"/>
        </w:rPr>
        <w:t>decision. The court instead introduced the “inducement rule,” which holds a service liable for copyright infringement if the product is designed for infringement or to induce infringement.</w:t>
      </w:r>
      <w:r w:rsidR="00846FBD">
        <w:rPr>
          <w:rStyle w:val="FootnoteReference"/>
          <w:rFonts w:ascii="Times New Roman" w:eastAsia="Times New Roman" w:hAnsi="Times New Roman" w:cs="Times New Roman"/>
          <w:color w:val="000000"/>
          <w:sz w:val="24"/>
          <w:szCs w:val="24"/>
          <w:lang w:val="en-US"/>
        </w:rPr>
        <w:footnoteReference w:id="47"/>
      </w:r>
      <w:r w:rsidR="00396871">
        <w:rPr>
          <w:rFonts w:ascii="Times New Roman" w:eastAsia="Times New Roman" w:hAnsi="Times New Roman" w:cs="Times New Roman"/>
          <w:color w:val="000000"/>
          <w:sz w:val="24"/>
          <w:szCs w:val="24"/>
          <w:lang w:val="en-US"/>
        </w:rPr>
        <w:t xml:space="preserve"> </w:t>
      </w:r>
    </w:p>
    <w:p w14:paraId="7BC45818" w14:textId="61F26A03" w:rsidR="00846FBD" w:rsidRPr="00923F4C" w:rsidRDefault="00846FBD" w:rsidP="00B2068F">
      <w:pPr>
        <w:spacing w:line="48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As Reyman writes, the decision of the court to not revisit </w:t>
      </w:r>
      <w:r>
        <w:rPr>
          <w:rFonts w:ascii="Times New Roman" w:eastAsia="Times New Roman" w:hAnsi="Times New Roman" w:cs="Times New Roman"/>
          <w:i/>
          <w:iCs/>
          <w:color w:val="000000"/>
          <w:sz w:val="24"/>
          <w:szCs w:val="24"/>
          <w:lang w:val="en-US"/>
        </w:rPr>
        <w:t>Sony</w:t>
      </w:r>
      <w:r>
        <w:rPr>
          <w:rFonts w:ascii="Times New Roman" w:eastAsia="Times New Roman" w:hAnsi="Times New Roman" w:cs="Times New Roman"/>
          <w:color w:val="000000"/>
          <w:sz w:val="24"/>
          <w:szCs w:val="24"/>
          <w:lang w:val="en-US"/>
        </w:rPr>
        <w:t xml:space="preserve"> and instead create a new standard for regulating new technologies is more restrictive</w:t>
      </w:r>
      <w:r w:rsidR="004B1DE4">
        <w:rPr>
          <w:rFonts w:ascii="Times New Roman" w:eastAsia="Times New Roman" w:hAnsi="Times New Roman" w:cs="Times New Roman"/>
          <w:color w:val="000000"/>
          <w:sz w:val="24"/>
          <w:szCs w:val="24"/>
          <w:lang w:val="en-US"/>
        </w:rPr>
        <w:t xml:space="preserve">. The ruling is stricter than the </w:t>
      </w:r>
      <w:r w:rsidR="004B1DE4">
        <w:rPr>
          <w:rFonts w:ascii="Times New Roman" w:eastAsia="Times New Roman" w:hAnsi="Times New Roman" w:cs="Times New Roman"/>
          <w:i/>
          <w:iCs/>
          <w:color w:val="000000"/>
          <w:sz w:val="24"/>
          <w:szCs w:val="24"/>
          <w:lang w:val="en-US"/>
        </w:rPr>
        <w:t>Sony</w:t>
      </w:r>
      <w:r w:rsidR="004B1DE4">
        <w:rPr>
          <w:rFonts w:ascii="Times New Roman" w:eastAsia="Times New Roman" w:hAnsi="Times New Roman" w:cs="Times New Roman"/>
          <w:color w:val="000000"/>
          <w:sz w:val="24"/>
          <w:szCs w:val="24"/>
          <w:lang w:val="en-US"/>
        </w:rPr>
        <w:t xml:space="preserve"> precedent, which accepted technologies like the VCR “as lawful technologies, despite their potential threats to established business models for cultural production.”</w:t>
      </w:r>
      <w:r w:rsidR="004B1DE4">
        <w:rPr>
          <w:rStyle w:val="FootnoteReference"/>
          <w:rFonts w:ascii="Times New Roman" w:eastAsia="Times New Roman" w:hAnsi="Times New Roman" w:cs="Times New Roman"/>
          <w:color w:val="000000"/>
          <w:sz w:val="24"/>
          <w:szCs w:val="24"/>
          <w:lang w:val="en-US"/>
        </w:rPr>
        <w:footnoteReference w:id="48"/>
      </w:r>
      <w:r w:rsidR="004B1DE4">
        <w:rPr>
          <w:rFonts w:ascii="Times New Roman" w:eastAsia="Times New Roman" w:hAnsi="Times New Roman" w:cs="Times New Roman"/>
          <w:color w:val="000000"/>
          <w:sz w:val="24"/>
          <w:szCs w:val="24"/>
          <w:lang w:val="en-US"/>
        </w:rPr>
        <w:t xml:space="preserve"> The </w:t>
      </w:r>
      <w:r w:rsidR="004B1DE4">
        <w:rPr>
          <w:rFonts w:ascii="Times New Roman" w:eastAsia="Times New Roman" w:hAnsi="Times New Roman" w:cs="Times New Roman"/>
          <w:i/>
          <w:iCs/>
          <w:color w:val="000000"/>
          <w:sz w:val="24"/>
          <w:szCs w:val="24"/>
          <w:lang w:val="en-US"/>
        </w:rPr>
        <w:t>Grokster</w:t>
      </w:r>
      <w:r w:rsidR="004B1DE4">
        <w:rPr>
          <w:rFonts w:ascii="Times New Roman" w:eastAsia="Times New Roman" w:hAnsi="Times New Roman" w:cs="Times New Roman"/>
          <w:color w:val="000000"/>
          <w:sz w:val="24"/>
          <w:szCs w:val="24"/>
          <w:lang w:val="en-US"/>
        </w:rPr>
        <w:t xml:space="preserve"> decision, by contrast, creates a new limitation for emerging technologies. This may limit </w:t>
      </w:r>
      <w:r w:rsidR="00191079">
        <w:rPr>
          <w:rFonts w:ascii="Times New Roman" w:eastAsia="Times New Roman" w:hAnsi="Times New Roman" w:cs="Times New Roman"/>
          <w:color w:val="000000"/>
          <w:sz w:val="24"/>
          <w:szCs w:val="24"/>
          <w:lang w:val="en-US"/>
        </w:rPr>
        <w:t>the future of digital innovations, as the precedent values analog creativity over digital creativity.</w:t>
      </w:r>
      <w:r w:rsidR="00B03F34">
        <w:rPr>
          <w:rStyle w:val="FootnoteReference"/>
          <w:rFonts w:ascii="Times New Roman" w:eastAsia="Times New Roman" w:hAnsi="Times New Roman" w:cs="Times New Roman"/>
          <w:color w:val="000000"/>
          <w:sz w:val="24"/>
          <w:szCs w:val="24"/>
          <w:lang w:val="en-US"/>
        </w:rPr>
        <w:footnoteReference w:id="49"/>
      </w:r>
      <w:r w:rsidR="004B1DE4">
        <w:rPr>
          <w:rFonts w:ascii="Times New Roman" w:eastAsia="Times New Roman" w:hAnsi="Times New Roman" w:cs="Times New Roman"/>
          <w:color w:val="000000"/>
          <w:sz w:val="24"/>
          <w:szCs w:val="24"/>
          <w:lang w:val="en-US"/>
        </w:rPr>
        <w:t xml:space="preserve"> </w:t>
      </w:r>
    </w:p>
    <w:p w14:paraId="3377C501" w14:textId="1EA61546" w:rsidR="00E7623C" w:rsidRDefault="00302A92" w:rsidP="00C13B54">
      <w:pPr>
        <w:spacing w:line="48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There has been a major update to copyright legislation to protect digital technologies. </w:t>
      </w:r>
      <w:r w:rsidRPr="00923F4C">
        <w:rPr>
          <w:rFonts w:ascii="Times New Roman" w:eastAsia="Times New Roman" w:hAnsi="Times New Roman" w:cs="Times New Roman"/>
          <w:color w:val="000000"/>
          <w:sz w:val="24"/>
          <w:szCs w:val="24"/>
          <w:lang w:val="en-US"/>
        </w:rPr>
        <w:t>The Digital Millennium Copyright Act, passed in 1998, exempts online service providers from liability for copyright infringement if they issue “takedown” notices from copyright holders and remove content which possibly infringes on copyright.</w:t>
      </w:r>
      <w:r w:rsidR="008D389F">
        <w:rPr>
          <w:rStyle w:val="FootnoteReference"/>
          <w:rFonts w:ascii="Times New Roman" w:eastAsia="Times New Roman" w:hAnsi="Times New Roman" w:cs="Times New Roman"/>
          <w:color w:val="000000"/>
          <w:sz w:val="24"/>
          <w:szCs w:val="24"/>
          <w:lang w:val="en-US"/>
        </w:rPr>
        <w:footnoteReference w:id="50"/>
      </w:r>
      <w:r w:rsidRPr="00611C3D">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The DMCA</w:t>
      </w:r>
      <w:r w:rsidR="00BB67B1">
        <w:rPr>
          <w:rFonts w:ascii="Times New Roman" w:eastAsia="Times New Roman" w:hAnsi="Times New Roman" w:cs="Times New Roman"/>
          <w:color w:val="000000"/>
          <w:sz w:val="24"/>
          <w:szCs w:val="24"/>
          <w:lang w:val="en-US"/>
        </w:rPr>
        <w:t>, the Harvard Law Review notes,</w:t>
      </w:r>
      <w:r>
        <w:rPr>
          <w:rFonts w:ascii="Times New Roman" w:eastAsia="Times New Roman" w:hAnsi="Times New Roman" w:cs="Times New Roman"/>
          <w:color w:val="000000"/>
          <w:sz w:val="24"/>
          <w:szCs w:val="24"/>
          <w:lang w:val="en-US"/>
        </w:rPr>
        <w:t xml:space="preserve"> is useful for protecting transformative works. Without it, servers would limit their user base’s creative capacity to avoid potential lawsuits.</w:t>
      </w:r>
      <w:r w:rsidR="00BB67B1">
        <w:rPr>
          <w:rStyle w:val="FootnoteReference"/>
          <w:rFonts w:ascii="Times New Roman" w:eastAsia="Times New Roman" w:hAnsi="Times New Roman" w:cs="Times New Roman"/>
          <w:color w:val="000000"/>
          <w:sz w:val="24"/>
          <w:szCs w:val="24"/>
          <w:lang w:val="en-US"/>
        </w:rPr>
        <w:footnoteReference w:id="51"/>
      </w:r>
      <w:r>
        <w:rPr>
          <w:rFonts w:ascii="Times New Roman" w:eastAsia="Times New Roman" w:hAnsi="Times New Roman" w:cs="Times New Roman"/>
          <w:color w:val="000000"/>
          <w:sz w:val="24"/>
          <w:szCs w:val="24"/>
          <w:lang w:val="en-US"/>
        </w:rPr>
        <w:t xml:space="preserve"> The protection of the DMCA allows for more transformative works online. However, </w:t>
      </w:r>
      <w:r w:rsidR="00BB67B1">
        <w:rPr>
          <w:rFonts w:ascii="Times New Roman" w:eastAsia="Times New Roman" w:hAnsi="Times New Roman" w:cs="Times New Roman"/>
          <w:color w:val="000000"/>
          <w:sz w:val="24"/>
          <w:szCs w:val="24"/>
          <w:lang w:val="en-US"/>
        </w:rPr>
        <w:t xml:space="preserve">the Harvard Law Review also says that </w:t>
      </w:r>
      <w:r>
        <w:rPr>
          <w:rFonts w:ascii="Times New Roman" w:eastAsia="Times New Roman" w:hAnsi="Times New Roman" w:cs="Times New Roman"/>
          <w:color w:val="000000"/>
          <w:sz w:val="24"/>
          <w:szCs w:val="24"/>
          <w:lang w:val="en-US"/>
        </w:rPr>
        <w:t>w</w:t>
      </w:r>
      <w:r w:rsidRPr="00923F4C">
        <w:rPr>
          <w:rFonts w:ascii="Times New Roman" w:eastAsia="Times New Roman" w:hAnsi="Times New Roman" w:cs="Times New Roman"/>
          <w:color w:val="000000"/>
          <w:sz w:val="24"/>
          <w:szCs w:val="24"/>
          <w:lang w:val="en-US"/>
        </w:rPr>
        <w:t>hile the DMCA encourages digital works by providing liability protections</w:t>
      </w:r>
      <w:r w:rsidR="00E7623C">
        <w:rPr>
          <w:rFonts w:ascii="Times New Roman" w:eastAsia="Times New Roman" w:hAnsi="Times New Roman" w:cs="Times New Roman"/>
          <w:color w:val="000000"/>
          <w:sz w:val="24"/>
          <w:szCs w:val="24"/>
          <w:lang w:val="en-US"/>
        </w:rPr>
        <w:t xml:space="preserve"> for service providers</w:t>
      </w:r>
      <w:r w:rsidRPr="00923F4C">
        <w:rPr>
          <w:rFonts w:ascii="Times New Roman" w:eastAsia="Times New Roman" w:hAnsi="Times New Roman" w:cs="Times New Roman"/>
          <w:color w:val="000000"/>
          <w:sz w:val="24"/>
          <w:szCs w:val="24"/>
          <w:lang w:val="en-US"/>
        </w:rPr>
        <w:t xml:space="preserve">, it </w:t>
      </w:r>
      <w:r w:rsidR="00E7623C">
        <w:rPr>
          <w:rFonts w:ascii="Times New Roman" w:eastAsia="Times New Roman" w:hAnsi="Times New Roman" w:cs="Times New Roman"/>
          <w:color w:val="000000"/>
          <w:sz w:val="24"/>
          <w:szCs w:val="24"/>
          <w:lang w:val="en-US"/>
        </w:rPr>
        <w:t>can do little to protect content creators who are vulnerable to takedown notices</w:t>
      </w:r>
      <w:r w:rsidRPr="00923F4C">
        <w:rPr>
          <w:rFonts w:ascii="Times New Roman" w:eastAsia="Times New Roman" w:hAnsi="Times New Roman" w:cs="Times New Roman"/>
          <w:color w:val="000000"/>
          <w:sz w:val="24"/>
          <w:szCs w:val="24"/>
          <w:lang w:val="en-US"/>
        </w:rPr>
        <w:t>.</w:t>
      </w:r>
      <w:r w:rsidR="00E7623C">
        <w:rPr>
          <w:rFonts w:ascii="Times New Roman" w:eastAsia="Times New Roman" w:hAnsi="Times New Roman" w:cs="Times New Roman"/>
          <w:color w:val="000000"/>
          <w:sz w:val="24"/>
          <w:szCs w:val="24"/>
          <w:lang w:val="en-US"/>
        </w:rPr>
        <w:t xml:space="preserve"> </w:t>
      </w:r>
      <w:r w:rsidR="00BB67B1">
        <w:rPr>
          <w:rStyle w:val="FootnoteReference"/>
          <w:rFonts w:ascii="Times New Roman" w:eastAsia="Times New Roman" w:hAnsi="Times New Roman" w:cs="Times New Roman"/>
          <w:color w:val="000000"/>
          <w:sz w:val="24"/>
          <w:szCs w:val="24"/>
          <w:lang w:val="en-US"/>
        </w:rPr>
        <w:footnoteReference w:id="52"/>
      </w:r>
    </w:p>
    <w:p w14:paraId="7D8A7B6F" w14:textId="46CA45C8" w:rsidR="00302A92" w:rsidRDefault="00E7623C" w:rsidP="00E7623C">
      <w:pPr>
        <w:spacing w:line="480" w:lineRule="auto"/>
        <w:ind w:firstLine="720"/>
        <w:rPr>
          <w:rFonts w:ascii="Times New Roman" w:eastAsia="Times New Roman" w:hAnsi="Times New Roman" w:cs="Times New Roman"/>
          <w:color w:val="000000"/>
          <w:sz w:val="24"/>
          <w:szCs w:val="24"/>
          <w:lang w:val="en-US"/>
        </w:rPr>
      </w:pPr>
      <w:r w:rsidRPr="00923F4C">
        <w:rPr>
          <w:rFonts w:ascii="Times New Roman" w:eastAsia="Times New Roman" w:hAnsi="Times New Roman" w:cs="Times New Roman"/>
          <w:i/>
          <w:iCs/>
          <w:color w:val="000000"/>
          <w:sz w:val="24"/>
          <w:szCs w:val="24"/>
          <w:lang w:val="en-US"/>
        </w:rPr>
        <w:t>Lenz v Universal Music Corp.</w:t>
      </w:r>
      <w:r w:rsidRPr="00923F4C">
        <w:rPr>
          <w:rFonts w:ascii="Times New Roman" w:eastAsia="Times New Roman" w:hAnsi="Times New Roman" w:cs="Times New Roman"/>
          <w:color w:val="000000"/>
          <w:sz w:val="24"/>
          <w:szCs w:val="24"/>
          <w:lang w:val="en-US"/>
        </w:rPr>
        <w:t xml:space="preserve"> demonstrates </w:t>
      </w:r>
      <w:r>
        <w:rPr>
          <w:rFonts w:ascii="Times New Roman" w:eastAsia="Times New Roman" w:hAnsi="Times New Roman" w:cs="Times New Roman"/>
          <w:color w:val="000000"/>
          <w:sz w:val="24"/>
          <w:szCs w:val="24"/>
          <w:lang w:val="en-US"/>
        </w:rPr>
        <w:t>this conflict. In 2006, Stephanie Lenz uploaded a video of her children dancing on YouTube, and in the background of the video the song “Let’s Go Crazy” by Prince was audible.</w:t>
      </w:r>
      <w:r w:rsidR="00A40383">
        <w:rPr>
          <w:rStyle w:val="FootnoteReference"/>
          <w:rFonts w:ascii="Times New Roman" w:eastAsia="Times New Roman" w:hAnsi="Times New Roman" w:cs="Times New Roman"/>
          <w:color w:val="000000"/>
          <w:sz w:val="24"/>
          <w:szCs w:val="24"/>
          <w:lang w:val="en-US"/>
        </w:rPr>
        <w:footnoteReference w:id="53"/>
      </w:r>
      <w:r>
        <w:rPr>
          <w:rFonts w:ascii="Times New Roman" w:eastAsia="Times New Roman" w:hAnsi="Times New Roman" w:cs="Times New Roman"/>
          <w:color w:val="000000"/>
          <w:sz w:val="24"/>
          <w:szCs w:val="24"/>
          <w:lang w:val="en-US"/>
        </w:rPr>
        <w:t xml:space="preserve"> Universal Music Corp. sent a takedown notice to YouTube, which then removed Lenz’s video. Lenz sent a DMCA counter-notification to </w:t>
      </w:r>
      <w:r>
        <w:rPr>
          <w:rFonts w:ascii="Times New Roman" w:eastAsia="Times New Roman" w:hAnsi="Times New Roman" w:cs="Times New Roman"/>
          <w:color w:val="000000"/>
          <w:sz w:val="24"/>
          <w:szCs w:val="24"/>
          <w:lang w:val="en-US"/>
        </w:rPr>
        <w:lastRenderedPageBreak/>
        <w:t>YouTube, claiming the fair use defense, who subsequently reuploaded the video. Lenz then sued Universal Music Corp. for misrepresentation which violated the DMCA.</w:t>
      </w:r>
      <w:r w:rsidR="00A40383">
        <w:rPr>
          <w:rStyle w:val="FootnoteReference"/>
          <w:rFonts w:ascii="Times New Roman" w:eastAsia="Times New Roman" w:hAnsi="Times New Roman" w:cs="Times New Roman"/>
          <w:color w:val="000000"/>
          <w:sz w:val="24"/>
          <w:szCs w:val="24"/>
          <w:lang w:val="en-US"/>
        </w:rPr>
        <w:footnoteReference w:id="54"/>
      </w:r>
    </w:p>
    <w:p w14:paraId="4F6AFB3E" w14:textId="456EDB2B" w:rsidR="00E7623C" w:rsidRPr="00A40383" w:rsidRDefault="00E7623C" w:rsidP="00E7623C">
      <w:pPr>
        <w:spacing w:line="48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The Ninth Circuit Court ruled in Lenz’s favor. The court ruled that Universal Music Corp. did not act in good faith when issuing a takedown notice, and in fact explicitly failed to consider if the video was fair use. </w:t>
      </w:r>
      <w:r w:rsidR="00B76986">
        <w:rPr>
          <w:rFonts w:ascii="Times New Roman" w:eastAsia="Times New Roman" w:hAnsi="Times New Roman" w:cs="Times New Roman"/>
          <w:color w:val="000000"/>
          <w:sz w:val="24"/>
          <w:szCs w:val="24"/>
          <w:lang w:val="en-US"/>
        </w:rPr>
        <w:t>However, the court did not find that</w:t>
      </w:r>
      <w:r w:rsidR="00DC2983">
        <w:rPr>
          <w:rFonts w:ascii="Times New Roman" w:eastAsia="Times New Roman" w:hAnsi="Times New Roman" w:cs="Times New Roman"/>
          <w:color w:val="000000"/>
          <w:sz w:val="24"/>
          <w:szCs w:val="24"/>
          <w:lang w:val="en-US"/>
        </w:rPr>
        <w:t xml:space="preserve"> Universal Music Corp. </w:t>
      </w:r>
      <w:r w:rsidR="00B76986">
        <w:rPr>
          <w:rFonts w:ascii="Times New Roman" w:eastAsia="Times New Roman" w:hAnsi="Times New Roman" w:cs="Times New Roman"/>
          <w:color w:val="000000"/>
          <w:sz w:val="24"/>
          <w:szCs w:val="24"/>
          <w:lang w:val="en-US"/>
        </w:rPr>
        <w:t>“knowingly materially misrepresent[ed][]… that material or activity [was] infringing”</w:t>
      </w:r>
      <w:r w:rsidR="00A40383">
        <w:rPr>
          <w:rStyle w:val="FootnoteReference"/>
          <w:rFonts w:ascii="Times New Roman" w:eastAsia="Times New Roman" w:hAnsi="Times New Roman" w:cs="Times New Roman"/>
          <w:color w:val="000000"/>
          <w:sz w:val="24"/>
          <w:szCs w:val="24"/>
          <w:lang w:val="en-US"/>
        </w:rPr>
        <w:footnoteReference w:id="55"/>
      </w:r>
      <w:r w:rsidR="00B76986">
        <w:rPr>
          <w:rFonts w:ascii="Times New Roman" w:eastAsia="Times New Roman" w:hAnsi="Times New Roman" w:cs="Times New Roman"/>
          <w:color w:val="000000"/>
          <w:sz w:val="24"/>
          <w:szCs w:val="24"/>
          <w:lang w:val="en-US"/>
        </w:rPr>
        <w:t xml:space="preserve"> as required by the DMCA. </w:t>
      </w:r>
      <w:r w:rsidR="00BB67B1">
        <w:rPr>
          <w:rFonts w:ascii="Times New Roman" w:eastAsia="Times New Roman" w:hAnsi="Times New Roman" w:cs="Times New Roman"/>
          <w:color w:val="000000"/>
          <w:sz w:val="24"/>
          <w:szCs w:val="24"/>
          <w:lang w:val="en-US"/>
        </w:rPr>
        <w:t>The Harvard Law Review</w:t>
      </w:r>
      <w:r w:rsidR="00F31E00">
        <w:rPr>
          <w:rFonts w:ascii="Times New Roman" w:eastAsia="Times New Roman" w:hAnsi="Times New Roman" w:cs="Times New Roman"/>
          <w:color w:val="000000"/>
          <w:sz w:val="24"/>
          <w:szCs w:val="24"/>
          <w:lang w:val="en-US"/>
        </w:rPr>
        <w:t xml:space="preserve"> </w:t>
      </w:r>
      <w:r w:rsidR="00BB67B1">
        <w:rPr>
          <w:rFonts w:ascii="Times New Roman" w:eastAsia="Times New Roman" w:hAnsi="Times New Roman" w:cs="Times New Roman"/>
          <w:color w:val="000000"/>
          <w:sz w:val="24"/>
          <w:szCs w:val="24"/>
          <w:lang w:val="en-US"/>
        </w:rPr>
        <w:t>says</w:t>
      </w:r>
      <w:r w:rsidR="00F31E00">
        <w:rPr>
          <w:rFonts w:ascii="Times New Roman" w:eastAsia="Times New Roman" w:hAnsi="Times New Roman" w:cs="Times New Roman"/>
          <w:color w:val="000000"/>
          <w:sz w:val="24"/>
          <w:szCs w:val="24"/>
          <w:lang w:val="en-US"/>
        </w:rPr>
        <w:t xml:space="preserve"> that t</w:t>
      </w:r>
      <w:r w:rsidR="00B76986">
        <w:rPr>
          <w:rFonts w:ascii="Times New Roman" w:eastAsia="Times New Roman" w:hAnsi="Times New Roman" w:cs="Times New Roman"/>
          <w:color w:val="000000"/>
          <w:sz w:val="24"/>
          <w:szCs w:val="24"/>
          <w:lang w:val="en-US"/>
        </w:rPr>
        <w:t>he burden of proof was placed on Lenz, who did not present evidence which showed that Universal Music Corp. issued a takedown notice with the knowledge that the material might have constituted fair use.</w:t>
      </w:r>
      <w:r w:rsidR="00A40383">
        <w:rPr>
          <w:rStyle w:val="FootnoteReference"/>
          <w:rFonts w:ascii="Times New Roman" w:eastAsia="Times New Roman" w:hAnsi="Times New Roman" w:cs="Times New Roman"/>
          <w:color w:val="000000"/>
          <w:sz w:val="24"/>
          <w:szCs w:val="24"/>
          <w:lang w:val="en-US"/>
        </w:rPr>
        <w:footnoteReference w:id="56"/>
      </w:r>
      <w:r w:rsidR="00F31E00">
        <w:rPr>
          <w:rFonts w:ascii="Times New Roman" w:eastAsia="Times New Roman" w:hAnsi="Times New Roman" w:cs="Times New Roman"/>
          <w:color w:val="000000"/>
          <w:sz w:val="24"/>
          <w:szCs w:val="24"/>
          <w:lang w:val="en-US"/>
        </w:rPr>
        <w:t xml:space="preserve"> </w:t>
      </w:r>
      <w:r w:rsidR="00A40383">
        <w:rPr>
          <w:rFonts w:ascii="Times New Roman" w:eastAsia="Times New Roman" w:hAnsi="Times New Roman" w:cs="Times New Roman"/>
          <w:color w:val="000000"/>
          <w:sz w:val="24"/>
          <w:szCs w:val="24"/>
          <w:lang w:val="en-US"/>
        </w:rPr>
        <w:t>This implies that the court, though ruling in favor of Lenz, did little to protect the rights of creators or the fair use doctrine. By placing the burden of proof on Lenz, the court encouraged future reckless DMCA takedown notices.</w:t>
      </w:r>
      <w:r w:rsidR="00A40383">
        <w:rPr>
          <w:rStyle w:val="FootnoteReference"/>
          <w:rFonts w:ascii="Times New Roman" w:eastAsia="Times New Roman" w:hAnsi="Times New Roman" w:cs="Times New Roman"/>
          <w:color w:val="000000"/>
          <w:sz w:val="24"/>
          <w:szCs w:val="24"/>
          <w:lang w:val="en-US"/>
        </w:rPr>
        <w:footnoteReference w:id="57"/>
      </w:r>
      <w:r w:rsidR="00A40383">
        <w:rPr>
          <w:rFonts w:ascii="Times New Roman" w:eastAsia="Times New Roman" w:hAnsi="Times New Roman" w:cs="Times New Roman"/>
          <w:color w:val="000000"/>
          <w:sz w:val="24"/>
          <w:szCs w:val="24"/>
          <w:lang w:val="en-US"/>
        </w:rPr>
        <w:t xml:space="preserve"> </w:t>
      </w:r>
      <w:r w:rsidR="00A82E8A">
        <w:rPr>
          <w:rFonts w:ascii="Times New Roman" w:eastAsia="Times New Roman" w:hAnsi="Times New Roman" w:cs="Times New Roman"/>
          <w:color w:val="000000"/>
          <w:sz w:val="24"/>
          <w:szCs w:val="24"/>
          <w:lang w:val="en-US"/>
        </w:rPr>
        <w:t>The Harvard Law Review says that this</w:t>
      </w:r>
      <w:r w:rsidR="00A40383">
        <w:rPr>
          <w:rFonts w:ascii="Times New Roman" w:eastAsia="Times New Roman" w:hAnsi="Times New Roman" w:cs="Times New Roman"/>
          <w:color w:val="000000"/>
          <w:sz w:val="24"/>
          <w:szCs w:val="24"/>
          <w:lang w:val="en-US"/>
        </w:rPr>
        <w:t xml:space="preserve"> weakens the overall purpose of the DMCA, which is supposed to protect fair use</w:t>
      </w:r>
      <w:r w:rsidR="00A40383" w:rsidRPr="00A40383">
        <w:rPr>
          <w:rFonts w:ascii="Times New Roman" w:eastAsia="Times New Roman" w:hAnsi="Times New Roman" w:cs="Times New Roman"/>
          <w:color w:val="000000"/>
          <w:sz w:val="24"/>
          <w:szCs w:val="24"/>
          <w:lang w:val="en-US"/>
        </w:rPr>
        <w:t>. “</w:t>
      </w:r>
      <w:r w:rsidR="00A40383" w:rsidRPr="00A40383">
        <w:rPr>
          <w:rFonts w:ascii="Times New Roman" w:hAnsi="Times New Roman" w:cs="Times New Roman"/>
          <w:sz w:val="24"/>
          <w:szCs w:val="24"/>
        </w:rPr>
        <w:t xml:space="preserve">In order to stem such abuse more effectively, the court should have interpreted the DMCA's </w:t>
      </w:r>
      <w:r w:rsidR="00A40383">
        <w:rPr>
          <w:rFonts w:ascii="Times New Roman" w:hAnsi="Times New Roman" w:cs="Times New Roman"/>
          <w:sz w:val="24"/>
          <w:szCs w:val="24"/>
        </w:rPr>
        <w:t>‘</w:t>
      </w:r>
      <w:r w:rsidR="00A40383" w:rsidRPr="00A40383">
        <w:rPr>
          <w:rFonts w:ascii="Times New Roman" w:hAnsi="Times New Roman" w:cs="Times New Roman"/>
          <w:sz w:val="24"/>
          <w:szCs w:val="24"/>
        </w:rPr>
        <w:t>knowin</w:t>
      </w:r>
      <w:r w:rsidR="00A40383">
        <w:rPr>
          <w:rFonts w:ascii="Times New Roman" w:hAnsi="Times New Roman" w:cs="Times New Roman"/>
          <w:sz w:val="24"/>
          <w:szCs w:val="24"/>
        </w:rPr>
        <w:t>g’</w:t>
      </w:r>
      <w:r w:rsidR="00A40383" w:rsidRPr="00A40383">
        <w:rPr>
          <w:rFonts w:ascii="Times New Roman" w:hAnsi="Times New Roman" w:cs="Times New Roman"/>
          <w:sz w:val="24"/>
          <w:szCs w:val="24"/>
        </w:rPr>
        <w:t xml:space="preserve"> misrepresentation requirement to include representations recklessly made without sufficient procedures to form a good faith belief about fair use</w:t>
      </w:r>
      <w:r w:rsidR="00A40383">
        <w:rPr>
          <w:rFonts w:ascii="Times New Roman" w:hAnsi="Times New Roman" w:cs="Times New Roman"/>
          <w:sz w:val="24"/>
          <w:szCs w:val="24"/>
        </w:rPr>
        <w:t>.”</w:t>
      </w:r>
      <w:r w:rsidR="00A40383">
        <w:rPr>
          <w:rStyle w:val="FootnoteReference"/>
          <w:rFonts w:ascii="Times New Roman" w:hAnsi="Times New Roman" w:cs="Times New Roman"/>
          <w:sz w:val="24"/>
          <w:szCs w:val="24"/>
        </w:rPr>
        <w:footnoteReference w:id="58"/>
      </w:r>
    </w:p>
    <w:p w14:paraId="00565BFD" w14:textId="4DBF0189" w:rsidR="00923F4C" w:rsidRPr="00923F4C" w:rsidRDefault="00923F4C" w:rsidP="00663452">
      <w:pPr>
        <w:spacing w:line="480" w:lineRule="auto"/>
        <w:jc w:val="center"/>
        <w:rPr>
          <w:rFonts w:ascii="Times New Roman" w:eastAsia="Times New Roman" w:hAnsi="Times New Roman" w:cs="Times New Roman"/>
          <w:sz w:val="24"/>
          <w:szCs w:val="24"/>
          <w:lang w:val="en-US"/>
        </w:rPr>
      </w:pPr>
      <w:r w:rsidRPr="00923F4C">
        <w:rPr>
          <w:rFonts w:ascii="Times New Roman" w:eastAsia="Times New Roman" w:hAnsi="Times New Roman" w:cs="Times New Roman"/>
          <w:b/>
          <w:bCs/>
          <w:color w:val="000000"/>
          <w:sz w:val="24"/>
          <w:szCs w:val="24"/>
          <w:lang w:val="en-US"/>
        </w:rPr>
        <w:t>Conclusion</w:t>
      </w:r>
    </w:p>
    <w:p w14:paraId="578A50DD" w14:textId="7B28D1BE" w:rsidR="0031248F" w:rsidRPr="00BC4BC6" w:rsidRDefault="0048623E" w:rsidP="00BC4BC6">
      <w:pPr>
        <w:spacing w:line="48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Copyright is a crucial and deep-set section of law in the United States. </w:t>
      </w:r>
      <w:r w:rsidR="001A72CC">
        <w:rPr>
          <w:rFonts w:ascii="Times New Roman" w:eastAsia="Times New Roman" w:hAnsi="Times New Roman" w:cs="Times New Roman"/>
          <w:color w:val="000000"/>
          <w:sz w:val="24"/>
          <w:szCs w:val="24"/>
          <w:lang w:val="en-US"/>
        </w:rPr>
        <w:t xml:space="preserve">The emergence of new digital technologies complicates copyright law. Though there is clear precedent for the protection of fair and transformative uses of copyrighted works, technologies that sustain </w:t>
      </w:r>
      <w:r w:rsidR="001A72CC">
        <w:rPr>
          <w:rFonts w:ascii="Times New Roman" w:eastAsia="Times New Roman" w:hAnsi="Times New Roman" w:cs="Times New Roman"/>
          <w:color w:val="000000"/>
          <w:sz w:val="24"/>
          <w:szCs w:val="24"/>
          <w:lang w:val="en-US"/>
        </w:rPr>
        <w:lastRenderedPageBreak/>
        <w:t xml:space="preserve">infringing and non-infringing uses are increasingly held liable for copyright infringement. </w:t>
      </w:r>
      <w:r w:rsidR="00516AF3">
        <w:rPr>
          <w:rFonts w:ascii="Times New Roman" w:eastAsia="Times New Roman" w:hAnsi="Times New Roman" w:cs="Times New Roman"/>
          <w:color w:val="000000"/>
          <w:sz w:val="24"/>
          <w:szCs w:val="24"/>
          <w:lang w:val="en-US"/>
        </w:rPr>
        <w:t xml:space="preserve">This is further complicated by laws meant to protect platforms which inadvertently harm content creators with an excessive issuance of takedown notices. </w:t>
      </w:r>
      <w:r w:rsidR="001A72CC">
        <w:rPr>
          <w:rFonts w:ascii="Times New Roman" w:eastAsia="Times New Roman" w:hAnsi="Times New Roman" w:cs="Times New Roman"/>
          <w:color w:val="000000"/>
          <w:sz w:val="24"/>
          <w:szCs w:val="24"/>
          <w:lang w:val="en-US"/>
        </w:rPr>
        <w:t>Additionally, t</w:t>
      </w:r>
      <w:r w:rsidR="00396871">
        <w:rPr>
          <w:rFonts w:ascii="Times New Roman" w:eastAsia="Times New Roman" w:hAnsi="Times New Roman" w:cs="Times New Roman"/>
          <w:color w:val="000000"/>
          <w:sz w:val="24"/>
          <w:szCs w:val="24"/>
          <w:lang w:val="en-US"/>
        </w:rPr>
        <w:t xml:space="preserve">he reluctance to assess digital </w:t>
      </w:r>
      <w:r w:rsidR="001A72CC">
        <w:rPr>
          <w:rFonts w:ascii="Times New Roman" w:eastAsia="Times New Roman" w:hAnsi="Times New Roman" w:cs="Times New Roman"/>
          <w:color w:val="000000"/>
          <w:sz w:val="24"/>
          <w:szCs w:val="24"/>
          <w:lang w:val="en-US"/>
        </w:rPr>
        <w:t xml:space="preserve">copyright in court and create new precedents creates a murky path for the future of copyright law. </w:t>
      </w:r>
      <w:r w:rsidR="00BC4BC6">
        <w:rPr>
          <w:rFonts w:ascii="Times New Roman" w:eastAsia="Times New Roman" w:hAnsi="Times New Roman" w:cs="Times New Roman"/>
          <w:color w:val="000000"/>
          <w:sz w:val="24"/>
          <w:szCs w:val="24"/>
          <w:lang w:val="en-US"/>
        </w:rPr>
        <w:t>As new technologies evolve, so must the law to protect both the rights of copyright holders and the fair use doctrine.</w:t>
      </w:r>
    </w:p>
    <w:sectPr w:rsidR="0031248F" w:rsidRPr="00BC4BC6" w:rsidSect="002B3A0E">
      <w:footerReference w:type="default" r:id="rId7"/>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24B43" w14:textId="77777777" w:rsidR="00281C33" w:rsidRDefault="00281C33" w:rsidP="00923F4C">
      <w:pPr>
        <w:spacing w:line="240" w:lineRule="auto"/>
      </w:pPr>
      <w:r>
        <w:separator/>
      </w:r>
    </w:p>
  </w:endnote>
  <w:endnote w:type="continuationSeparator" w:id="0">
    <w:p w14:paraId="02CF7281" w14:textId="77777777" w:rsidR="00281C33" w:rsidRDefault="00281C33" w:rsidP="00923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75725788"/>
      <w:docPartObj>
        <w:docPartGallery w:val="Page Numbers (Bottom of Page)"/>
        <w:docPartUnique/>
      </w:docPartObj>
    </w:sdtPr>
    <w:sdtEndPr>
      <w:rPr>
        <w:noProof/>
      </w:rPr>
    </w:sdtEndPr>
    <w:sdtContent>
      <w:p w14:paraId="52D8493D" w14:textId="67435F5C" w:rsidR="002B3A0E" w:rsidRPr="002B3A0E" w:rsidRDefault="002B3A0E">
        <w:pPr>
          <w:pStyle w:val="Footer"/>
          <w:jc w:val="right"/>
          <w:rPr>
            <w:rFonts w:ascii="Times New Roman" w:hAnsi="Times New Roman" w:cs="Times New Roman"/>
            <w:sz w:val="24"/>
            <w:szCs w:val="24"/>
          </w:rPr>
        </w:pPr>
        <w:r w:rsidRPr="002B3A0E">
          <w:rPr>
            <w:rFonts w:ascii="Times New Roman" w:hAnsi="Times New Roman" w:cs="Times New Roman"/>
            <w:sz w:val="24"/>
            <w:szCs w:val="24"/>
          </w:rPr>
          <w:fldChar w:fldCharType="begin"/>
        </w:r>
        <w:r w:rsidRPr="002B3A0E">
          <w:rPr>
            <w:rFonts w:ascii="Times New Roman" w:hAnsi="Times New Roman" w:cs="Times New Roman"/>
            <w:sz w:val="24"/>
            <w:szCs w:val="24"/>
          </w:rPr>
          <w:instrText xml:space="preserve"> PAGE   \* MERGEFORMAT </w:instrText>
        </w:r>
        <w:r w:rsidRPr="002B3A0E">
          <w:rPr>
            <w:rFonts w:ascii="Times New Roman" w:hAnsi="Times New Roman" w:cs="Times New Roman"/>
            <w:sz w:val="24"/>
            <w:szCs w:val="24"/>
          </w:rPr>
          <w:fldChar w:fldCharType="separate"/>
        </w:r>
        <w:r w:rsidRPr="002B3A0E">
          <w:rPr>
            <w:rFonts w:ascii="Times New Roman" w:hAnsi="Times New Roman" w:cs="Times New Roman"/>
            <w:noProof/>
            <w:sz w:val="24"/>
            <w:szCs w:val="24"/>
          </w:rPr>
          <w:t>2</w:t>
        </w:r>
        <w:r w:rsidRPr="002B3A0E">
          <w:rPr>
            <w:rFonts w:ascii="Times New Roman" w:hAnsi="Times New Roman" w:cs="Times New Roman"/>
            <w:noProof/>
            <w:sz w:val="24"/>
            <w:szCs w:val="24"/>
          </w:rPr>
          <w:fldChar w:fldCharType="end"/>
        </w:r>
      </w:p>
    </w:sdtContent>
  </w:sdt>
  <w:p w14:paraId="2443B2A2" w14:textId="77777777" w:rsidR="002B3A0E" w:rsidRPr="002B3A0E" w:rsidRDefault="002B3A0E" w:rsidP="002B3A0E">
    <w:pPr>
      <w:pStyle w:val="Footer"/>
      <w:jc w:val="right"/>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33E64" w14:textId="77777777" w:rsidR="00281C33" w:rsidRDefault="00281C33" w:rsidP="00923F4C">
      <w:pPr>
        <w:spacing w:line="240" w:lineRule="auto"/>
      </w:pPr>
      <w:r>
        <w:separator/>
      </w:r>
    </w:p>
  </w:footnote>
  <w:footnote w:type="continuationSeparator" w:id="0">
    <w:p w14:paraId="067B4FD5" w14:textId="77777777" w:rsidR="00281C33" w:rsidRDefault="00281C33" w:rsidP="00923F4C">
      <w:pPr>
        <w:spacing w:line="240" w:lineRule="auto"/>
      </w:pPr>
      <w:r>
        <w:continuationSeparator/>
      </w:r>
    </w:p>
  </w:footnote>
  <w:footnote w:id="1">
    <w:p w14:paraId="5667DFD7" w14:textId="642FA6FF" w:rsidR="00051E81" w:rsidRPr="00BB67B1" w:rsidRDefault="00051E81" w:rsidP="00051E81">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eastAsia="Times New Roman" w:hAnsi="Times New Roman" w:cs="Times New Roman"/>
        </w:rPr>
        <w:t xml:space="preserve">David Cravets, </w:t>
      </w:r>
      <w:r w:rsidRPr="00BB67B1">
        <w:rPr>
          <w:rFonts w:ascii="Times New Roman" w:eastAsia="Times New Roman" w:hAnsi="Times New Roman" w:cs="Times New Roman"/>
          <w:i/>
        </w:rPr>
        <w:t>Associated Press Settles Copyright Lawsuit Against Obama ‘Hope’ Artist</w:t>
      </w:r>
      <w:r w:rsidRPr="00BB67B1">
        <w:rPr>
          <w:rFonts w:ascii="Times New Roman" w:eastAsia="Times New Roman" w:hAnsi="Times New Roman" w:cs="Times New Roman"/>
        </w:rPr>
        <w:t xml:space="preserve">, </w:t>
      </w:r>
      <w:r w:rsidRPr="00BB67B1">
        <w:rPr>
          <w:rFonts w:ascii="Times New Roman" w:eastAsia="Times New Roman" w:hAnsi="Times New Roman" w:cs="Times New Roman"/>
          <w:smallCaps/>
        </w:rPr>
        <w:t>Wired</w:t>
      </w:r>
      <w:r w:rsidRPr="00BB67B1">
        <w:rPr>
          <w:rFonts w:ascii="Times New Roman" w:eastAsia="Times New Roman" w:hAnsi="Times New Roman" w:cs="Times New Roman"/>
        </w:rPr>
        <w:t>. (January 12, 2011), at https://www.wired.com/2011/01/hope-image-flap/.</w:t>
      </w:r>
    </w:p>
  </w:footnote>
  <w:footnote w:id="2">
    <w:p w14:paraId="45F43E10" w14:textId="6920F66A" w:rsidR="00051E81" w:rsidRPr="00BB67B1" w:rsidRDefault="00051E81" w:rsidP="00051E81">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Id.</w:t>
      </w:r>
    </w:p>
  </w:footnote>
  <w:footnote w:id="3">
    <w:p w14:paraId="29B40BAF" w14:textId="508499D8" w:rsidR="00051E81" w:rsidRPr="00BB67B1" w:rsidRDefault="00051E81" w:rsidP="00051E81">
      <w:pPr>
        <w:spacing w:line="240" w:lineRule="auto"/>
        <w:rPr>
          <w:rFonts w:ascii="Times New Roman" w:eastAsia="Times New Roman" w:hAnsi="Times New Roman" w:cs="Times New Roman"/>
          <w:sz w:val="20"/>
          <w:szCs w:val="20"/>
        </w:rPr>
      </w:pPr>
      <w:r w:rsidRPr="00BB67B1">
        <w:rPr>
          <w:rStyle w:val="FootnoteReference"/>
          <w:rFonts w:ascii="Times New Roman" w:hAnsi="Times New Roman" w:cs="Times New Roman"/>
          <w:sz w:val="20"/>
          <w:szCs w:val="20"/>
        </w:rPr>
        <w:footnoteRef/>
      </w:r>
      <w:r w:rsidRPr="00BB67B1">
        <w:rPr>
          <w:rFonts w:ascii="Times New Roman" w:hAnsi="Times New Roman" w:cs="Times New Roman"/>
          <w:sz w:val="20"/>
          <w:szCs w:val="20"/>
        </w:rPr>
        <w:t xml:space="preserve"> </w:t>
      </w:r>
      <w:r w:rsidRPr="00BB67B1">
        <w:rPr>
          <w:rFonts w:ascii="Times New Roman" w:eastAsia="Times New Roman" w:hAnsi="Times New Roman" w:cs="Times New Roman"/>
          <w:i/>
          <w:iCs/>
          <w:sz w:val="20"/>
          <w:szCs w:val="20"/>
        </w:rPr>
        <w:t>Obama Hope Poster Lawsuit Settlement a Good Deal for Both Sides, Says Kernochan Center Director</w:t>
      </w:r>
      <w:r w:rsidRPr="00BB67B1">
        <w:rPr>
          <w:rFonts w:ascii="Times New Roman" w:eastAsia="Times New Roman" w:hAnsi="Times New Roman" w:cs="Times New Roman"/>
          <w:sz w:val="20"/>
          <w:szCs w:val="20"/>
        </w:rPr>
        <w:t xml:space="preserve">, </w:t>
      </w:r>
      <w:r w:rsidRPr="00BB67B1">
        <w:rPr>
          <w:rFonts w:ascii="Times New Roman" w:eastAsia="Times New Roman" w:hAnsi="Times New Roman" w:cs="Times New Roman"/>
          <w:smallCaps/>
          <w:sz w:val="20"/>
          <w:szCs w:val="20"/>
        </w:rPr>
        <w:t>Columbia Law School</w:t>
      </w:r>
      <w:r w:rsidRPr="00BB67B1">
        <w:rPr>
          <w:rFonts w:ascii="Times New Roman" w:eastAsia="Times New Roman" w:hAnsi="Times New Roman" w:cs="Times New Roman"/>
          <w:sz w:val="20"/>
          <w:szCs w:val="20"/>
        </w:rPr>
        <w:t>, at https://www.law.columbia.edu/news/archive/obama-hope-poster-lawsuit-settlement-good-deal-both-sides-says-kernochan-center-director.</w:t>
      </w:r>
    </w:p>
    <w:p w14:paraId="4C52B253" w14:textId="7B31017A" w:rsidR="00051E81" w:rsidRPr="00BB67B1" w:rsidRDefault="00051E81" w:rsidP="00051E81">
      <w:pPr>
        <w:pStyle w:val="FootnoteText"/>
        <w:rPr>
          <w:rFonts w:ascii="Times New Roman" w:hAnsi="Times New Roman" w:cs="Times New Roman"/>
          <w:lang w:val="en-US"/>
        </w:rPr>
      </w:pPr>
    </w:p>
  </w:footnote>
  <w:footnote w:id="4">
    <w:p w14:paraId="3C527139" w14:textId="0F5AA19F" w:rsidR="00AB5EAC" w:rsidRPr="00BB67B1" w:rsidRDefault="00AB5EAC" w:rsidP="00AB5EAC">
      <w:pPr>
        <w:spacing w:line="240" w:lineRule="auto"/>
        <w:rPr>
          <w:rFonts w:ascii="Times New Roman" w:hAnsi="Times New Roman" w:cs="Times New Roman"/>
          <w:sz w:val="20"/>
          <w:szCs w:val="20"/>
        </w:rPr>
      </w:pPr>
      <w:r w:rsidRPr="00BB67B1">
        <w:rPr>
          <w:rStyle w:val="FootnoteReference"/>
          <w:rFonts w:ascii="Times New Roman" w:hAnsi="Times New Roman" w:cs="Times New Roman"/>
          <w:sz w:val="20"/>
          <w:szCs w:val="20"/>
        </w:rPr>
        <w:footnoteRef/>
      </w:r>
      <w:r w:rsidRPr="00BB67B1">
        <w:rPr>
          <w:rFonts w:ascii="Times New Roman" w:hAnsi="Times New Roman" w:cs="Times New Roman"/>
          <w:sz w:val="20"/>
          <w:szCs w:val="20"/>
        </w:rPr>
        <w:t xml:space="preserve"> Constitution of the United States, Art. I, Sec. 8.</w:t>
      </w:r>
    </w:p>
  </w:footnote>
  <w:footnote w:id="5">
    <w:p w14:paraId="6C863435" w14:textId="29CDAD57" w:rsidR="00AB5EAC" w:rsidRPr="00BB67B1" w:rsidRDefault="00AB5EAC">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eastAsia="Times New Roman" w:hAnsi="Times New Roman" w:cs="Times New Roman"/>
          <w:smallCaps/>
        </w:rPr>
        <w:t xml:space="preserve">Copyright.Gov, </w:t>
      </w:r>
      <w:r w:rsidRPr="00BB67B1">
        <w:rPr>
          <w:rFonts w:ascii="Times New Roman" w:eastAsia="Times New Roman" w:hAnsi="Times New Roman" w:cs="Times New Roman"/>
        </w:rPr>
        <w:t>https://www.copyright.gov/timeline/.</w:t>
      </w:r>
    </w:p>
  </w:footnote>
  <w:footnote w:id="6">
    <w:p w14:paraId="06EABFFE" w14:textId="68130FC0" w:rsidR="00AB5EAC" w:rsidRPr="00BB67B1" w:rsidRDefault="00AB5EAC">
      <w:pPr>
        <w:pStyle w:val="FootnoteText"/>
        <w:rPr>
          <w:rFonts w:ascii="Times New Roman" w:hAnsi="Times New Roman" w:cs="Times New Roman"/>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Id.</w:t>
      </w:r>
    </w:p>
  </w:footnote>
  <w:footnote w:id="7">
    <w:p w14:paraId="2286C9C7" w14:textId="1BDDA9AA" w:rsidR="00AB5EAC" w:rsidRPr="00BB67B1" w:rsidRDefault="00AB5EAC">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Id.</w:t>
      </w:r>
    </w:p>
  </w:footnote>
  <w:footnote w:id="8">
    <w:p w14:paraId="4D06A660" w14:textId="4132135A" w:rsidR="00AB5EAC" w:rsidRPr="00BB67B1" w:rsidRDefault="00AB5EAC">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Style w:val="eq0j8"/>
          <w:rFonts w:ascii="Times New Roman" w:hAnsi="Times New Roman" w:cs="Times New Roman"/>
        </w:rPr>
        <w:t>Pub.L. 94–553.</w:t>
      </w:r>
    </w:p>
  </w:footnote>
  <w:footnote w:id="9">
    <w:p w14:paraId="2F2820F7" w14:textId="2EB9362D" w:rsidR="00AB5EAC" w:rsidRPr="00BB67B1" w:rsidRDefault="00AB5EAC">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Id.</w:t>
      </w:r>
    </w:p>
  </w:footnote>
  <w:footnote w:id="10">
    <w:p w14:paraId="0B57374D" w14:textId="1738D238" w:rsidR="00AB5EAC" w:rsidRPr="00BB67B1" w:rsidRDefault="00AB5EAC">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Id.</w:t>
      </w:r>
    </w:p>
  </w:footnote>
  <w:footnote w:id="11">
    <w:p w14:paraId="0657049C" w14:textId="1B6A9C6B" w:rsidR="002342AA" w:rsidRPr="00BB67B1" w:rsidRDefault="002342AA">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Campbell v. Acuff-Rose Music, Inc., 510 U.S. 569 (1994).</w:t>
      </w:r>
    </w:p>
  </w:footnote>
  <w:footnote w:id="12">
    <w:p w14:paraId="1529F768" w14:textId="7409C227" w:rsidR="002342AA" w:rsidRPr="00BB67B1" w:rsidRDefault="002342AA" w:rsidP="0015069D">
      <w:pPr>
        <w:spacing w:line="240" w:lineRule="auto"/>
        <w:rPr>
          <w:rFonts w:ascii="Times New Roman" w:eastAsia="Times New Roman" w:hAnsi="Times New Roman" w:cs="Times New Roman"/>
          <w:sz w:val="20"/>
          <w:szCs w:val="20"/>
        </w:rPr>
      </w:pPr>
      <w:r w:rsidRPr="00BB67B1">
        <w:rPr>
          <w:rStyle w:val="FootnoteReference"/>
          <w:rFonts w:ascii="Times New Roman" w:hAnsi="Times New Roman" w:cs="Times New Roman"/>
          <w:sz w:val="20"/>
          <w:szCs w:val="20"/>
        </w:rPr>
        <w:footnoteRef/>
      </w:r>
      <w:r w:rsidRPr="00BB67B1">
        <w:rPr>
          <w:rFonts w:ascii="Times New Roman" w:hAnsi="Times New Roman" w:cs="Times New Roman"/>
          <w:sz w:val="20"/>
          <w:szCs w:val="20"/>
        </w:rPr>
        <w:t xml:space="preserve"> </w:t>
      </w:r>
      <w:r w:rsidRPr="00BB67B1">
        <w:rPr>
          <w:rFonts w:ascii="Times New Roman" w:eastAsia="Times New Roman" w:hAnsi="Times New Roman" w:cs="Times New Roman"/>
          <w:sz w:val="20"/>
          <w:szCs w:val="20"/>
        </w:rPr>
        <w:t xml:space="preserve">Richard Stim, </w:t>
      </w:r>
      <w:r w:rsidRPr="00BB67B1">
        <w:rPr>
          <w:rFonts w:ascii="Times New Roman" w:eastAsia="Times New Roman" w:hAnsi="Times New Roman" w:cs="Times New Roman"/>
          <w:i/>
          <w:iCs/>
          <w:sz w:val="20"/>
          <w:szCs w:val="20"/>
        </w:rPr>
        <w:t>Fair Use: What is Transformative?</w:t>
      </w:r>
      <w:r w:rsidRPr="00BB67B1">
        <w:rPr>
          <w:rFonts w:ascii="Times New Roman" w:eastAsia="Times New Roman" w:hAnsi="Times New Roman" w:cs="Times New Roman"/>
          <w:sz w:val="20"/>
          <w:szCs w:val="20"/>
        </w:rPr>
        <w:t xml:space="preserve">, </w:t>
      </w:r>
      <w:r w:rsidRPr="00BB67B1">
        <w:rPr>
          <w:rFonts w:ascii="Times New Roman" w:eastAsia="Times New Roman" w:hAnsi="Times New Roman" w:cs="Times New Roman"/>
          <w:smallCaps/>
          <w:sz w:val="20"/>
          <w:szCs w:val="20"/>
        </w:rPr>
        <w:t>Nolo.com</w:t>
      </w:r>
      <w:r w:rsidRPr="00BB67B1">
        <w:rPr>
          <w:rFonts w:ascii="Times New Roman" w:eastAsia="Times New Roman" w:hAnsi="Times New Roman" w:cs="Times New Roman"/>
          <w:sz w:val="20"/>
          <w:szCs w:val="20"/>
        </w:rPr>
        <w:t>, at https://www.nolo.com/legal-encyclopedia/fair-use-what-transformative.html</w:t>
      </w:r>
    </w:p>
  </w:footnote>
  <w:footnote w:id="13">
    <w:p w14:paraId="0373DA79" w14:textId="4A32443B" w:rsidR="002342AA" w:rsidRPr="00BB67B1" w:rsidRDefault="002342AA">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001B650E" w:rsidRPr="00BB67B1">
        <w:rPr>
          <w:rFonts w:ascii="Times New Roman" w:hAnsi="Times New Roman" w:cs="Times New Roman"/>
          <w:i/>
          <w:iCs/>
        </w:rPr>
        <w:t>Campbell</w:t>
      </w:r>
      <w:r w:rsidR="001B650E" w:rsidRPr="00BB67B1">
        <w:rPr>
          <w:rFonts w:ascii="Times New Roman" w:hAnsi="Times New Roman" w:cs="Times New Roman"/>
        </w:rPr>
        <w:t>, 510 U.S.</w:t>
      </w:r>
    </w:p>
  </w:footnote>
  <w:footnote w:id="14">
    <w:p w14:paraId="67C718E1" w14:textId="017BF57D" w:rsidR="009B54ED" w:rsidRPr="00BB67B1" w:rsidRDefault="009B54ED">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eastAsia="Times New Roman" w:hAnsi="Times New Roman" w:cs="Times New Roman"/>
        </w:rPr>
        <w:t xml:space="preserve">Melissa Eckhause, </w:t>
      </w:r>
      <w:r w:rsidRPr="00BB67B1">
        <w:rPr>
          <w:rFonts w:ascii="Times New Roman" w:eastAsia="Times New Roman" w:hAnsi="Times New Roman" w:cs="Times New Roman"/>
          <w:i/>
          <w:iCs/>
        </w:rPr>
        <w:t>Digital Sampling v. Appropriation Art: Why Is One Stealing and the Other Fair Use? A Proposal for a Code of Best Practices in Fair Use for Digital Music Sampling</w:t>
      </w:r>
      <w:r w:rsidRPr="00BB67B1">
        <w:rPr>
          <w:rFonts w:ascii="Times New Roman" w:eastAsia="Times New Roman" w:hAnsi="Times New Roman" w:cs="Times New Roman"/>
        </w:rPr>
        <w:t xml:space="preserve">, </w:t>
      </w:r>
      <w:r w:rsidRPr="00BB67B1">
        <w:rPr>
          <w:rFonts w:ascii="Times New Roman" w:eastAsia="Times New Roman" w:hAnsi="Times New Roman" w:cs="Times New Roman"/>
          <w:smallCaps/>
        </w:rPr>
        <w:t>84 Missouri Law Review 371 (2019).</w:t>
      </w:r>
    </w:p>
  </w:footnote>
  <w:footnote w:id="15">
    <w:p w14:paraId="62693A55" w14:textId="6AEE0ADC" w:rsidR="009B54ED" w:rsidRPr="00BB67B1" w:rsidRDefault="009B54ED" w:rsidP="009B54ED">
      <w:pPr>
        <w:spacing w:line="240" w:lineRule="auto"/>
        <w:rPr>
          <w:rFonts w:ascii="Times New Roman" w:eastAsia="Times New Roman" w:hAnsi="Times New Roman" w:cs="Times New Roman"/>
          <w:sz w:val="20"/>
          <w:szCs w:val="20"/>
        </w:rPr>
      </w:pPr>
      <w:r w:rsidRPr="00BB67B1">
        <w:rPr>
          <w:rStyle w:val="FootnoteReference"/>
          <w:rFonts w:ascii="Times New Roman" w:hAnsi="Times New Roman" w:cs="Times New Roman"/>
          <w:sz w:val="20"/>
          <w:szCs w:val="20"/>
        </w:rPr>
        <w:footnoteRef/>
      </w:r>
      <w:r w:rsidRPr="00BB67B1">
        <w:rPr>
          <w:rFonts w:ascii="Times New Roman" w:hAnsi="Times New Roman" w:cs="Times New Roman"/>
          <w:sz w:val="20"/>
          <w:szCs w:val="20"/>
        </w:rPr>
        <w:t xml:space="preserve"> </w:t>
      </w:r>
      <w:r w:rsidRPr="00BB67B1">
        <w:rPr>
          <w:rFonts w:ascii="Times New Roman" w:eastAsia="Times New Roman" w:hAnsi="Times New Roman" w:cs="Times New Roman"/>
          <w:i/>
          <w:iCs/>
          <w:sz w:val="20"/>
          <w:szCs w:val="20"/>
        </w:rPr>
        <w:t>Copyright Law – Fair Use – Second Circuit Holds That Appropriation Artwork Need Not Comment on the Original to Be Transformative</w:t>
      </w:r>
      <w:r w:rsidRPr="00BB67B1">
        <w:rPr>
          <w:rFonts w:ascii="Times New Roman" w:eastAsia="Times New Roman" w:hAnsi="Times New Roman" w:cs="Times New Roman"/>
          <w:sz w:val="20"/>
          <w:szCs w:val="20"/>
        </w:rPr>
        <w:t xml:space="preserve">, </w:t>
      </w:r>
      <w:r w:rsidRPr="00BB67B1">
        <w:rPr>
          <w:rFonts w:ascii="Times New Roman" w:eastAsia="Times New Roman" w:hAnsi="Times New Roman" w:cs="Times New Roman"/>
          <w:smallCaps/>
          <w:sz w:val="20"/>
          <w:szCs w:val="20"/>
        </w:rPr>
        <w:t xml:space="preserve">127 Harvard Law Review 1228 </w:t>
      </w:r>
      <w:r w:rsidRPr="00BB67B1">
        <w:rPr>
          <w:rFonts w:ascii="Times New Roman" w:eastAsia="Times New Roman" w:hAnsi="Times New Roman" w:cs="Times New Roman"/>
          <w:sz w:val="20"/>
          <w:szCs w:val="20"/>
        </w:rPr>
        <w:t>(2014).</w:t>
      </w:r>
    </w:p>
  </w:footnote>
  <w:footnote w:id="16">
    <w:p w14:paraId="2B881130" w14:textId="71BFECD8" w:rsidR="009B54ED" w:rsidRPr="00BB67B1" w:rsidRDefault="009B54ED">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Id.</w:t>
      </w:r>
    </w:p>
  </w:footnote>
  <w:footnote w:id="17">
    <w:p w14:paraId="72C33310" w14:textId="0AEC854F" w:rsidR="009B54ED" w:rsidRPr="00BB67B1" w:rsidRDefault="009B54ED">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Id.</w:t>
      </w:r>
    </w:p>
  </w:footnote>
  <w:footnote w:id="18">
    <w:p w14:paraId="06D78292" w14:textId="0331D5AB" w:rsidR="009B54ED" w:rsidRPr="00BB67B1" w:rsidRDefault="009B54ED" w:rsidP="009B54ED">
      <w:pPr>
        <w:spacing w:line="240" w:lineRule="auto"/>
        <w:rPr>
          <w:rFonts w:ascii="Times New Roman" w:hAnsi="Times New Roman" w:cs="Times New Roman"/>
          <w:sz w:val="20"/>
          <w:szCs w:val="20"/>
        </w:rPr>
      </w:pPr>
      <w:r w:rsidRPr="00BB67B1">
        <w:rPr>
          <w:rStyle w:val="FootnoteReference"/>
          <w:rFonts w:ascii="Times New Roman" w:hAnsi="Times New Roman" w:cs="Times New Roman"/>
          <w:sz w:val="20"/>
          <w:szCs w:val="20"/>
        </w:rPr>
        <w:footnoteRef/>
      </w:r>
      <w:r w:rsidRPr="00BB67B1">
        <w:rPr>
          <w:rFonts w:ascii="Times New Roman" w:hAnsi="Times New Roman" w:cs="Times New Roman"/>
          <w:sz w:val="20"/>
          <w:szCs w:val="20"/>
        </w:rPr>
        <w:t xml:space="preserve"> Cairou v. Prince, 714 F.3d 694 (2d Cir. 2013).</w:t>
      </w:r>
    </w:p>
  </w:footnote>
  <w:footnote w:id="19">
    <w:p w14:paraId="141CABD7" w14:textId="24A133E7" w:rsidR="009B54ED" w:rsidRPr="00BB67B1" w:rsidRDefault="009B54ED">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Id.</w:t>
      </w:r>
    </w:p>
  </w:footnote>
  <w:footnote w:id="20">
    <w:p w14:paraId="5E619329" w14:textId="44B5EE78" w:rsidR="009B54ED" w:rsidRPr="00BB67B1" w:rsidRDefault="009B54ED">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Id.</w:t>
      </w:r>
    </w:p>
  </w:footnote>
  <w:footnote w:id="21">
    <w:p w14:paraId="3F77856B" w14:textId="6DEBBD64" w:rsidR="00CF5969" w:rsidRPr="00BB67B1" w:rsidRDefault="00CF5969">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eastAsia="Times New Roman" w:hAnsi="Times New Roman" w:cs="Times New Roman"/>
          <w:smallCaps/>
        </w:rPr>
        <w:t xml:space="preserve">Harvard Law Review 1228, </w:t>
      </w:r>
      <w:r w:rsidRPr="00BB67B1">
        <w:rPr>
          <w:rFonts w:ascii="Times New Roman" w:eastAsia="Times New Roman" w:hAnsi="Times New Roman" w:cs="Times New Roman"/>
          <w:i/>
          <w:iCs/>
        </w:rPr>
        <w:t>supra</w:t>
      </w:r>
      <w:r w:rsidRPr="00BB67B1">
        <w:rPr>
          <w:rFonts w:ascii="Times New Roman" w:eastAsia="Times New Roman" w:hAnsi="Times New Roman" w:cs="Times New Roman"/>
        </w:rPr>
        <w:t xml:space="preserve"> note 15.</w:t>
      </w:r>
    </w:p>
  </w:footnote>
  <w:footnote w:id="22">
    <w:p w14:paraId="60EF56CD" w14:textId="74FFEA37" w:rsidR="009B54ED" w:rsidRPr="00BB67B1" w:rsidRDefault="009B54ED">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00CF5969" w:rsidRPr="00BB67B1">
        <w:rPr>
          <w:rFonts w:ascii="Times New Roman" w:eastAsia="Times New Roman" w:hAnsi="Times New Roman" w:cs="Times New Roman"/>
          <w:i/>
          <w:iCs/>
        </w:rPr>
        <w:t>Id.</w:t>
      </w:r>
    </w:p>
  </w:footnote>
  <w:footnote w:id="23">
    <w:p w14:paraId="027B2CA1" w14:textId="10BE4587" w:rsidR="00940BBF" w:rsidRPr="00BB67B1" w:rsidRDefault="00940BBF">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eastAsia="Times New Roman" w:hAnsi="Times New Roman" w:cs="Times New Roman"/>
          <w:smallCaps/>
        </w:rPr>
        <w:t xml:space="preserve">Robin Jeweler, “Digital Rights” and Fair Use in Copyright Law, </w:t>
      </w:r>
      <w:r w:rsidRPr="00BB67B1">
        <w:rPr>
          <w:rFonts w:ascii="Times New Roman" w:eastAsia="Times New Roman" w:hAnsi="Times New Roman" w:cs="Times New Roman"/>
        </w:rPr>
        <w:t>(2003).</w:t>
      </w:r>
    </w:p>
  </w:footnote>
  <w:footnote w:id="24">
    <w:p w14:paraId="61B7C38E" w14:textId="4BA7F0CC" w:rsidR="00940BBF" w:rsidRPr="00BB67B1" w:rsidRDefault="00940BBF" w:rsidP="00940BBF">
      <w:pPr>
        <w:spacing w:line="240" w:lineRule="auto"/>
        <w:rPr>
          <w:rFonts w:ascii="Times New Roman" w:hAnsi="Times New Roman" w:cs="Times New Roman"/>
          <w:sz w:val="20"/>
          <w:szCs w:val="20"/>
        </w:rPr>
      </w:pPr>
      <w:r w:rsidRPr="00BB67B1">
        <w:rPr>
          <w:rStyle w:val="FootnoteReference"/>
          <w:rFonts w:ascii="Times New Roman" w:hAnsi="Times New Roman" w:cs="Times New Roman"/>
          <w:sz w:val="20"/>
          <w:szCs w:val="20"/>
        </w:rPr>
        <w:footnoteRef/>
      </w:r>
      <w:r w:rsidRPr="00BB67B1">
        <w:rPr>
          <w:rFonts w:ascii="Times New Roman" w:hAnsi="Times New Roman" w:cs="Times New Roman"/>
          <w:sz w:val="20"/>
          <w:szCs w:val="20"/>
        </w:rPr>
        <w:t xml:space="preserve"> Sony Corp. of America v. Universal City Studios, Inc., 464 U.S. 417 (1984).</w:t>
      </w:r>
    </w:p>
  </w:footnote>
  <w:footnote w:id="25">
    <w:p w14:paraId="30C83376" w14:textId="58B50E6E" w:rsidR="00940BBF" w:rsidRPr="00BB67B1" w:rsidRDefault="00940BBF">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eastAsia="Times New Roman" w:hAnsi="Times New Roman" w:cs="Times New Roman"/>
          <w:i/>
          <w:iCs/>
        </w:rPr>
        <w:t>Universal City Studios, Inc. V. Sony Corp.: ‘Fair Use’ Looks Different on Videotape</w:t>
      </w:r>
      <w:r w:rsidRPr="00BB67B1">
        <w:rPr>
          <w:rFonts w:ascii="Times New Roman" w:eastAsia="Times New Roman" w:hAnsi="Times New Roman" w:cs="Times New Roman"/>
        </w:rPr>
        <w:t xml:space="preserve">, </w:t>
      </w:r>
      <w:r w:rsidRPr="00BB67B1">
        <w:rPr>
          <w:rFonts w:ascii="Times New Roman" w:eastAsia="Times New Roman" w:hAnsi="Times New Roman" w:cs="Times New Roman"/>
          <w:smallCaps/>
        </w:rPr>
        <w:t>66 Virginia Law Review 1005 (1980).</w:t>
      </w:r>
    </w:p>
  </w:footnote>
  <w:footnote w:id="26">
    <w:p w14:paraId="132BC66F" w14:textId="55C7E282" w:rsidR="00940BBF" w:rsidRPr="00BB67B1" w:rsidRDefault="00940BBF">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Id.</w:t>
      </w:r>
    </w:p>
  </w:footnote>
  <w:footnote w:id="27">
    <w:p w14:paraId="4D7E621B" w14:textId="15C1E460" w:rsidR="00940BBF" w:rsidRPr="00BB67B1" w:rsidRDefault="00940BBF">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 xml:space="preserve">Sony Corp., </w:t>
      </w:r>
      <w:r w:rsidRPr="00BB67B1">
        <w:rPr>
          <w:rFonts w:ascii="Times New Roman" w:hAnsi="Times New Roman" w:cs="Times New Roman"/>
          <w:lang w:val="en-US"/>
        </w:rPr>
        <w:t>464 U.S.</w:t>
      </w:r>
    </w:p>
  </w:footnote>
  <w:footnote w:id="28">
    <w:p w14:paraId="5D704DCA" w14:textId="02306973" w:rsidR="00515F2A" w:rsidRPr="00BB67B1" w:rsidRDefault="00515F2A">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eastAsia="Times New Roman" w:hAnsi="Times New Roman" w:cs="Times New Roman"/>
          <w:smallCaps/>
        </w:rPr>
        <w:t>66 Virginia Law Review 1005,</w:t>
      </w:r>
      <w:r w:rsidRPr="00BB67B1">
        <w:rPr>
          <w:rFonts w:ascii="Times New Roman" w:eastAsia="Times New Roman" w:hAnsi="Times New Roman" w:cs="Times New Roman"/>
        </w:rPr>
        <w:t xml:space="preserve"> </w:t>
      </w:r>
      <w:r w:rsidRPr="00BB67B1">
        <w:rPr>
          <w:rFonts w:ascii="Times New Roman" w:eastAsia="Times New Roman" w:hAnsi="Times New Roman" w:cs="Times New Roman"/>
          <w:i/>
          <w:iCs/>
        </w:rPr>
        <w:t>supra</w:t>
      </w:r>
      <w:r w:rsidRPr="00BB67B1">
        <w:rPr>
          <w:rFonts w:ascii="Times New Roman" w:eastAsia="Times New Roman" w:hAnsi="Times New Roman" w:cs="Times New Roman"/>
        </w:rPr>
        <w:t xml:space="preserve"> note 2</w:t>
      </w:r>
      <w:r w:rsidR="00CF5969" w:rsidRPr="00BB67B1">
        <w:rPr>
          <w:rFonts w:ascii="Times New Roman" w:eastAsia="Times New Roman" w:hAnsi="Times New Roman" w:cs="Times New Roman"/>
        </w:rPr>
        <w:t>5</w:t>
      </w:r>
      <w:r w:rsidRPr="00BB67B1">
        <w:rPr>
          <w:rFonts w:ascii="Times New Roman" w:eastAsia="Times New Roman" w:hAnsi="Times New Roman" w:cs="Times New Roman"/>
        </w:rPr>
        <w:t>.</w:t>
      </w:r>
    </w:p>
  </w:footnote>
  <w:footnote w:id="29">
    <w:p w14:paraId="09C25E69" w14:textId="0D4E5824" w:rsidR="005A0319" w:rsidRPr="00BB67B1" w:rsidRDefault="005A0319" w:rsidP="005A0319">
      <w:pPr>
        <w:spacing w:line="240" w:lineRule="auto"/>
        <w:rPr>
          <w:rFonts w:ascii="Times New Roman" w:eastAsia="Times New Roman" w:hAnsi="Times New Roman" w:cs="Times New Roman"/>
          <w:sz w:val="20"/>
          <w:szCs w:val="20"/>
        </w:rPr>
      </w:pPr>
      <w:r w:rsidRPr="00BB67B1">
        <w:rPr>
          <w:rStyle w:val="FootnoteReference"/>
          <w:rFonts w:ascii="Times New Roman" w:hAnsi="Times New Roman" w:cs="Times New Roman"/>
          <w:sz w:val="20"/>
          <w:szCs w:val="20"/>
        </w:rPr>
        <w:footnoteRef/>
      </w:r>
      <w:r w:rsidRPr="00BB67B1">
        <w:rPr>
          <w:rFonts w:ascii="Times New Roman" w:hAnsi="Times New Roman" w:cs="Times New Roman"/>
          <w:sz w:val="20"/>
          <w:szCs w:val="20"/>
        </w:rPr>
        <w:t xml:space="preserve"> </w:t>
      </w:r>
      <w:r w:rsidRPr="00BB67B1">
        <w:rPr>
          <w:rFonts w:ascii="Times New Roman" w:eastAsia="Times New Roman" w:hAnsi="Times New Roman" w:cs="Times New Roman"/>
          <w:i/>
          <w:iCs/>
          <w:sz w:val="20"/>
          <w:szCs w:val="20"/>
        </w:rPr>
        <w:t>The Copyright Monopoly after Sony Corp. of America V. Universal City Studios, Inc.</w:t>
      </w:r>
      <w:r w:rsidRPr="00BB67B1">
        <w:rPr>
          <w:rFonts w:ascii="Times New Roman" w:eastAsia="Times New Roman" w:hAnsi="Times New Roman" w:cs="Times New Roman"/>
          <w:sz w:val="20"/>
          <w:szCs w:val="20"/>
        </w:rPr>
        <w:t xml:space="preserve">, </w:t>
      </w:r>
      <w:r w:rsidR="00CF5969" w:rsidRPr="00BB67B1">
        <w:rPr>
          <w:rFonts w:ascii="Times New Roman" w:eastAsia="Times New Roman" w:hAnsi="Times New Roman" w:cs="Times New Roman"/>
          <w:sz w:val="20"/>
          <w:szCs w:val="20"/>
        </w:rPr>
        <w:t xml:space="preserve">1 </w:t>
      </w:r>
      <w:r w:rsidR="00CF5969" w:rsidRPr="00BB67B1">
        <w:rPr>
          <w:rFonts w:ascii="Times New Roman" w:eastAsia="Times New Roman" w:hAnsi="Times New Roman" w:cs="Times New Roman"/>
          <w:smallCaps/>
          <w:sz w:val="20"/>
          <w:szCs w:val="20"/>
        </w:rPr>
        <w:t>Touro Law Review 151</w:t>
      </w:r>
      <w:r w:rsidRPr="00BB67B1">
        <w:rPr>
          <w:rFonts w:ascii="Times New Roman" w:eastAsia="Times New Roman" w:hAnsi="Times New Roman" w:cs="Times New Roman"/>
          <w:sz w:val="20"/>
          <w:szCs w:val="20"/>
        </w:rPr>
        <w:t xml:space="preserve"> (1985).</w:t>
      </w:r>
    </w:p>
  </w:footnote>
  <w:footnote w:id="30">
    <w:p w14:paraId="5AAE506E" w14:textId="4DB18816" w:rsidR="005A0319" w:rsidRPr="00BB67B1" w:rsidRDefault="005A0319">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 xml:space="preserve">Sony Corp., </w:t>
      </w:r>
      <w:r w:rsidRPr="00BB67B1">
        <w:rPr>
          <w:rFonts w:ascii="Times New Roman" w:hAnsi="Times New Roman" w:cs="Times New Roman"/>
          <w:lang w:val="en-US"/>
        </w:rPr>
        <w:t>464 U.S.</w:t>
      </w:r>
    </w:p>
  </w:footnote>
  <w:footnote w:id="31">
    <w:p w14:paraId="56E1A90E" w14:textId="33BAC8AF" w:rsidR="00940BBF" w:rsidRPr="00BB67B1" w:rsidRDefault="00940BBF">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bookmarkStart w:id="0" w:name="_Hlk70592985"/>
      <w:r w:rsidRPr="00BB67B1">
        <w:rPr>
          <w:rFonts w:ascii="Times New Roman" w:eastAsia="Times New Roman" w:hAnsi="Times New Roman" w:cs="Times New Roman"/>
          <w:smallCaps/>
        </w:rPr>
        <w:t xml:space="preserve">Robin Jeweler, </w:t>
      </w:r>
      <w:r w:rsidRPr="00BB67B1">
        <w:rPr>
          <w:rFonts w:ascii="Times New Roman" w:eastAsia="Times New Roman" w:hAnsi="Times New Roman" w:cs="Times New Roman"/>
          <w:i/>
          <w:iCs/>
        </w:rPr>
        <w:t>supra</w:t>
      </w:r>
      <w:r w:rsidRPr="00BB67B1">
        <w:rPr>
          <w:rFonts w:ascii="Times New Roman" w:eastAsia="Times New Roman" w:hAnsi="Times New Roman" w:cs="Times New Roman"/>
        </w:rPr>
        <w:t xml:space="preserve"> note 2</w:t>
      </w:r>
      <w:r w:rsidR="00CF5969" w:rsidRPr="00BB67B1">
        <w:rPr>
          <w:rFonts w:ascii="Times New Roman" w:eastAsia="Times New Roman" w:hAnsi="Times New Roman" w:cs="Times New Roman"/>
        </w:rPr>
        <w:t>3</w:t>
      </w:r>
      <w:r w:rsidRPr="00BB67B1">
        <w:rPr>
          <w:rFonts w:ascii="Times New Roman" w:eastAsia="Times New Roman" w:hAnsi="Times New Roman" w:cs="Times New Roman"/>
        </w:rPr>
        <w:t>.</w:t>
      </w:r>
      <w:bookmarkEnd w:id="0"/>
    </w:p>
  </w:footnote>
  <w:footnote w:id="32">
    <w:p w14:paraId="358D5382" w14:textId="367A4888" w:rsidR="00CF5969" w:rsidRPr="00BB67B1" w:rsidRDefault="00CF5969">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eastAsia="Times New Roman" w:hAnsi="Times New Roman" w:cs="Times New Roman"/>
        </w:rPr>
        <w:t xml:space="preserve">1 </w:t>
      </w:r>
      <w:r w:rsidRPr="00BB67B1">
        <w:rPr>
          <w:rFonts w:ascii="Times New Roman" w:eastAsia="Times New Roman" w:hAnsi="Times New Roman" w:cs="Times New Roman"/>
          <w:smallCaps/>
        </w:rPr>
        <w:t>Touro Law Review 151</w:t>
      </w:r>
      <w:r w:rsidRPr="00BB67B1">
        <w:rPr>
          <w:rFonts w:ascii="Times New Roman" w:eastAsia="Times New Roman" w:hAnsi="Times New Roman" w:cs="Times New Roman"/>
          <w:smallCaps/>
        </w:rPr>
        <w:t xml:space="preserve">, </w:t>
      </w:r>
      <w:r w:rsidRPr="00BB67B1">
        <w:rPr>
          <w:rFonts w:ascii="Times New Roman" w:eastAsia="Times New Roman" w:hAnsi="Times New Roman" w:cs="Times New Roman"/>
          <w:i/>
          <w:iCs/>
        </w:rPr>
        <w:t>supra</w:t>
      </w:r>
      <w:r w:rsidRPr="00BB67B1">
        <w:rPr>
          <w:rFonts w:ascii="Times New Roman" w:eastAsia="Times New Roman" w:hAnsi="Times New Roman" w:cs="Times New Roman"/>
        </w:rPr>
        <w:t xml:space="preserve"> note 29.</w:t>
      </w:r>
    </w:p>
  </w:footnote>
  <w:footnote w:id="33">
    <w:p w14:paraId="02FE0CD3" w14:textId="00414EB2" w:rsidR="008F49A7" w:rsidRPr="00BB67B1" w:rsidRDefault="008F49A7" w:rsidP="008F49A7">
      <w:pPr>
        <w:spacing w:line="240" w:lineRule="auto"/>
        <w:rPr>
          <w:rFonts w:ascii="Times New Roman" w:eastAsia="Times New Roman" w:hAnsi="Times New Roman" w:cs="Times New Roman"/>
          <w:sz w:val="20"/>
          <w:szCs w:val="20"/>
        </w:rPr>
      </w:pPr>
      <w:r w:rsidRPr="00BB67B1">
        <w:rPr>
          <w:rStyle w:val="FootnoteReference"/>
          <w:rFonts w:ascii="Times New Roman" w:hAnsi="Times New Roman" w:cs="Times New Roman"/>
          <w:sz w:val="20"/>
          <w:szCs w:val="20"/>
        </w:rPr>
        <w:footnoteRef/>
      </w:r>
      <w:r w:rsidRPr="00BB67B1">
        <w:rPr>
          <w:rFonts w:ascii="Times New Roman" w:hAnsi="Times New Roman" w:cs="Times New Roman"/>
          <w:sz w:val="20"/>
          <w:szCs w:val="20"/>
        </w:rPr>
        <w:t xml:space="preserve"> </w:t>
      </w:r>
      <w:r w:rsidRPr="00BB67B1">
        <w:rPr>
          <w:rFonts w:ascii="Times New Roman" w:eastAsia="Times New Roman" w:hAnsi="Times New Roman" w:cs="Times New Roman"/>
          <w:i/>
          <w:iCs/>
          <w:sz w:val="20"/>
          <w:szCs w:val="20"/>
        </w:rPr>
        <w:t>Case Study: A&amp;M Records, Inc. v. Napster, Inc.</w:t>
      </w:r>
      <w:r w:rsidRPr="00BB67B1">
        <w:rPr>
          <w:rFonts w:ascii="Times New Roman" w:eastAsia="Times New Roman" w:hAnsi="Times New Roman" w:cs="Times New Roman"/>
          <w:sz w:val="20"/>
          <w:szCs w:val="20"/>
        </w:rPr>
        <w:t xml:space="preserve"> </w:t>
      </w:r>
      <w:r w:rsidRPr="00BB67B1">
        <w:rPr>
          <w:rFonts w:ascii="Times New Roman" w:eastAsia="Times New Roman" w:hAnsi="Times New Roman" w:cs="Times New Roman"/>
          <w:smallCaps/>
          <w:sz w:val="20"/>
          <w:szCs w:val="20"/>
        </w:rPr>
        <w:t>Washington university in St. Louis</w:t>
      </w:r>
      <w:r w:rsidRPr="00BB67B1">
        <w:rPr>
          <w:rFonts w:ascii="Times New Roman" w:eastAsia="Times New Roman" w:hAnsi="Times New Roman" w:cs="Times New Roman"/>
          <w:sz w:val="20"/>
          <w:szCs w:val="20"/>
        </w:rPr>
        <w:t>. (August 1, 2013), at https://onlinelaw.wustl.edu/blog/case-study-am-records-inc-v-napster-inc/.</w:t>
      </w:r>
    </w:p>
  </w:footnote>
  <w:footnote w:id="34">
    <w:p w14:paraId="066D36F7" w14:textId="58FA198A" w:rsidR="008F49A7" w:rsidRPr="00BB67B1" w:rsidRDefault="008F49A7">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Id.</w:t>
      </w:r>
    </w:p>
  </w:footnote>
  <w:footnote w:id="35">
    <w:p w14:paraId="7903D821" w14:textId="7EEB94A3" w:rsidR="00DA5329" w:rsidRPr="00BB67B1" w:rsidRDefault="00DA5329">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eastAsia="Times New Roman" w:hAnsi="Times New Roman" w:cs="Times New Roman"/>
          <w:smallCaps/>
        </w:rPr>
        <w:t xml:space="preserve">Robin Jeweler, </w:t>
      </w:r>
      <w:r w:rsidRPr="00BB67B1">
        <w:rPr>
          <w:rFonts w:ascii="Times New Roman" w:eastAsia="Times New Roman" w:hAnsi="Times New Roman" w:cs="Times New Roman"/>
          <w:i/>
          <w:iCs/>
        </w:rPr>
        <w:t>supra</w:t>
      </w:r>
      <w:r w:rsidRPr="00BB67B1">
        <w:rPr>
          <w:rFonts w:ascii="Times New Roman" w:eastAsia="Times New Roman" w:hAnsi="Times New Roman" w:cs="Times New Roman"/>
        </w:rPr>
        <w:t xml:space="preserve"> note 2</w:t>
      </w:r>
      <w:r w:rsidR="00CF5969" w:rsidRPr="00BB67B1">
        <w:rPr>
          <w:rFonts w:ascii="Times New Roman" w:eastAsia="Times New Roman" w:hAnsi="Times New Roman" w:cs="Times New Roman"/>
        </w:rPr>
        <w:t>3</w:t>
      </w:r>
      <w:r w:rsidRPr="00BB67B1">
        <w:rPr>
          <w:rFonts w:ascii="Times New Roman" w:eastAsia="Times New Roman" w:hAnsi="Times New Roman" w:cs="Times New Roman"/>
        </w:rPr>
        <w:t>.</w:t>
      </w:r>
    </w:p>
  </w:footnote>
  <w:footnote w:id="36">
    <w:p w14:paraId="18BB4871" w14:textId="01DDD709" w:rsidR="008F49A7" w:rsidRPr="00BB67B1" w:rsidRDefault="008F49A7" w:rsidP="008F49A7">
      <w:pPr>
        <w:spacing w:line="240" w:lineRule="auto"/>
        <w:rPr>
          <w:rFonts w:ascii="Times New Roman" w:eastAsia="Times New Roman" w:hAnsi="Times New Roman" w:cs="Times New Roman"/>
          <w:sz w:val="20"/>
          <w:szCs w:val="20"/>
        </w:rPr>
      </w:pPr>
      <w:r w:rsidRPr="00BB67B1">
        <w:rPr>
          <w:rStyle w:val="FootnoteReference"/>
          <w:rFonts w:ascii="Times New Roman" w:hAnsi="Times New Roman" w:cs="Times New Roman"/>
          <w:sz w:val="20"/>
          <w:szCs w:val="20"/>
        </w:rPr>
        <w:footnoteRef/>
      </w:r>
      <w:r w:rsidRPr="00BB67B1">
        <w:rPr>
          <w:rFonts w:ascii="Times New Roman" w:hAnsi="Times New Roman" w:cs="Times New Roman"/>
          <w:sz w:val="20"/>
          <w:szCs w:val="20"/>
        </w:rPr>
        <w:t xml:space="preserve"> </w:t>
      </w:r>
      <w:r w:rsidR="00DA5329" w:rsidRPr="00BB67B1">
        <w:rPr>
          <w:rFonts w:ascii="Times New Roman" w:eastAsia="Times New Roman" w:hAnsi="Times New Roman" w:cs="Times New Roman"/>
          <w:i/>
          <w:iCs/>
          <w:sz w:val="20"/>
          <w:szCs w:val="20"/>
        </w:rPr>
        <w:t>Id</w:t>
      </w:r>
      <w:r w:rsidR="00DA5329" w:rsidRPr="00BB67B1">
        <w:rPr>
          <w:rFonts w:ascii="Times New Roman" w:eastAsia="Times New Roman" w:hAnsi="Times New Roman" w:cs="Times New Roman"/>
          <w:sz w:val="20"/>
          <w:szCs w:val="20"/>
        </w:rPr>
        <w:t>.</w:t>
      </w:r>
    </w:p>
  </w:footnote>
  <w:footnote w:id="37">
    <w:p w14:paraId="373A0C95" w14:textId="7088D961" w:rsidR="008F49A7" w:rsidRPr="00BB67B1" w:rsidRDefault="008F49A7">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smallCaps/>
          <w:lang w:val="en-US"/>
        </w:rPr>
        <w:t xml:space="preserve">Washington University in St. Louis, </w:t>
      </w:r>
      <w:r w:rsidRPr="00BB67B1">
        <w:rPr>
          <w:rFonts w:ascii="Times New Roman" w:hAnsi="Times New Roman" w:cs="Times New Roman"/>
          <w:i/>
          <w:iCs/>
          <w:lang w:val="en-US"/>
        </w:rPr>
        <w:t xml:space="preserve">supra </w:t>
      </w:r>
      <w:r w:rsidRPr="009A1B2D">
        <w:rPr>
          <w:rFonts w:ascii="Times New Roman" w:hAnsi="Times New Roman" w:cs="Times New Roman"/>
          <w:lang w:val="en-US"/>
        </w:rPr>
        <w:t>note 3</w:t>
      </w:r>
      <w:r w:rsidR="009A1B2D">
        <w:rPr>
          <w:rFonts w:ascii="Times New Roman" w:hAnsi="Times New Roman" w:cs="Times New Roman"/>
          <w:lang w:val="en-US"/>
        </w:rPr>
        <w:t>3</w:t>
      </w:r>
      <w:r w:rsidRPr="009A1B2D">
        <w:rPr>
          <w:rFonts w:ascii="Times New Roman" w:hAnsi="Times New Roman" w:cs="Times New Roman"/>
          <w:lang w:val="en-US"/>
        </w:rPr>
        <w:t>.</w:t>
      </w:r>
    </w:p>
  </w:footnote>
  <w:footnote w:id="38">
    <w:p w14:paraId="516475E9" w14:textId="344058A4" w:rsidR="00914DEF" w:rsidRPr="00BB67B1" w:rsidRDefault="00914DEF">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 xml:space="preserve">Sony Corp., </w:t>
      </w:r>
      <w:r w:rsidRPr="00BB67B1">
        <w:rPr>
          <w:rFonts w:ascii="Times New Roman" w:hAnsi="Times New Roman" w:cs="Times New Roman"/>
          <w:lang w:val="en-US"/>
        </w:rPr>
        <w:t>464 U.S.</w:t>
      </w:r>
    </w:p>
  </w:footnote>
  <w:footnote w:id="39">
    <w:p w14:paraId="32BFE9CE" w14:textId="7B703B8C" w:rsidR="00914DEF" w:rsidRPr="00BB67B1" w:rsidRDefault="00914DEF">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Id.</w:t>
      </w:r>
    </w:p>
  </w:footnote>
  <w:footnote w:id="40">
    <w:p w14:paraId="4F3A25D3" w14:textId="766D84A3" w:rsidR="00BB67B1" w:rsidRPr="00BB67B1" w:rsidRDefault="00BB67B1">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eastAsia="Times New Roman" w:hAnsi="Times New Roman" w:cs="Times New Roman"/>
          <w:smallCaps/>
        </w:rPr>
        <w:t>Jessica Reyman, The Rhetoric of Intellectual Property: Copyright Law and the Regulation of Digital Culture</w:t>
      </w:r>
      <w:r w:rsidRPr="00BB67B1">
        <w:rPr>
          <w:rFonts w:ascii="Times New Roman" w:eastAsia="Times New Roman" w:hAnsi="Times New Roman" w:cs="Times New Roman"/>
        </w:rPr>
        <w:t>, 95 (2009).</w:t>
      </w:r>
    </w:p>
  </w:footnote>
  <w:footnote w:id="41">
    <w:p w14:paraId="3B91B67C" w14:textId="5360B9AB" w:rsidR="00663452" w:rsidRPr="00BB67B1" w:rsidRDefault="00663452" w:rsidP="00663452">
      <w:pPr>
        <w:spacing w:line="240" w:lineRule="auto"/>
        <w:rPr>
          <w:rFonts w:ascii="Times New Roman" w:eastAsia="Times New Roman" w:hAnsi="Times New Roman" w:cs="Times New Roman"/>
          <w:i/>
          <w:iCs/>
          <w:sz w:val="20"/>
          <w:szCs w:val="20"/>
        </w:rPr>
      </w:pPr>
      <w:r w:rsidRPr="00BB67B1">
        <w:rPr>
          <w:rStyle w:val="FootnoteReference"/>
          <w:rFonts w:ascii="Times New Roman" w:hAnsi="Times New Roman" w:cs="Times New Roman"/>
          <w:sz w:val="20"/>
          <w:szCs w:val="20"/>
        </w:rPr>
        <w:footnoteRef/>
      </w:r>
      <w:r w:rsidRPr="00BB67B1">
        <w:rPr>
          <w:rFonts w:ascii="Times New Roman" w:hAnsi="Times New Roman" w:cs="Times New Roman"/>
          <w:sz w:val="20"/>
          <w:szCs w:val="20"/>
        </w:rPr>
        <w:t xml:space="preserve"> </w:t>
      </w:r>
      <w:r w:rsidR="00BB67B1" w:rsidRPr="00BB67B1">
        <w:rPr>
          <w:rFonts w:ascii="Times New Roman" w:eastAsia="Times New Roman" w:hAnsi="Times New Roman" w:cs="Times New Roman"/>
          <w:i/>
          <w:iCs/>
          <w:sz w:val="20"/>
          <w:szCs w:val="20"/>
        </w:rPr>
        <w:t>Id.</w:t>
      </w:r>
    </w:p>
  </w:footnote>
  <w:footnote w:id="42">
    <w:p w14:paraId="15379E93" w14:textId="348E85FE" w:rsidR="00BB67B1" w:rsidRPr="00BB67B1" w:rsidRDefault="00BB67B1">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Id.</w:t>
      </w:r>
    </w:p>
  </w:footnote>
  <w:footnote w:id="43">
    <w:p w14:paraId="352E1A70" w14:textId="17A873EA" w:rsidR="00663452" w:rsidRPr="00BB67B1" w:rsidRDefault="00663452">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Id.</w:t>
      </w:r>
    </w:p>
  </w:footnote>
  <w:footnote w:id="44">
    <w:p w14:paraId="62D03FDE" w14:textId="7DEB6FE2" w:rsidR="00B2068F" w:rsidRPr="00BB67B1" w:rsidRDefault="00B2068F">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Id</w:t>
      </w:r>
      <w:r w:rsidR="00191079" w:rsidRPr="00BB67B1">
        <w:rPr>
          <w:rFonts w:ascii="Times New Roman" w:hAnsi="Times New Roman" w:cs="Times New Roman"/>
          <w:lang w:val="en-US"/>
        </w:rPr>
        <w:t xml:space="preserve"> at 108.</w:t>
      </w:r>
    </w:p>
  </w:footnote>
  <w:footnote w:id="45">
    <w:p w14:paraId="0F0A01C5" w14:textId="4B878817" w:rsidR="00B2068F" w:rsidRPr="00BB67B1" w:rsidRDefault="00B2068F" w:rsidP="00B2068F">
      <w:pPr>
        <w:spacing w:line="240" w:lineRule="auto"/>
        <w:rPr>
          <w:rFonts w:ascii="Times New Roman" w:hAnsi="Times New Roman" w:cs="Times New Roman"/>
          <w:sz w:val="20"/>
          <w:szCs w:val="20"/>
        </w:rPr>
      </w:pPr>
      <w:r w:rsidRPr="00BB67B1">
        <w:rPr>
          <w:rStyle w:val="FootnoteReference"/>
          <w:rFonts w:ascii="Times New Roman" w:hAnsi="Times New Roman" w:cs="Times New Roman"/>
          <w:sz w:val="20"/>
          <w:szCs w:val="20"/>
        </w:rPr>
        <w:footnoteRef/>
      </w:r>
      <w:r w:rsidRPr="00BB67B1">
        <w:rPr>
          <w:rFonts w:ascii="Times New Roman" w:hAnsi="Times New Roman" w:cs="Times New Roman"/>
          <w:sz w:val="20"/>
          <w:szCs w:val="20"/>
        </w:rPr>
        <w:t xml:space="preserve"> MGM Studios, Inc. v. Grokster, Ltd., 545 U.S. 913 (2005).</w:t>
      </w:r>
    </w:p>
  </w:footnote>
  <w:footnote w:id="46">
    <w:p w14:paraId="685FE3B3" w14:textId="716F23D3" w:rsidR="00B2068F" w:rsidRPr="00BB67B1" w:rsidRDefault="00B2068F">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eastAsia="Times New Roman" w:hAnsi="Times New Roman" w:cs="Times New Roman"/>
          <w:smallCaps/>
        </w:rPr>
        <w:t>Jessica Reyman</w:t>
      </w:r>
      <w:r w:rsidRPr="00BB67B1">
        <w:rPr>
          <w:rFonts w:ascii="Times New Roman" w:eastAsia="Times New Roman" w:hAnsi="Times New Roman" w:cs="Times New Roman"/>
        </w:rPr>
        <w:t xml:space="preserve">, </w:t>
      </w:r>
      <w:r w:rsidRPr="00BB67B1">
        <w:rPr>
          <w:rFonts w:ascii="Times New Roman" w:eastAsia="Times New Roman" w:hAnsi="Times New Roman" w:cs="Times New Roman"/>
          <w:i/>
          <w:iCs/>
        </w:rPr>
        <w:t>supra</w:t>
      </w:r>
      <w:r w:rsidRPr="00BB67B1">
        <w:rPr>
          <w:rFonts w:ascii="Times New Roman" w:eastAsia="Times New Roman" w:hAnsi="Times New Roman" w:cs="Times New Roman"/>
        </w:rPr>
        <w:t xml:space="preserve"> note </w:t>
      </w:r>
      <w:r w:rsidR="009A1B2D">
        <w:rPr>
          <w:rFonts w:ascii="Times New Roman" w:eastAsia="Times New Roman" w:hAnsi="Times New Roman" w:cs="Times New Roman"/>
        </w:rPr>
        <w:t>40</w:t>
      </w:r>
      <w:r w:rsidRPr="00BB67B1">
        <w:rPr>
          <w:rFonts w:ascii="Times New Roman" w:eastAsia="Times New Roman" w:hAnsi="Times New Roman" w:cs="Times New Roman"/>
        </w:rPr>
        <w:t>.</w:t>
      </w:r>
    </w:p>
  </w:footnote>
  <w:footnote w:id="47">
    <w:p w14:paraId="44736EE5" w14:textId="51EBF4A3" w:rsidR="00846FBD" w:rsidRPr="00BB67B1" w:rsidRDefault="00846FBD">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 xml:space="preserve">Id </w:t>
      </w:r>
      <w:r w:rsidR="00191079" w:rsidRPr="00BB67B1">
        <w:rPr>
          <w:rFonts w:ascii="Times New Roman" w:hAnsi="Times New Roman" w:cs="Times New Roman"/>
          <w:lang w:val="en-US"/>
        </w:rPr>
        <w:t xml:space="preserve">at </w:t>
      </w:r>
      <w:r w:rsidRPr="00BB67B1">
        <w:rPr>
          <w:rFonts w:ascii="Times New Roman" w:hAnsi="Times New Roman" w:cs="Times New Roman"/>
          <w:lang w:val="en-US"/>
        </w:rPr>
        <w:t>110.</w:t>
      </w:r>
    </w:p>
  </w:footnote>
  <w:footnote w:id="48">
    <w:p w14:paraId="467A6D34" w14:textId="5405FDDE" w:rsidR="004B1DE4" w:rsidRPr="00BB67B1" w:rsidRDefault="004B1DE4">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 xml:space="preserve">Id </w:t>
      </w:r>
      <w:r w:rsidR="00191079" w:rsidRPr="00BB67B1">
        <w:rPr>
          <w:rFonts w:ascii="Times New Roman" w:hAnsi="Times New Roman" w:cs="Times New Roman"/>
          <w:lang w:val="en-US"/>
        </w:rPr>
        <w:t xml:space="preserve">at </w:t>
      </w:r>
      <w:r w:rsidRPr="00BB67B1">
        <w:rPr>
          <w:rFonts w:ascii="Times New Roman" w:hAnsi="Times New Roman" w:cs="Times New Roman"/>
          <w:lang w:val="en-US"/>
        </w:rPr>
        <w:t>111</w:t>
      </w:r>
      <w:r w:rsidRPr="00BB67B1">
        <w:rPr>
          <w:rFonts w:ascii="Times New Roman" w:hAnsi="Times New Roman" w:cs="Times New Roman"/>
          <w:i/>
          <w:iCs/>
          <w:lang w:val="en-US"/>
        </w:rPr>
        <w:t>.</w:t>
      </w:r>
    </w:p>
  </w:footnote>
  <w:footnote w:id="49">
    <w:p w14:paraId="2BD9ED5A" w14:textId="13B0EFE4" w:rsidR="00B03F34" w:rsidRPr="00BB67B1" w:rsidRDefault="00B03F34">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Id</w:t>
      </w:r>
      <w:r w:rsidRPr="00BB67B1">
        <w:rPr>
          <w:rFonts w:ascii="Times New Roman" w:hAnsi="Times New Roman" w:cs="Times New Roman"/>
          <w:lang w:val="en-US"/>
        </w:rPr>
        <w:t>.</w:t>
      </w:r>
    </w:p>
  </w:footnote>
  <w:footnote w:id="50">
    <w:p w14:paraId="32B635F2" w14:textId="05D2E5F6" w:rsidR="008D389F" w:rsidRPr="00BB67B1" w:rsidRDefault="008D389F">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Pub. L. 105-304.</w:t>
      </w:r>
    </w:p>
  </w:footnote>
  <w:footnote w:id="51">
    <w:p w14:paraId="426CF20B" w14:textId="172A9721" w:rsidR="00BB67B1" w:rsidRPr="00BB67B1" w:rsidRDefault="00BB67B1">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eastAsia="Times New Roman" w:hAnsi="Times New Roman" w:cs="Times New Roman"/>
          <w:i/>
          <w:iCs/>
        </w:rPr>
        <w:t>Copyright law – Digital Millennium Copyright Act – Ninth Circuit requires analysis of fair use before issuing of takedown notices</w:t>
      </w:r>
      <w:r w:rsidRPr="00BB67B1">
        <w:rPr>
          <w:rFonts w:ascii="Times New Roman" w:eastAsia="Times New Roman" w:hAnsi="Times New Roman" w:cs="Times New Roman"/>
        </w:rPr>
        <w:t xml:space="preserve">, </w:t>
      </w:r>
      <w:r w:rsidRPr="00BB67B1">
        <w:rPr>
          <w:rFonts w:ascii="Times New Roman" w:eastAsia="Times New Roman" w:hAnsi="Times New Roman" w:cs="Times New Roman"/>
          <w:smallCaps/>
        </w:rPr>
        <w:t>129 Harvard Law Review 8 (2016).</w:t>
      </w:r>
    </w:p>
  </w:footnote>
  <w:footnote w:id="52">
    <w:p w14:paraId="5CE804C2" w14:textId="57905683" w:rsidR="00BB67B1" w:rsidRPr="00BB67B1" w:rsidRDefault="00BB67B1">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rPr>
        <w:t>Id.</w:t>
      </w:r>
    </w:p>
  </w:footnote>
  <w:footnote w:id="53">
    <w:p w14:paraId="07C82FDC" w14:textId="0FA36577" w:rsidR="00A40383" w:rsidRPr="00BB67B1" w:rsidRDefault="00A40383" w:rsidP="00A40383">
      <w:pPr>
        <w:spacing w:line="240" w:lineRule="auto"/>
        <w:rPr>
          <w:rFonts w:ascii="Times New Roman" w:eastAsia="Times New Roman" w:hAnsi="Times New Roman" w:cs="Times New Roman"/>
          <w:smallCaps/>
          <w:sz w:val="20"/>
          <w:szCs w:val="20"/>
        </w:rPr>
      </w:pPr>
      <w:r w:rsidRPr="00BB67B1">
        <w:rPr>
          <w:rStyle w:val="FootnoteReference"/>
          <w:rFonts w:ascii="Times New Roman" w:hAnsi="Times New Roman" w:cs="Times New Roman"/>
          <w:sz w:val="20"/>
          <w:szCs w:val="20"/>
        </w:rPr>
        <w:footnoteRef/>
      </w:r>
      <w:r w:rsidRPr="00BB67B1">
        <w:rPr>
          <w:rFonts w:ascii="Times New Roman" w:hAnsi="Times New Roman" w:cs="Times New Roman"/>
          <w:sz w:val="20"/>
          <w:szCs w:val="20"/>
        </w:rPr>
        <w:t xml:space="preserve"> </w:t>
      </w:r>
      <w:r w:rsidR="00BB67B1" w:rsidRPr="00BB67B1">
        <w:rPr>
          <w:rFonts w:ascii="Times New Roman" w:eastAsia="Times New Roman" w:hAnsi="Times New Roman" w:cs="Times New Roman"/>
          <w:i/>
          <w:iCs/>
          <w:sz w:val="20"/>
          <w:szCs w:val="20"/>
        </w:rPr>
        <w:t>Id.</w:t>
      </w:r>
    </w:p>
  </w:footnote>
  <w:footnote w:id="54">
    <w:p w14:paraId="58E3EB23" w14:textId="3B777E09" w:rsidR="00A40383" w:rsidRPr="00BB67B1" w:rsidRDefault="00A40383">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Id.</w:t>
      </w:r>
    </w:p>
  </w:footnote>
  <w:footnote w:id="55">
    <w:p w14:paraId="7694EDFA" w14:textId="418A225D" w:rsidR="00A40383" w:rsidRPr="00BB67B1" w:rsidRDefault="00A40383">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Pub. L. 105-304.</w:t>
      </w:r>
    </w:p>
  </w:footnote>
  <w:footnote w:id="56">
    <w:p w14:paraId="3CEB3B4C" w14:textId="7B87FFF8" w:rsidR="00A40383" w:rsidRPr="00BB67B1" w:rsidRDefault="00A40383">
      <w:pPr>
        <w:pStyle w:val="FootnoteText"/>
        <w:rPr>
          <w:rFonts w:ascii="Times New Roman" w:hAnsi="Times New Roman" w:cs="Times New Roman"/>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eastAsia="Times New Roman" w:hAnsi="Times New Roman" w:cs="Times New Roman"/>
          <w:smallCaps/>
        </w:rPr>
        <w:t>129 Harvard Law Review 8</w:t>
      </w:r>
      <w:r w:rsidRPr="00BB67B1">
        <w:rPr>
          <w:rFonts w:ascii="Times New Roman" w:eastAsia="Times New Roman" w:hAnsi="Times New Roman" w:cs="Times New Roman"/>
        </w:rPr>
        <w:t xml:space="preserve">, </w:t>
      </w:r>
      <w:r w:rsidRPr="00BB67B1">
        <w:rPr>
          <w:rFonts w:ascii="Times New Roman" w:eastAsia="Times New Roman" w:hAnsi="Times New Roman" w:cs="Times New Roman"/>
          <w:i/>
          <w:iCs/>
        </w:rPr>
        <w:t>supra</w:t>
      </w:r>
      <w:r w:rsidRPr="00BB67B1">
        <w:rPr>
          <w:rFonts w:ascii="Times New Roman" w:eastAsia="Times New Roman" w:hAnsi="Times New Roman" w:cs="Times New Roman"/>
        </w:rPr>
        <w:t xml:space="preserve"> note </w:t>
      </w:r>
      <w:r w:rsidR="009A1B2D">
        <w:rPr>
          <w:rFonts w:ascii="Times New Roman" w:eastAsia="Times New Roman" w:hAnsi="Times New Roman" w:cs="Times New Roman"/>
        </w:rPr>
        <w:t>51</w:t>
      </w:r>
      <w:r w:rsidRPr="00BB67B1">
        <w:rPr>
          <w:rFonts w:ascii="Times New Roman" w:eastAsia="Times New Roman" w:hAnsi="Times New Roman" w:cs="Times New Roman"/>
        </w:rPr>
        <w:t>.</w:t>
      </w:r>
    </w:p>
  </w:footnote>
  <w:footnote w:id="57">
    <w:p w14:paraId="5A2405BE" w14:textId="33FF9AC9" w:rsidR="00A40383" w:rsidRPr="00BB67B1" w:rsidRDefault="00A40383">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Id.</w:t>
      </w:r>
    </w:p>
  </w:footnote>
  <w:footnote w:id="58">
    <w:p w14:paraId="49018B56" w14:textId="722E17E8" w:rsidR="00A40383" w:rsidRPr="00BB67B1" w:rsidRDefault="00A40383">
      <w:pPr>
        <w:pStyle w:val="FootnoteText"/>
        <w:rPr>
          <w:rFonts w:ascii="Times New Roman" w:hAnsi="Times New Roman" w:cs="Times New Roman"/>
          <w:i/>
          <w:iCs/>
          <w:lang w:val="en-US"/>
        </w:rPr>
      </w:pPr>
      <w:r w:rsidRPr="00BB67B1">
        <w:rPr>
          <w:rStyle w:val="FootnoteReference"/>
          <w:rFonts w:ascii="Times New Roman" w:hAnsi="Times New Roman" w:cs="Times New Roman"/>
        </w:rPr>
        <w:footnoteRef/>
      </w:r>
      <w:r w:rsidRPr="00BB67B1">
        <w:rPr>
          <w:rFonts w:ascii="Times New Roman" w:hAnsi="Times New Roman" w:cs="Times New Roman"/>
        </w:rPr>
        <w:t xml:space="preserve"> </w:t>
      </w:r>
      <w:r w:rsidRPr="00BB67B1">
        <w:rPr>
          <w:rFonts w:ascii="Times New Roman" w:hAnsi="Times New Roman" w:cs="Times New Roman"/>
          <w:i/>
          <w:iCs/>
          <w:lang w:val="en-US"/>
        </w:rPr>
        <w:t>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C03"/>
    <w:rsid w:val="00051E81"/>
    <w:rsid w:val="00086C28"/>
    <w:rsid w:val="0015069D"/>
    <w:rsid w:val="00191079"/>
    <w:rsid w:val="001A72CC"/>
    <w:rsid w:val="001B650E"/>
    <w:rsid w:val="002342AA"/>
    <w:rsid w:val="00281C33"/>
    <w:rsid w:val="002B3A0E"/>
    <w:rsid w:val="00302A92"/>
    <w:rsid w:val="0031248F"/>
    <w:rsid w:val="00396871"/>
    <w:rsid w:val="0048623E"/>
    <w:rsid w:val="004B1DE4"/>
    <w:rsid w:val="004F7595"/>
    <w:rsid w:val="00515F2A"/>
    <w:rsid w:val="00516AF3"/>
    <w:rsid w:val="00564C03"/>
    <w:rsid w:val="005A0319"/>
    <w:rsid w:val="005E3561"/>
    <w:rsid w:val="00611C3D"/>
    <w:rsid w:val="00662604"/>
    <w:rsid w:val="00663452"/>
    <w:rsid w:val="007D44C7"/>
    <w:rsid w:val="00846FBD"/>
    <w:rsid w:val="008D389F"/>
    <w:rsid w:val="008F49A7"/>
    <w:rsid w:val="00914DEF"/>
    <w:rsid w:val="00923F4C"/>
    <w:rsid w:val="00940BBF"/>
    <w:rsid w:val="009A1B2D"/>
    <w:rsid w:val="009B54ED"/>
    <w:rsid w:val="00A40383"/>
    <w:rsid w:val="00A45ED4"/>
    <w:rsid w:val="00A53B82"/>
    <w:rsid w:val="00A82E8A"/>
    <w:rsid w:val="00AB5EAC"/>
    <w:rsid w:val="00B03F34"/>
    <w:rsid w:val="00B2068F"/>
    <w:rsid w:val="00B76986"/>
    <w:rsid w:val="00B77822"/>
    <w:rsid w:val="00BA797D"/>
    <w:rsid w:val="00BB67B1"/>
    <w:rsid w:val="00BC4BC6"/>
    <w:rsid w:val="00C13B54"/>
    <w:rsid w:val="00C34773"/>
    <w:rsid w:val="00C6392C"/>
    <w:rsid w:val="00C815DE"/>
    <w:rsid w:val="00CF5969"/>
    <w:rsid w:val="00D05840"/>
    <w:rsid w:val="00DA5329"/>
    <w:rsid w:val="00DC2983"/>
    <w:rsid w:val="00E16C00"/>
    <w:rsid w:val="00E7623C"/>
    <w:rsid w:val="00ED0AB7"/>
    <w:rsid w:val="00EE76F4"/>
    <w:rsid w:val="00F31E00"/>
    <w:rsid w:val="00F34A3D"/>
    <w:rsid w:val="00FB0D77"/>
    <w:rsid w:val="00FD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60268"/>
  <w15:docId w15:val="{2CFAEA3B-1F98-4ADB-9AA5-0560C778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4F7595"/>
    <w:rPr>
      <w:color w:val="0000FF" w:themeColor="hyperlink"/>
      <w:u w:val="single"/>
    </w:rPr>
  </w:style>
  <w:style w:type="character" w:styleId="UnresolvedMention">
    <w:name w:val="Unresolved Mention"/>
    <w:basedOn w:val="DefaultParagraphFont"/>
    <w:uiPriority w:val="99"/>
    <w:semiHidden/>
    <w:unhideWhenUsed/>
    <w:rsid w:val="004F7595"/>
    <w:rPr>
      <w:color w:val="605E5C"/>
      <w:shd w:val="clear" w:color="auto" w:fill="E1DFDD"/>
    </w:rPr>
  </w:style>
  <w:style w:type="character" w:customStyle="1" w:styleId="eq0j8">
    <w:name w:val="eq0j8"/>
    <w:basedOn w:val="DefaultParagraphFont"/>
    <w:rsid w:val="00EE76F4"/>
  </w:style>
  <w:style w:type="paragraph" w:styleId="NormalWeb">
    <w:name w:val="Normal (Web)"/>
    <w:basedOn w:val="Normal"/>
    <w:uiPriority w:val="99"/>
    <w:semiHidden/>
    <w:unhideWhenUsed/>
    <w:rsid w:val="00923F4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923F4C"/>
    <w:pPr>
      <w:spacing w:line="240" w:lineRule="auto"/>
    </w:pPr>
    <w:rPr>
      <w:sz w:val="20"/>
      <w:szCs w:val="20"/>
    </w:rPr>
  </w:style>
  <w:style w:type="character" w:customStyle="1" w:styleId="FootnoteTextChar">
    <w:name w:val="Footnote Text Char"/>
    <w:basedOn w:val="DefaultParagraphFont"/>
    <w:link w:val="FootnoteText"/>
    <w:uiPriority w:val="99"/>
    <w:semiHidden/>
    <w:rsid w:val="00923F4C"/>
    <w:rPr>
      <w:sz w:val="20"/>
      <w:szCs w:val="20"/>
    </w:rPr>
  </w:style>
  <w:style w:type="character" w:styleId="FootnoteReference">
    <w:name w:val="footnote reference"/>
    <w:basedOn w:val="DefaultParagraphFont"/>
    <w:uiPriority w:val="99"/>
    <w:semiHidden/>
    <w:unhideWhenUsed/>
    <w:rsid w:val="00923F4C"/>
    <w:rPr>
      <w:vertAlign w:val="superscript"/>
    </w:rPr>
  </w:style>
  <w:style w:type="paragraph" w:styleId="List">
    <w:name w:val="List"/>
    <w:basedOn w:val="Normal"/>
    <w:uiPriority w:val="99"/>
    <w:unhideWhenUsed/>
    <w:rsid w:val="005A0319"/>
    <w:pPr>
      <w:ind w:left="360" w:hanging="360"/>
      <w:contextualSpacing/>
    </w:pPr>
  </w:style>
  <w:style w:type="paragraph" w:styleId="List2">
    <w:name w:val="List 2"/>
    <w:basedOn w:val="Normal"/>
    <w:uiPriority w:val="99"/>
    <w:unhideWhenUsed/>
    <w:rsid w:val="005A0319"/>
    <w:pPr>
      <w:ind w:left="720" w:hanging="360"/>
      <w:contextualSpacing/>
    </w:pPr>
  </w:style>
  <w:style w:type="paragraph" w:styleId="BodyText">
    <w:name w:val="Body Text"/>
    <w:basedOn w:val="Normal"/>
    <w:link w:val="BodyTextChar"/>
    <w:uiPriority w:val="99"/>
    <w:unhideWhenUsed/>
    <w:rsid w:val="005A0319"/>
    <w:pPr>
      <w:spacing w:after="120"/>
    </w:pPr>
  </w:style>
  <w:style w:type="character" w:customStyle="1" w:styleId="BodyTextChar">
    <w:name w:val="Body Text Char"/>
    <w:basedOn w:val="DefaultParagraphFont"/>
    <w:link w:val="BodyText"/>
    <w:uiPriority w:val="99"/>
    <w:rsid w:val="005A0319"/>
  </w:style>
  <w:style w:type="paragraph" w:customStyle="1" w:styleId="Byline">
    <w:name w:val="Byline"/>
    <w:basedOn w:val="BodyText"/>
    <w:rsid w:val="005A0319"/>
  </w:style>
  <w:style w:type="paragraph" w:styleId="BodyTextFirstIndent">
    <w:name w:val="Body Text First Indent"/>
    <w:basedOn w:val="BodyText"/>
    <w:link w:val="BodyTextFirstIndentChar"/>
    <w:uiPriority w:val="99"/>
    <w:unhideWhenUsed/>
    <w:rsid w:val="005A0319"/>
    <w:pPr>
      <w:spacing w:after="0"/>
      <w:ind w:firstLine="360"/>
    </w:pPr>
  </w:style>
  <w:style w:type="character" w:customStyle="1" w:styleId="BodyTextFirstIndentChar">
    <w:name w:val="Body Text First Indent Char"/>
    <w:basedOn w:val="BodyTextChar"/>
    <w:link w:val="BodyTextFirstIndent"/>
    <w:uiPriority w:val="99"/>
    <w:rsid w:val="005A0319"/>
  </w:style>
  <w:style w:type="paragraph" w:styleId="BodyTextIndent">
    <w:name w:val="Body Text Indent"/>
    <w:basedOn w:val="Normal"/>
    <w:link w:val="BodyTextIndentChar"/>
    <w:uiPriority w:val="99"/>
    <w:semiHidden/>
    <w:unhideWhenUsed/>
    <w:rsid w:val="005A0319"/>
    <w:pPr>
      <w:spacing w:after="120"/>
      <w:ind w:left="360"/>
    </w:pPr>
  </w:style>
  <w:style w:type="character" w:customStyle="1" w:styleId="BodyTextIndentChar">
    <w:name w:val="Body Text Indent Char"/>
    <w:basedOn w:val="DefaultParagraphFont"/>
    <w:link w:val="BodyTextIndent"/>
    <w:uiPriority w:val="99"/>
    <w:semiHidden/>
    <w:rsid w:val="005A0319"/>
  </w:style>
  <w:style w:type="paragraph" w:styleId="BodyTextFirstIndent2">
    <w:name w:val="Body Text First Indent 2"/>
    <w:basedOn w:val="BodyTextIndent"/>
    <w:link w:val="BodyTextFirstIndent2Char"/>
    <w:uiPriority w:val="99"/>
    <w:unhideWhenUsed/>
    <w:rsid w:val="005A0319"/>
    <w:pPr>
      <w:spacing w:after="0"/>
      <w:ind w:firstLine="360"/>
    </w:pPr>
  </w:style>
  <w:style w:type="character" w:customStyle="1" w:styleId="BodyTextFirstIndent2Char">
    <w:name w:val="Body Text First Indent 2 Char"/>
    <w:basedOn w:val="BodyTextIndentChar"/>
    <w:link w:val="BodyTextFirstIndent2"/>
    <w:uiPriority w:val="99"/>
    <w:rsid w:val="005A0319"/>
  </w:style>
  <w:style w:type="paragraph" w:styleId="Header">
    <w:name w:val="header"/>
    <w:basedOn w:val="Normal"/>
    <w:link w:val="HeaderChar"/>
    <w:uiPriority w:val="99"/>
    <w:unhideWhenUsed/>
    <w:rsid w:val="002B3A0E"/>
    <w:pPr>
      <w:tabs>
        <w:tab w:val="center" w:pos="4680"/>
        <w:tab w:val="right" w:pos="9360"/>
      </w:tabs>
      <w:spacing w:line="240" w:lineRule="auto"/>
    </w:pPr>
  </w:style>
  <w:style w:type="character" w:customStyle="1" w:styleId="HeaderChar">
    <w:name w:val="Header Char"/>
    <w:basedOn w:val="DefaultParagraphFont"/>
    <w:link w:val="Header"/>
    <w:uiPriority w:val="99"/>
    <w:rsid w:val="002B3A0E"/>
  </w:style>
  <w:style w:type="paragraph" w:styleId="Footer">
    <w:name w:val="footer"/>
    <w:basedOn w:val="Normal"/>
    <w:link w:val="FooterChar"/>
    <w:uiPriority w:val="99"/>
    <w:unhideWhenUsed/>
    <w:rsid w:val="002B3A0E"/>
    <w:pPr>
      <w:tabs>
        <w:tab w:val="center" w:pos="4680"/>
        <w:tab w:val="right" w:pos="9360"/>
      </w:tabs>
      <w:spacing w:line="240" w:lineRule="auto"/>
    </w:pPr>
  </w:style>
  <w:style w:type="character" w:customStyle="1" w:styleId="FooterChar">
    <w:name w:val="Footer Char"/>
    <w:basedOn w:val="DefaultParagraphFont"/>
    <w:link w:val="Footer"/>
    <w:uiPriority w:val="99"/>
    <w:rsid w:val="002B3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33256">
      <w:bodyDiv w:val="1"/>
      <w:marLeft w:val="0"/>
      <w:marRight w:val="0"/>
      <w:marTop w:val="0"/>
      <w:marBottom w:val="0"/>
      <w:divBdr>
        <w:top w:val="none" w:sz="0" w:space="0" w:color="auto"/>
        <w:left w:val="none" w:sz="0" w:space="0" w:color="auto"/>
        <w:bottom w:val="none" w:sz="0" w:space="0" w:color="auto"/>
        <w:right w:val="none" w:sz="0" w:space="0" w:color="auto"/>
      </w:divBdr>
    </w:div>
    <w:div w:id="998384632">
      <w:bodyDiv w:val="1"/>
      <w:marLeft w:val="0"/>
      <w:marRight w:val="0"/>
      <w:marTop w:val="0"/>
      <w:marBottom w:val="0"/>
      <w:divBdr>
        <w:top w:val="none" w:sz="0" w:space="0" w:color="auto"/>
        <w:left w:val="none" w:sz="0" w:space="0" w:color="auto"/>
        <w:bottom w:val="none" w:sz="0" w:space="0" w:color="auto"/>
        <w:right w:val="none" w:sz="0" w:space="0" w:color="auto"/>
      </w:divBdr>
    </w:div>
    <w:div w:id="1014304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0CAE9-741B-4760-B622-6FECDAC75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13</Pages>
  <Words>2952</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Lachac</dc:creator>
  <cp:keywords/>
  <dc:description/>
  <cp:lastModifiedBy>Natasha Lachac</cp:lastModifiedBy>
  <cp:revision>41</cp:revision>
  <dcterms:created xsi:type="dcterms:W3CDTF">2021-04-19T19:20:00Z</dcterms:created>
  <dcterms:modified xsi:type="dcterms:W3CDTF">2021-04-30T02:53:00Z</dcterms:modified>
</cp:coreProperties>
</file>