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bepfejij65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Функциональный модуль “налоговый вычет” в рамках микросервиса “Инвестиции” банка “Монетка”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fhc6husyj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Назначение документа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Данный документ описывает бизнес требования для реализации функции подачи налогового вычета через микросервис “Инвестиции” банка “Монеточка” за покупку инвестиционных активов( облигации, акции).</w:t>
        <w:br w:type="textWrapping"/>
        <w:tab/>
        <w:t xml:space="preserve">Система позволит клиентам автоматически подавать заявки на налоговый вычет без необходимости самостоятельного заполнения декларации и взаимодействия с ФНС. Данная функция доступна только владельцам индивидуального инвестиционного счета (ИИС)  в банке “Монеточка”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dghduu3j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Текущая ситуация (As-Is)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</w:t>
      </w:r>
      <w:r w:rsidDel="00000000" w:rsidR="00000000" w:rsidRPr="00000000">
        <w:rPr>
          <w:b w:val="1"/>
          <w:rtl w:val="0"/>
        </w:rPr>
        <w:t xml:space="preserve">Как сейчас подают налоговый вычет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Клиент собирает документы (чеки, договоры, справки 2-НДФЛ).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Заполняет декларацию 3-НДФЛ вручную.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Подает документы через личный кабинет ФНС или лично в налоговую инспекцию.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Ожидает до 3 месяцев обработки.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есть ошибки – получает отказ и повторно подает заявку.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Основные проблемы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Сложность: многие клиенты не разбираются в налоговом законодательстве и это вызывает трудности при оформлении документов.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Длительность:  процесс занимает от нескольких дней до 3 месяцев.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Ошибки: высокие риски отказа из-за неверного заполнения документов, после длительного ожидания.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qf4s2nmms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Формулировка ценности и потребностей проекта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7sxd4ggstk" w:id="4"/>
      <w:bookmarkEnd w:id="4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36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b19c84e2at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Цель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Разработать и внедрить функцию для подачи заявок на налоговый вычет в рамках микросервиса управления инвестициями для клиентов банка, автоматизирующий передачу данных в ФНС без необходимости самостоятельно заполнять декларации и посещения физического офиса ФНС клиентом банка. Проект должен быть завершен за 5 месяцев, включая пилотное тестирование, и обеспечивать успешную подачу 95% заявок без ошибок, сокращая время процесса подачи заявки для клиента до 10 минут.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6wkny4rre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Границы проекта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</w:t>
      </w:r>
      <w:r w:rsidDel="00000000" w:rsidR="00000000" w:rsidRPr="00000000">
        <w:rPr>
          <w:b w:val="1"/>
          <w:rtl w:val="0"/>
        </w:rPr>
        <w:t xml:space="preserve">Что входит в проект?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микросервиса, который: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Авторизация клиента в среде микросервиса.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Выбор и проверяет документов на корректность и возможность налогового вычета.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Формирует декларацию 3-НДФЛ.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Подписание документов КЭП через систему проверки КЭП банка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Кодирует данные в XML + Base64.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Отправляет заявку в ФНС через API.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Получает статус обработки и отправляет клиенту.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Интеграция с банковскими сервисами: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Проверка данных о платежах (если банк их может видеть).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Хранение информации о поданных заявках.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Выгрузка чеков из других микросервисов среды.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Электронная подпись документов (КЭП):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Клиент должен подписать заявку перед отправкой.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Информирование клиента: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Статусы заявки в мобильном банке.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Уведомления о возврате денег.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связи клиента и технической поддержки.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Что НЕ входит в проект?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Рассмотрение заявки ФНС (процесс на стороне налоговой).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Обжалование отказов (если ФНС отказала, клиент подает вручную).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всех типов вычетов (начинаем с НДФЛ, возможно, добавим другие позже).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Автоматический расчет суммы вычета.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налоговых данных за все годы (банк хранит только поданные через него заявки).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r69qwzcdq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Заинтересованные стороны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640"/>
        <w:gridCol w:w="4260"/>
        <w:tblGridChange w:id="0">
          <w:tblGrid>
            <w:gridCol w:w="2100"/>
            <w:gridCol w:w="264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Категория заинтересованных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Интерес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(конечный пользователь)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Физические лица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Упрощенная подача документов на налоговый вычет через банк.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 (инициатор проекта)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Бизнес-заказчик (финансовый отдел)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Автоматизация процесса подачи документов в ФНС, привлечение новых клиентов и увеличение лояльности имеющихся.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Успешный запуск проекта, минимизация отказов и проблем при подачи заявок.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Системный 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Четкое понимание требований, согласованность интеграций, проработанная логика микросервиса.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Разработчики и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Готовая архитектура микросервиса, работающие API, корректная работа бизнес логики, интеграции с инфраструктурой банка и ФНС.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Юридический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Соответствие законодательству РФ и нормативным актам. Минимизация рисков регуляторных штрафов.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Служба поддержки банка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Доступ к информации о статусе заявки, наличие инструкций для пользователей.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Служба безопасности банка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клиентов перед отправкой их данных в ФНС.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PR-отдел банка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Реклама нового сервиса, привлечение пользователей.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КЭП банка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Интеграция цифровой подписи в процесс подачи заявки.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ФНС(госорган, принимающий заявки)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API-система ФНС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получение данных, работающий цифровой документооборот.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 ФНС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Автоматизированная обработка заявок без перегрузки системы.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Подразделение возврата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возврат налогового вычета физическим лицам.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Регулирующие органы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Центробанк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 за деятельностью банка, соответствие всем требованиям и нормативным актам.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Росфинмониторинг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Мониторинг финансовых операций на предмет мошенничества и налогового уклонения.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Конкуренты и рынок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Другие банки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реализовать аналогичную услугу, конкуренция.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Финтех-компании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сервисы, которые могут перетягивать клиентов и внедрять аналогичные услуги.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Общественные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Объединения предпринимателей и юристов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Партнерство для продвижения услуги среди самозанятых и ИП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/>
      </w:pPr>
      <w:bookmarkStart w:colFirst="0" w:colLast="0" w:name="_2a3du1poa55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Критерии успеха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7.1. Успешная техническая реализация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Функция микросервиса корректно интегрирована с системами банка и API ФНС.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Обеспечена бесшовная передача данных между банком и ФНС.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надежно обрабатывает все сценарии: подача заявки, проверка документов, исправление ошибок, отправка в ФНС, получение ответа.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ошибок при кодирование данных не более 5%.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Реализована защита персональных данных пользователей в соответствии с требованиями 152-ФЗ и PCI DSS.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7.2. Соответствие законодательству и требованиям регуляторов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Сервис полностью соответствует законодательным требованиям (Налоговый кодекс РФ, регламенты ФНС, требования Центробанка и Росфинмониторинга).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Реализована юридически значимая подача документов с электронной подписью (КЭП).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Соблюдены все нормы обработки персональных данных и финансовой информации.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7.3. Удобство и простота для клиентов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Время подачи заявки в среднем занимает около 4 минут.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Снижено количество отказов на 50%.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может подать заявление на налоговый вычет без посещения ФНС и без сложных действий.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Доступен удобный интерфейс подачи заявки через мобильное приложение и веб-кабинет банка.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Встроены автоматические проверки на корректность подаваемых документов документов в частности за уже поданные периоды).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Реализована возможность отслеживания статуса заявки и получения уведомлений.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7.4. Бизнес-выгоды для банка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Клиенты, использовавшие услугу банка, повторно пользуются ей в 70% случаев.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Рост числа пользователей, которые открывают счета или карты в банке ради удобной подачи вычета.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количества удержанных клиентов за счет дополнительных сервисов на 5%.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Рост количества заявок на оформление налогового вычета увеличивается каждый месяц в течение 6 месяцев на 10%.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Повышение доверия к банку за счет удобных финансовых инструментов.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7.5. Операционная эффективность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Оптимизированные процессы работы с документами (все подается в цифровом виде, минимизируются ручные ошибки).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скорость обработки заявок (благодаря автоматизированной проверке и передаче данных в ФНС).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7.6. Надежность и масштабируемость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Гибкая архитектура функции в рамках микросервиса, позволяющая подстраиваться под изменения со стороны законодательства и ФНС.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отказоустойчивость сервиса: обработка заявок не должна прерываться из-за сбоев.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7.7. Положительная обратная связь и вовлеченность пользователей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Клиенты активно используют сервис, высокие показатели по поданным заявкам.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Низкий уровень жалоб и проблем (обратная связь в мобильном приложении, банке).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Позитивные отзывы в СМИ, соцсетях и клиентских опросах.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/>
      </w:pPr>
      <w:bookmarkStart w:colFirst="0" w:colLast="0" w:name="_s8lv7gkgon3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Риски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575"/>
        <w:gridCol w:w="1380"/>
        <w:gridCol w:w="3435"/>
        <w:tblGridChange w:id="0">
          <w:tblGrid>
            <w:gridCol w:w="2550"/>
            <w:gridCol w:w="1575"/>
            <w:gridCol w:w="138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Вероятность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Способ минимизации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ФНС откажется в автоматизации приема 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Провести консультации с представителями ФНС, составить договор, тестировать интеграцию заранее. Поддержание партнерских отношений с ФНС и обсуждение инициативных проектов.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Ошибки в алгоритмах проверки и подбора документов.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Разработать пакет тестовых сценариев, провести пилотное тестирование.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 уровень вовлечения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Создать интуитивно понятный интерфейс, обучение и техподдержка для пользователей. Разъяснительная кампания и автоматические уведомления.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Проблемы с электронной подписью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Обеспечить поддержку при создание КЭП через инфраструктуру банка.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ФНС может быть нестабильным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Разработать систему повторных попыток отправки, логирование ошибок, уведомления пользователей о возможных задержках.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Изменение требований законодательства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Регулярный мониторинг законодательства, участие в рабочих группах с ФНС, гибкость архитектуры для оперативного внесения изменений.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 нагрузка на систему в пиковые периоды (конец года, налоговые периоды)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Масштабируемая архитектура, возможность временного распределения нагрузки, балансировка трафика.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Проблемы с безопасностью и утечкой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Использование шифрования, аутентификация пользователей через 2FA, аудит безопасности, соответствие требованиям 152-ФЗ.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Отказ клиентов от электронной подписи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Разъяснение необходимости ЭП в процессе подачи заявки, возможные упрощения способов авторизации, поддержка техподдержки банка.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Ошибки в разработке микросервиса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всех сценариев, покрытие автотестами, мониторинг ошибок в проде.</w:t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/>
      </w:pPr>
      <w:bookmarkStart w:colFirst="0" w:colLast="0" w:name="_lc3be068dt3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Предположения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рамках проекта на старте были сделаны предположения относительно микросервиса, среды банка и внешних обстоятельств.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Законодательство РФ позволяет банкам подавать налоговые вычеты от имени клиентов через API ФНС. Если это запрещено, проект теряет смысл, и потребуется искать альтернативные юридические механизмы.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Требования ФНС к формату подачи заявок через API не изменятся в ближайшие 1-2 года. Если ФНС изменит требования, потребуется доработка системы, возможны задержки в работе микросервиса.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квалифицированной электронной подписи (КЭП) будет достаточным для подтверждения заявки клиента. Если ФНС потребует дополнительную верификацию (например, через Госуслуги), потребуется изменение процесса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Банк может хранить налоговые данные клиентов в своей системе в соответствии с законодательством о персональных данных. Если это запрещено, потребуется разработка механизма временного хранения данных или передачи их напрямую в ФНС.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Банк имеет право запрашивать у клиентов подтверждающие документы и передавать их в ФНС.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Инфраструктура банка позволяет интегрировать новую функцию микросервиса без значительных доработок.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Данные о платежах клиентов корректно хранятся в банке и могут быть использованы для подтверждения вычета. Если данные фрагментированы или недоступны, потребуется дополнительная обработка и возможны ошибки.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Клиенты будут использовать мобильное приложение или веб-кабинет для подачи заявок. Если большинство клиентов предпочтут офлайн-формат, эффективность сервиса снизится.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Клиенты готовы предоставить банку доступ к данным, необходимым для подачи налогового вычета.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/>
      </w:pPr>
      <w:bookmarkStart w:colFirst="0" w:colLast="0" w:name="_40rt4mhmbvr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ФНС работает стабильно, без него передача заявок невозможна.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Банк должен получать данные о платежах, через микросервис “ИНвестиции” с лицевого счета клиентов.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Электронные подписи (КЭП). Без подписанных документов ФНС не примет заявку.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Каналы связи банка (push-уведомления, SMS, email) доступны в основном приложение банка и по контактным данным клиента, чтобы клиент мог получить уведомление.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/>
      </w:pPr>
      <w:bookmarkStart w:colFirst="0" w:colLast="0" w:name="_xr4kcwefcfd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Основные функции микросервиса (MoSCoW)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Must Do (обязательно):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клиента через банковскую систему. 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необходимых данных клиента для формирования налоговой декларации их среды банка. 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корректности данных и документов по созданным алгоритмам. 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декларации 3-НДФЛ в формате XML. 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Кодирование данных с помощью Base64.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Подписание данных КЭП в отдельном файле.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декларации и документов в ФНС подписанных КЭП. 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статуса обработки заявки. 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Уведомление клиента о статусе через отдельную вкладку в мобильном и веб-приложение банка и с помощью SMS.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Логирование действий микросервиса.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Кэширование данных для ускорения работы сервиса. 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 Do (желательно):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 статусов обработки заявки в личном кабинете клиента. 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 банковским архивом документов. 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Аналитика заявок (успешные/неуспешные, причины отказов).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Could Do (можно добавить):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разных типов налоговых вычетов (медицинские, образовательные, имущественные). 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дополнительных каналов уведомления (мессенджеры, чат-боты). 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обновление информации по клиенту при изменении банковских данных.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Won’t Do (не будем делать):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налоговых вычетов для юридических лиц. 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системы автоматического отправки налогового вычета для инвестиционных клиентов других банков.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бумажного документооборота.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/>
      </w:pPr>
      <w:bookmarkStart w:colFirst="0" w:colLast="0" w:name="_jtvhbppgc9u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Оценка сроков и этапов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2175"/>
        <w:gridCol w:w="1980"/>
        <w:gridCol w:w="1245"/>
        <w:tblGridChange w:id="0">
          <w:tblGrid>
            <w:gridCol w:w="1560"/>
            <w:gridCol w:w="2040"/>
            <w:gridCol w:w="2175"/>
            <w:gridCol w:w="198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 и 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Документы/ артефакты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1.Инициатива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cp340ekjuupy" w:id="14"/>
            <w:bookmarkEnd w:id="1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Инвестиционный отдел, Отдел налогового контроля, Юридический отдел, Архитекторы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fq47xchcgs27" w:id="15"/>
            <w:bookmarkEnd w:id="15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Определяют требования к функционалу, правовую базу, риски.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tcfxbzautb9n" w:id="16"/>
            <w:bookmarkEnd w:id="1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Техническое задание (ТЗ), Бизнес-требования (BRD), Описание API ФНС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2.Проектиро-</w:t>
            </w:r>
          </w:p>
          <w:p w:rsidR="00000000" w:rsidDel="00000000" w:rsidP="00000000" w:rsidRDefault="00000000" w:rsidRPr="00000000" w14:paraId="000000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qbu3e48guk5c" w:id="17"/>
            <w:bookmarkEnd w:id="17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Системные аналитики, Архитекторы, DevOps, Отдел безопасности, дизайнеры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v4erc5bl3kjp" w:id="18"/>
            <w:bookmarkEnd w:id="18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Разработка архитектуры микросервиса, схем интеграции, требований к безопасности, дизайн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3elja9u6q9uy" w:id="19"/>
            <w:bookmarkEnd w:id="19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Архитектурный документ, ER-диаграмма БД, Схема интеграции, UI-дизайн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3.Разработка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2rdll8cde9es" w:id="20"/>
            <w:bookmarkEnd w:id="2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Backend-разработчики, Frontend-разработчики, API-инженеры,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g60gonbneenn" w:id="21"/>
            <w:bookmarkEnd w:id="21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Реализация логики налогового вычета, интеграция с ФНС.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k1bdkiundorz" w:id="22"/>
            <w:bookmarkEnd w:id="22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Исходный код, документация API, Логика обработки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недель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s2jra3g3uv2d" w:id="23"/>
            <w:bookmarkEnd w:id="23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QA-инженеры, Отдел безопасности, Налоговый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txilbd549939" w:id="24"/>
            <w:bookmarkEnd w:id="2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Тестирование функционала, интеграции с ФНС, проверка безопасности.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yn78gq8fr1gq" w:id="25"/>
            <w:bookmarkEnd w:id="25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Тест-кейсы, отчеты по безопасности, лог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5.Развертыва-</w:t>
            </w:r>
          </w:p>
          <w:p w:rsidR="00000000" w:rsidDel="00000000" w:rsidP="00000000" w:rsidRDefault="00000000" w:rsidRPr="00000000" w14:paraId="000000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1vp9gpu4m0q2" w:id="26"/>
            <w:bookmarkEnd w:id="2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DevOps, Системные администраторы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lcpm5yyq9yr8" w:id="27"/>
            <w:bookmarkEnd w:id="27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Развертывание в тестовом окружении, затем в продакшн.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wj04lue4l7eo" w:id="28"/>
            <w:bookmarkEnd w:id="28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Документ по CI/CD, планы резервного копирования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Аккредитация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ha9cy4jh0rg" w:id="29"/>
            <w:bookmarkEnd w:id="29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Юридический отдел, Налоговый контроль, Центробанк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i7x11w240ou8" w:id="30"/>
            <w:bookmarkEnd w:id="3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Подтверждение соответствия требованиям ФНС и законодательства РФ.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sz w:val="18"/>
                <w:szCs w:val="18"/>
              </w:rPr>
            </w:pPr>
            <w:bookmarkStart w:colFirst="0" w:colLast="0" w:name="_bqwor953zm5g" w:id="31"/>
            <w:bookmarkEnd w:id="31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Акт соответствия, отчеты по аудиту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7.Запуск и сопровождение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color w:val="000000"/>
                <w:sz w:val="18"/>
                <w:szCs w:val="18"/>
              </w:rPr>
            </w:pPr>
            <w:bookmarkStart w:colFirst="0" w:colLast="0" w:name="_slfkkcvomjka" w:id="32"/>
            <w:bookmarkEnd w:id="32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Поддержка банка, Служба безопасности, Налоговый контроль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color w:val="000000"/>
                <w:sz w:val="18"/>
                <w:szCs w:val="18"/>
              </w:rPr>
            </w:pPr>
            <w:bookmarkStart w:colFirst="0" w:colLast="0" w:name="_35g215yy9tt2" w:id="33"/>
            <w:bookmarkEnd w:id="33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Мониторинг работы сервиса, контроль за корректностью заявок.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3"/>
              <w:keepNext w:val="1"/>
              <w:keepLines w:val="1"/>
              <w:widowControl w:val="1"/>
              <w:spacing w:after="0" w:before="0" w:line="240" w:lineRule="auto"/>
              <w:rPr>
                <w:color w:val="000000"/>
                <w:sz w:val="18"/>
                <w:szCs w:val="18"/>
              </w:rPr>
            </w:pPr>
            <w:bookmarkStart w:colFirst="0" w:colLast="0" w:name="_2ae775u75246" w:id="34"/>
            <w:bookmarkEnd w:id="3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Логи, отчеты по заявкам, аналитика работы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Постоянно</w:t>
            </w:r>
          </w:p>
        </w:tc>
      </w:tr>
    </w:tbl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