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12"/>
              <w:bottom w:val="single" w:color="1B3A6B" w:sz="12"/>
              <w:right w:val="single" w:color="1B3A6B" w:sz="12"/>
            </w:tcBorders>
            <w:shd w:fill="1B3A6B" w:val="clear"/>
            <w:tcMar>
              <w:top w:type="dxa" w:w="100"/>
              <w:left w:type="dxa" w:w="140"/>
              <w:bottom w:type="dxa" w:w="100"/>
              <w:right w:type="dxa" w:w="140"/>
            </w:tcMar>
            <w:vAlign w:val="top"/>
          </w:tcPr>
          <w:p>
            <w:pPr>
              <w:spacing w:after="40" w:before="200"/>
              <w:jc w:val="center"/>
            </w:pPr>
            <w:r>
              <w:rPr>
                <w:rFonts w:ascii="Arial" w:cs="Arial" w:eastAsia="Arial" w:hAnsi="Arial"/>
                <w:b/>
                <w:bCs/>
                <w:color w:val="FFFFFF"/>
                <w:sz w:val="48"/>
                <w:szCs w:val="48"/>
              </w:rPr>
              <w:t xml:space="preserve">NIST CYBERSECURITY FRAMEWORK</w:t>
            </w:r>
          </w:p>
          <w:p>
            <w:pPr>
              <w:spacing w:after="200" w:before="0"/>
              <w:jc w:val="center"/>
            </w:pPr>
            <w:r>
              <w:rPr>
                <w:rFonts w:ascii="Arial" w:cs="Arial" w:eastAsia="Arial" w:hAnsi="Arial"/>
                <w:color w:val="D6E4F0"/>
                <w:sz w:val="32"/>
                <w:szCs w:val="32"/>
              </w:rPr>
              <w:t xml:space="preserve">Capstone Project — Enhanced Edition</w:t>
            </w:r>
          </w:p>
        </w:tc>
      </w:tr>
    </w:tbl>
    <w:p>
      <w:pPr>
        <w:spacing w:after="0" w:before="160"/>
        <w:jc w:val="left"/>
      </w:pPr>
      <w:r>
        <w:rPr>
          <w:rFonts w:ascii="Arial" w:cs="Arial" w:eastAsia="Arial" w:hAnsi="Arial"/>
          <w:sz w:val="20"/>
          <w:szCs w:val="20"/>
        </w:rPr>
        <w:t xml:space="preserve"/>
      </w:r>
    </w:p>
    <w:p>
      <w:pPr>
        <w:spacing w:after="120" w:before="0"/>
        <w:jc w:val="center"/>
      </w:pPr>
      <w:r>
        <w:rPr>
          <w:rFonts w:ascii="Arial" w:cs="Arial" w:eastAsia="Arial" w:hAnsi="Arial"/>
          <w:color w:val="566573"/>
          <w:sz w:val="24"/>
          <w:szCs w:val="24"/>
        </w:rPr>
        <w:t xml:space="preserve">Real-World Case Studies Across All Five CSF Functions</w:t>
      </w:r>
    </w:p>
    <w:p>
      <w:pPr>
        <w:spacing w:after="200" w:before="0"/>
        <w:jc w:val="center"/>
      </w:pPr>
      <w:r>
        <w:rPr>
          <w:rFonts w:ascii="Arial" w:cs="Arial" w:eastAsia="Arial" w:hAnsi="Arial"/>
          <w:color w:val="566573"/>
          <w:sz w:val="20"/>
          <w:szCs w:val="20"/>
        </w:rPr>
        <w:t xml:space="preserve">Nine Incidents  ·  Five Functions  ·  MITRE ATT&amp;CK  ·  CIS Controls v8  ·  CSF 2.0 Govern  ·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20" w:before="80"/>
              <w:jc w:val="center"/>
            </w:pPr>
            <w:r>
              <w:rPr>
                <w:rFonts w:ascii="Arial" w:cs="Arial" w:eastAsia="Arial" w:hAnsi="Arial"/>
                <w:b/>
                <w:bCs/>
                <w:color w:val="2E75B6"/>
                <w:sz w:val="40"/>
                <w:szCs w:val="40"/>
              </w:rPr>
              <w:t xml:space="preserve">9</w:t>
            </w:r>
          </w:p>
          <w:p>
            <w:pPr>
              <w:spacing w:after="80" w:before="0"/>
              <w:jc w:val="center"/>
            </w:pPr>
            <w:r>
              <w:rPr>
                <w:rFonts w:ascii="Arial" w:cs="Arial" w:eastAsia="Arial" w:hAnsi="Arial"/>
                <w:color w:val="566573"/>
                <w:sz w:val="18"/>
                <w:szCs w:val="18"/>
              </w:rPr>
              <w:t xml:space="preserve">Case Studies</w:t>
            </w:r>
          </w:p>
        </w:tc>
        <w:tc>
          <w:tcPr>
            <w:tcW w:type="dxa" w:w="312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20" w:before="80"/>
              <w:jc w:val="center"/>
            </w:pPr>
            <w:r>
              <w:rPr>
                <w:rFonts w:ascii="Arial" w:cs="Arial" w:eastAsia="Arial" w:hAnsi="Arial"/>
                <w:b/>
                <w:bCs/>
                <w:color w:val="2E75B6"/>
                <w:sz w:val="40"/>
                <w:szCs w:val="40"/>
              </w:rPr>
              <w:t xml:space="preserve">5</w:t>
            </w:r>
          </w:p>
          <w:p>
            <w:pPr>
              <w:spacing w:after="80" w:before="0"/>
              <w:jc w:val="center"/>
            </w:pPr>
            <w:r>
              <w:rPr>
                <w:rFonts w:ascii="Arial" w:cs="Arial" w:eastAsia="Arial" w:hAnsi="Arial"/>
                <w:color w:val="566573"/>
                <w:sz w:val="18"/>
                <w:szCs w:val="18"/>
              </w:rPr>
              <w:t xml:space="preserve">CSF Functions</w:t>
            </w:r>
          </w:p>
        </w:tc>
        <w:tc>
          <w:tcPr>
            <w:tcW w:type="dxa" w:w="312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20" w:before="80"/>
              <w:jc w:val="center"/>
            </w:pPr>
            <w:r>
              <w:rPr>
                <w:rFonts w:ascii="Arial" w:cs="Arial" w:eastAsia="Arial" w:hAnsi="Arial"/>
                <w:b/>
                <w:bCs/>
                <w:color w:val="2E75B6"/>
                <w:sz w:val="40"/>
                <w:szCs w:val="40"/>
              </w:rPr>
              <w:t xml:space="preserve">$2B+</w:t>
            </w:r>
          </w:p>
          <w:p>
            <w:pPr>
              <w:spacing w:after="80" w:before="0"/>
              <w:jc w:val="center"/>
            </w:pPr>
            <w:r>
              <w:rPr>
                <w:rFonts w:ascii="Arial" w:cs="Arial" w:eastAsia="Arial" w:hAnsi="Arial"/>
                <w:color w:val="566573"/>
                <w:sz w:val="18"/>
                <w:szCs w:val="18"/>
              </w:rPr>
              <w:t xml:space="preserve">Total Fines</w:t>
            </w:r>
          </w:p>
        </w:tc>
      </w:tr>
      <w:tr>
        <w:tc>
          <w:tcPr>
            <w:tcW w:type="dxa" w:w="312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20" w:before="80"/>
              <w:jc w:val="center"/>
            </w:pPr>
            <w:r>
              <w:rPr>
                <w:rFonts w:ascii="Arial" w:cs="Arial" w:eastAsia="Arial" w:hAnsi="Arial"/>
                <w:b/>
                <w:bCs/>
                <w:color w:val="2E75B6"/>
                <w:sz w:val="40"/>
                <w:szCs w:val="40"/>
              </w:rPr>
              <w:t xml:space="preserve">~1B</w:t>
            </w:r>
          </w:p>
          <w:p>
            <w:pPr>
              <w:spacing w:after="80" w:before="0"/>
              <w:jc w:val="center"/>
            </w:pPr>
            <w:r>
              <w:rPr>
                <w:rFonts w:ascii="Arial" w:cs="Arial" w:eastAsia="Arial" w:hAnsi="Arial"/>
                <w:color w:val="566573"/>
                <w:sz w:val="18"/>
                <w:szCs w:val="18"/>
              </w:rPr>
              <w:t xml:space="preserve">Records Exposed</w:t>
            </w:r>
          </w:p>
        </w:tc>
        <w:tc>
          <w:tcPr>
            <w:tcW w:type="dxa" w:w="312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20" w:before="80"/>
              <w:jc w:val="center"/>
            </w:pPr>
            <w:r>
              <w:rPr>
                <w:rFonts w:ascii="Arial" w:cs="Arial" w:eastAsia="Arial" w:hAnsi="Arial"/>
                <w:b/>
                <w:bCs/>
                <w:color w:val="2E75B6"/>
                <w:sz w:val="40"/>
                <w:szCs w:val="40"/>
              </w:rPr>
              <w:t xml:space="preserve">4 yrs</w:t>
            </w:r>
          </w:p>
          <w:p>
            <w:pPr>
              <w:spacing w:after="80" w:before="0"/>
              <w:jc w:val="center"/>
            </w:pPr>
            <w:r>
              <w:rPr>
                <w:rFonts w:ascii="Arial" w:cs="Arial" w:eastAsia="Arial" w:hAnsi="Arial"/>
                <w:color w:val="566573"/>
                <w:sz w:val="18"/>
                <w:szCs w:val="18"/>
              </w:rPr>
              <w:t xml:space="preserve">Longest Dwell</w:t>
            </w:r>
          </w:p>
        </w:tc>
        <w:tc>
          <w:tcPr>
            <w:tcW w:type="dxa" w:w="312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20" w:before="80"/>
              <w:jc w:val="center"/>
            </w:pPr>
            <w:r>
              <w:rPr>
                <w:rFonts w:ascii="Arial" w:cs="Arial" w:eastAsia="Arial" w:hAnsi="Arial"/>
                <w:b/>
                <w:bCs/>
                <w:color w:val="2E75B6"/>
                <w:sz w:val="40"/>
                <w:szCs w:val="40"/>
              </w:rPr>
              <w:t xml:space="preserve">78 days</w:t>
            </w:r>
          </w:p>
          <w:p>
            <w:pPr>
              <w:spacing w:after="80" w:before="0"/>
              <w:jc w:val="center"/>
            </w:pPr>
            <w:r>
              <w:rPr>
                <w:rFonts w:ascii="Arial" w:cs="Arial" w:eastAsia="Arial" w:hAnsi="Arial"/>
                <w:color w:val="566573"/>
                <w:sz w:val="18"/>
                <w:szCs w:val="18"/>
              </w:rPr>
              <w:t xml:space="preserve">Equifax Patch Gap</w:t>
            </w:r>
          </w:p>
        </w:tc>
      </w:tr>
    </w:tbl>
    <w:p>
      <w:pPr>
        <w:spacing w:after="80" w:before="80"/>
        <w:jc w:val="left"/>
      </w:pPr>
      <w:r>
        <w:br w:type="page"/>
      </w:r>
    </w:p>
    <w:p>
      <w:pPr>
        <w:pStyle w:val="Heading1"/>
        <w:pBdr>
          <w:bottom w:val="single" w:color="2E75B6" w:sz="8" w:space="4"/>
        </w:pBdr>
        <w:spacing w:after="160" w:before="360"/>
      </w:pPr>
      <w:r>
        <w:rPr>
          <w:rFonts w:ascii="Arial" w:cs="Arial" w:eastAsia="Arial" w:hAnsi="Arial"/>
          <w:b/>
          <w:bCs/>
          <w:color w:val="1B3A6B"/>
          <w:sz w:val="36"/>
          <w:szCs w:val="36"/>
        </w:rPr>
        <w:t xml:space="preserve">Executive Summary</w:t>
      </w:r>
    </w:p>
    <w:p>
      <w:pPr>
        <w:spacing w:after="80" w:before="80"/>
        <w:jc w:val="left"/>
      </w:pPr>
      <w:r>
        <w:rPr>
          <w:rFonts w:ascii="Arial" w:cs="Arial" w:eastAsia="Arial" w:hAnsi="Arial"/>
          <w:sz w:val="20"/>
          <w:szCs w:val="20"/>
        </w:rPr>
        <w:t xml:space="preserve">This enhanced capstone project applies the NIST Cybersecurity Framework (CSF) Version 2.0 to nine real-world security incidents across financial services, technology, retail, aviation, energy, shipping, and manufacturing. Each case is mapped to one of the five NIST CSF operational functions — Identify, Protect, Detect, Respond, and Recover — and has been enriched with MITRE ATT&amp;CK technique mapping, CIS Controls v8 cross-references, CSF 2.0 Govern (GV) function linkage, CSF maturity tier assessments, and an analyst commentary section.</w:t>
      </w:r>
    </w:p>
    <w:p>
      <w:pPr>
        <w:spacing w:after="80" w:before="80"/>
        <w:jc w:val="left"/>
      </w:pPr>
      <w:r>
        <w:rPr>
          <w:rFonts w:ascii="Arial" w:cs="Arial" w:eastAsia="Arial" w:hAnsi="Arial"/>
          <w:sz w:val="20"/>
          <w:szCs w:val="20"/>
        </w:rPr>
        <w:t xml:space="preserve">The nine incidents collectively represent over $2 billion in fines, settlements, and direct costs, exposing data belonging to nearly one billion individuals. Every breach has a clear NIST CSF failure at its root — and every failure has a clear, implementable control that would have prevented or materially contained it.</w:t>
      </w:r>
    </w:p>
    <w:p>
      <w:pPr>
        <w:spacing w:after="0" w:before="120"/>
        <w:jc w:val="left"/>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8"/>
          <w:szCs w:val="28"/>
        </w:rPr>
        <w:t xml:space="preserve">Dashboard — All Nine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000"/>
        <w:gridCol w:w="1200"/>
        <w:gridCol w:w="1800"/>
        <w:gridCol w:w="1560"/>
      </w:tblGrid>
      <w:tr>
        <w:tc>
          <w:tcPr>
            <w:tcW w:type="dxa" w:w="15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Company</w:t>
            </w:r>
          </w:p>
        </w:tc>
        <w:tc>
          <w:tcPr>
            <w:tcW w:type="dxa" w:w="13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Year</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Function</w:t>
            </w:r>
          </w:p>
        </w:tc>
        <w:tc>
          <w:tcPr>
            <w:tcW w:type="dxa" w:w="12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Dwell Time</w:t>
            </w:r>
          </w:p>
        </w:tc>
        <w:tc>
          <w:tcPr>
            <w:tcW w:type="dxa" w:w="18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Total Cost</w:t>
            </w:r>
          </w:p>
        </w:tc>
        <w:tc>
          <w:tcPr>
            <w:tcW w:type="dxa" w:w="15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Records Exposed</w:t>
            </w:r>
          </w:p>
        </w:tc>
      </w:tr>
      <w:tr>
        <w:tc>
          <w:tcPr>
            <w:tcW w:type="dxa" w:w="15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Equifax</w:t>
            </w:r>
          </w:p>
        </w:tc>
        <w:tc>
          <w:tcPr>
            <w:tcW w:type="dxa" w:w="13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2017</w:t>
            </w:r>
          </w:p>
        </w:tc>
        <w:tc>
          <w:tcPr>
            <w:tcW w:type="dxa" w:w="10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E67E22"/>
                <w:sz w:val="18"/>
                <w:szCs w:val="18"/>
              </w:rPr>
              <w:t xml:space="preserve">Identify</w:t>
            </w:r>
          </w:p>
        </w:tc>
        <w:tc>
          <w:tcPr>
            <w:tcW w:type="dxa" w:w="1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78 days</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$1.38 billion</w:t>
            </w:r>
          </w:p>
        </w:tc>
        <w:tc>
          <w:tcPr>
            <w:tcW w:type="dxa" w:w="15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147 million</w:t>
            </w:r>
          </w:p>
        </w:tc>
      </w:tr>
      <w:tr>
        <w:tc>
          <w:tcPr>
            <w:tcW w:type="dxa" w:w="15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SolarWinds</w:t>
            </w:r>
          </w:p>
        </w:tc>
        <w:tc>
          <w:tcPr>
            <w:tcW w:type="dxa" w:w="13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2020</w:t>
            </w:r>
          </w:p>
        </w:tc>
        <w:tc>
          <w:tcPr>
            <w:tcW w:type="dxa" w:w="10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E67E22"/>
                <w:sz w:val="18"/>
                <w:szCs w:val="18"/>
              </w:rPr>
              <w:t xml:space="preserve">Identify</w:t>
            </w:r>
          </w:p>
        </w:tc>
        <w:tc>
          <w:tcPr>
            <w:tcW w:type="dxa" w:w="1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9 months</w:t>
            </w:r>
          </w:p>
        </w:tc>
        <w:tc>
          <w:tcPr>
            <w:tcW w:type="dxa" w:w="1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$40M+</w:t>
            </w:r>
          </w:p>
        </w:tc>
        <w:tc>
          <w:tcPr>
            <w:tcW w:type="dxa" w:w="1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18,000 orgs</w:t>
            </w:r>
          </w:p>
        </w:tc>
      </w:tr>
      <w:tr>
        <w:tc>
          <w:tcPr>
            <w:tcW w:type="dxa" w:w="15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Uber</w:t>
            </w:r>
          </w:p>
        </w:tc>
        <w:tc>
          <w:tcPr>
            <w:tcW w:type="dxa" w:w="13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2016</w:t>
            </w:r>
          </w:p>
        </w:tc>
        <w:tc>
          <w:tcPr>
            <w:tcW w:type="dxa" w:w="10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17A589"/>
                <w:sz w:val="18"/>
                <w:szCs w:val="18"/>
              </w:rPr>
              <w:t xml:space="preserve">Protect</w:t>
            </w:r>
          </w:p>
        </w:tc>
        <w:tc>
          <w:tcPr>
            <w:tcW w:type="dxa" w:w="1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Unknown</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$148 million</w:t>
            </w:r>
          </w:p>
        </w:tc>
        <w:tc>
          <w:tcPr>
            <w:tcW w:type="dxa" w:w="15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57 million</w:t>
            </w:r>
          </w:p>
        </w:tc>
      </w:tr>
      <w:tr>
        <w:tc>
          <w:tcPr>
            <w:tcW w:type="dxa" w:w="15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Target</w:t>
            </w:r>
          </w:p>
        </w:tc>
        <w:tc>
          <w:tcPr>
            <w:tcW w:type="dxa" w:w="13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2013</w:t>
            </w:r>
          </w:p>
        </w:tc>
        <w:tc>
          <w:tcPr>
            <w:tcW w:type="dxa" w:w="10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17A589"/>
                <w:sz w:val="18"/>
                <w:szCs w:val="18"/>
              </w:rPr>
              <w:t xml:space="preserve">Protect</w:t>
            </w:r>
          </w:p>
        </w:tc>
        <w:tc>
          <w:tcPr>
            <w:tcW w:type="dxa" w:w="1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3 weeks</w:t>
            </w:r>
          </w:p>
        </w:tc>
        <w:tc>
          <w:tcPr>
            <w:tcW w:type="dxa" w:w="1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$292 million</w:t>
            </w:r>
          </w:p>
        </w:tc>
        <w:tc>
          <w:tcPr>
            <w:tcW w:type="dxa" w:w="1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110 million</w:t>
            </w:r>
          </w:p>
        </w:tc>
      </w:tr>
      <w:tr>
        <w:tc>
          <w:tcPr>
            <w:tcW w:type="dxa" w:w="15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Marriott</w:t>
            </w:r>
          </w:p>
        </w:tc>
        <w:tc>
          <w:tcPr>
            <w:tcW w:type="dxa" w:w="13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2018</w:t>
            </w:r>
          </w:p>
        </w:tc>
        <w:tc>
          <w:tcPr>
            <w:tcW w:type="dxa" w:w="10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6C3483"/>
                <w:sz w:val="18"/>
                <w:szCs w:val="18"/>
              </w:rPr>
              <w:t xml:space="preserve">Detect</w:t>
            </w:r>
          </w:p>
        </w:tc>
        <w:tc>
          <w:tcPr>
            <w:tcW w:type="dxa" w:w="1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4 years</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$124 million</w:t>
            </w:r>
          </w:p>
        </w:tc>
        <w:tc>
          <w:tcPr>
            <w:tcW w:type="dxa" w:w="15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500 million</w:t>
            </w:r>
          </w:p>
        </w:tc>
      </w:tr>
      <w:tr>
        <w:tc>
          <w:tcPr>
            <w:tcW w:type="dxa" w:w="15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Colonial Pipeline</w:t>
            </w:r>
          </w:p>
        </w:tc>
        <w:tc>
          <w:tcPr>
            <w:tcW w:type="dxa" w:w="13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2021</w:t>
            </w:r>
          </w:p>
        </w:tc>
        <w:tc>
          <w:tcPr>
            <w:tcW w:type="dxa" w:w="10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Respond</w:t>
            </w:r>
          </w:p>
        </w:tc>
        <w:tc>
          <w:tcPr>
            <w:tcW w:type="dxa" w:w="1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Rapid</w:t>
            </w:r>
          </w:p>
        </w:tc>
        <w:tc>
          <w:tcPr>
            <w:tcW w:type="dxa" w:w="1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$4.4 million</w:t>
            </w:r>
          </w:p>
        </w:tc>
        <w:tc>
          <w:tcPr>
            <w:tcW w:type="dxa" w:w="1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N/A (OT)</w:t>
            </w:r>
          </w:p>
        </w:tc>
      </w:tr>
      <w:tr>
        <w:tc>
          <w:tcPr>
            <w:tcW w:type="dxa" w:w="15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British Airways</w:t>
            </w:r>
          </w:p>
        </w:tc>
        <w:tc>
          <w:tcPr>
            <w:tcW w:type="dxa" w:w="13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2018</w:t>
            </w:r>
          </w:p>
        </w:tc>
        <w:tc>
          <w:tcPr>
            <w:tcW w:type="dxa" w:w="10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Respond</w:t>
            </w:r>
          </w:p>
        </w:tc>
        <w:tc>
          <w:tcPr>
            <w:tcW w:type="dxa" w:w="1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14 days</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 million</w:t>
            </w:r>
          </w:p>
        </w:tc>
        <w:tc>
          <w:tcPr>
            <w:tcW w:type="dxa" w:w="15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500,000</w:t>
            </w:r>
          </w:p>
        </w:tc>
      </w:tr>
      <w:tr>
        <w:tc>
          <w:tcPr>
            <w:tcW w:type="dxa" w:w="15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Maersk</w:t>
            </w:r>
          </w:p>
        </w:tc>
        <w:tc>
          <w:tcPr>
            <w:tcW w:type="dxa" w:w="13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2017</w:t>
            </w:r>
          </w:p>
        </w:tc>
        <w:tc>
          <w:tcPr>
            <w:tcW w:type="dxa" w:w="10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Recover</w:t>
            </w:r>
          </w:p>
        </w:tc>
        <w:tc>
          <w:tcPr>
            <w:tcW w:type="dxa" w:w="1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Immediate</w:t>
            </w:r>
          </w:p>
        </w:tc>
        <w:tc>
          <w:tcPr>
            <w:tcW w:type="dxa" w:w="1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$300 million</w:t>
            </w:r>
          </w:p>
        </w:tc>
        <w:tc>
          <w:tcPr>
            <w:tcW w:type="dxa" w:w="1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N/A (OT)</w:t>
            </w:r>
          </w:p>
        </w:tc>
      </w:tr>
      <w:tr>
        <w:tc>
          <w:tcPr>
            <w:tcW w:type="dxa" w:w="15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Norsk Hydro</w:t>
            </w:r>
          </w:p>
        </w:tc>
        <w:tc>
          <w:tcPr>
            <w:tcW w:type="dxa" w:w="13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2019</w:t>
            </w:r>
          </w:p>
        </w:tc>
        <w:tc>
          <w:tcPr>
            <w:tcW w:type="dxa" w:w="10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Recover</w:t>
            </w:r>
          </w:p>
        </w:tc>
        <w:tc>
          <w:tcPr>
            <w:tcW w:type="dxa" w:w="1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Rapid</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$71 million</w:t>
            </w:r>
          </w:p>
        </w:tc>
        <w:tc>
          <w:tcPr>
            <w:tcW w:type="dxa" w:w="15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N/A (OT)</w:t>
            </w:r>
          </w:p>
        </w:tc>
      </w:tr>
    </w:tbl>
    <w:p>
      <w:pPr>
        <w:spacing w:after="80" w:before="80"/>
        <w:jc w:val="left"/>
      </w:pPr>
      <w:r>
        <w:br w:type="page"/>
      </w:r>
    </w:p>
    <w:p>
      <w:pPr>
        <w:pStyle w:val="Heading1"/>
        <w:pBdr>
          <w:bottom w:val="single" w:color="2E75B6" w:sz="8" w:space="4"/>
        </w:pBdr>
        <w:spacing w:after="160" w:before="360"/>
      </w:pPr>
      <w:r>
        <w:rPr>
          <w:rFonts w:ascii="Arial" w:cs="Arial" w:eastAsia="Arial" w:hAnsi="Arial"/>
          <w:b/>
          <w:bCs/>
          <w:color w:val="1B3A6B"/>
          <w:sz w:val="36"/>
          <w:szCs w:val="36"/>
        </w:rPr>
        <w:t xml:space="preserve">NIST Cybersecurity Framework 2.0 Overview</w:t>
      </w:r>
    </w:p>
    <w:p>
      <w:pPr>
        <w:spacing w:after="80" w:before="80"/>
        <w:jc w:val="left"/>
      </w:pPr>
      <w:r>
        <w:rPr>
          <w:rFonts w:ascii="Arial" w:cs="Arial" w:eastAsia="Arial" w:hAnsi="Arial"/>
          <w:sz w:val="20"/>
          <w:szCs w:val="20"/>
        </w:rPr>
        <w:t xml:space="preserve">The NIST CSF is a voluntary framework for managing cybersecurity risk developed by the National Institute of Standards and Technology. Version 2.0 (February 2024) added the Govern (GV) function as an overarching sixth function, recognising that governance, policy, and accountability are the foundation on which all five operational functions depend.</w:t>
      </w:r>
    </w:p>
    <w:p>
      <w:pPr>
        <w:spacing w:after="0" w:before="8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000"/>
        <w:gridCol w:w="1600"/>
        <w:gridCol w:w="1360"/>
      </w:tblGrid>
      <w:tr>
        <w:tc>
          <w:tcPr>
            <w:tcW w:type="dxa" w:w="8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ID</w:t>
            </w:r>
          </w:p>
        </w:tc>
        <w:tc>
          <w:tcPr>
            <w:tcW w:type="dxa" w:w="16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Function</w:t>
            </w:r>
          </w:p>
        </w:tc>
        <w:tc>
          <w:tcPr>
            <w:tcW w:type="dxa" w:w="4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Description</w:t>
            </w:r>
          </w:p>
        </w:tc>
        <w:tc>
          <w:tcPr>
            <w:tcW w:type="dxa" w:w="16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Colour Code</w:t>
            </w:r>
          </w:p>
        </w:tc>
        <w:tc>
          <w:tcPr>
            <w:tcW w:type="dxa" w:w="1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Case Studies</w:t>
            </w:r>
          </w:p>
        </w:tc>
      </w:tr>
      <w:tr>
        <w:tc>
          <w:tcPr>
            <w:tcW w:type="dxa" w:w="800"/>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GV</w:t>
            </w:r>
          </w:p>
        </w:tc>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b/>
                <w:bCs/>
                <w:color w:val="1B3A6B"/>
                <w:sz w:val="20"/>
                <w:szCs w:val="20"/>
              </w:rPr>
              <w:t xml:space="preserve">Govern</w:t>
            </w:r>
          </w:p>
        </w:tc>
        <w:tc>
          <w:tcPr>
            <w:tcW w:type="dxa" w:w="4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Establish cybersecurity policies, roles, and accountability</w:t>
            </w:r>
          </w:p>
        </w:tc>
        <w:tc>
          <w:tcPr>
            <w:tcW w:type="dxa" w:w="1600"/>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GV</w:t>
            </w:r>
          </w:p>
        </w:tc>
        <w:tc>
          <w:tcPr>
            <w:tcW w:type="dxa" w:w="1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sz w:val="18"/>
                <w:szCs w:val="18"/>
              </w:rPr>
              <w:t xml:space="preserve">All cases</w:t>
            </w:r>
          </w:p>
        </w:tc>
      </w:tr>
      <w:tr>
        <w:tc>
          <w:tcPr>
            <w:tcW w:type="dxa" w:w="800"/>
            <w:tcBorders>
              <w:top w:val="single" w:color="D5D8DC" w:sz="4"/>
              <w:left w:val="single" w:color="D5D8DC" w:sz="4"/>
              <w:bottom w:val="single" w:color="D5D8DC" w:sz="4"/>
              <w:right w:val="single" w:color="D5D8DC" w:sz="4"/>
            </w:tcBorders>
            <w:shd w:fill="E67E22"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ID</w:t>
            </w:r>
          </w:p>
        </w:tc>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b/>
                <w:bCs/>
                <w:color w:val="E67E22"/>
                <w:sz w:val="20"/>
                <w:szCs w:val="20"/>
              </w:rPr>
              <w:t xml:space="preserve">Identify</w:t>
            </w:r>
          </w:p>
        </w:tc>
        <w:tc>
          <w:tcPr>
            <w:tcW w:type="dxa" w:w="4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Know your assets, risks, and supply chain</w:t>
            </w:r>
          </w:p>
        </w:tc>
        <w:tc>
          <w:tcPr>
            <w:tcW w:type="dxa" w:w="1600"/>
            <w:tcBorders>
              <w:top w:val="single" w:color="D5D8DC" w:sz="4"/>
              <w:left w:val="single" w:color="D5D8DC" w:sz="4"/>
              <w:bottom w:val="single" w:color="D5D8DC" w:sz="4"/>
              <w:right w:val="single" w:color="D5D8DC" w:sz="4"/>
            </w:tcBorders>
            <w:shd w:fill="E67E22"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ID</w:t>
            </w:r>
          </w:p>
        </w:tc>
        <w:tc>
          <w:tcPr>
            <w:tcW w:type="dxa" w:w="1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sz w:val="18"/>
                <w:szCs w:val="18"/>
              </w:rPr>
              <w:t xml:space="preserve">Equifax, SolarWinds</w:t>
            </w:r>
          </w:p>
        </w:tc>
      </w:tr>
      <w:tr>
        <w:tc>
          <w:tcPr>
            <w:tcW w:type="dxa" w:w="800"/>
            <w:tcBorders>
              <w:top w:val="single" w:color="D5D8DC" w:sz="4"/>
              <w:left w:val="single" w:color="D5D8DC" w:sz="4"/>
              <w:bottom w:val="single" w:color="D5D8DC" w:sz="4"/>
              <w:right w:val="single" w:color="D5D8DC" w:sz="4"/>
            </w:tcBorders>
            <w:shd w:fill="17A589"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PR</w:t>
            </w:r>
          </w:p>
        </w:tc>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b/>
                <w:bCs/>
                <w:color w:val="17A589"/>
                <w:sz w:val="20"/>
                <w:szCs w:val="20"/>
              </w:rPr>
              <w:t xml:space="preserve">Protect</w:t>
            </w:r>
          </w:p>
        </w:tc>
        <w:tc>
          <w:tcPr>
            <w:tcW w:type="dxa" w:w="4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Implement safeguards — access, encryption, segmentation</w:t>
            </w:r>
          </w:p>
        </w:tc>
        <w:tc>
          <w:tcPr>
            <w:tcW w:type="dxa" w:w="1600"/>
            <w:tcBorders>
              <w:top w:val="single" w:color="D5D8DC" w:sz="4"/>
              <w:left w:val="single" w:color="D5D8DC" w:sz="4"/>
              <w:bottom w:val="single" w:color="D5D8DC" w:sz="4"/>
              <w:right w:val="single" w:color="D5D8DC" w:sz="4"/>
            </w:tcBorders>
            <w:shd w:fill="17A589"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PR</w:t>
            </w:r>
          </w:p>
        </w:tc>
        <w:tc>
          <w:tcPr>
            <w:tcW w:type="dxa" w:w="1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sz w:val="18"/>
                <w:szCs w:val="18"/>
              </w:rPr>
              <w:t xml:space="preserve">Uber, Target</w:t>
            </w:r>
          </w:p>
        </w:tc>
      </w:tr>
      <w:tr>
        <w:tc>
          <w:tcPr>
            <w:tcW w:type="dxa" w:w="800"/>
            <w:tcBorders>
              <w:top w:val="single" w:color="D5D8DC" w:sz="4"/>
              <w:left w:val="single" w:color="D5D8DC" w:sz="4"/>
              <w:bottom w:val="single" w:color="D5D8DC" w:sz="4"/>
              <w:right w:val="single" w:color="D5D8DC" w:sz="4"/>
            </w:tcBorders>
            <w:shd w:fill="6C3483"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DE</w:t>
            </w:r>
          </w:p>
        </w:tc>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b/>
                <w:bCs/>
                <w:color w:val="6C3483"/>
                <w:sz w:val="20"/>
                <w:szCs w:val="20"/>
              </w:rPr>
              <w:t xml:space="preserve">Detect</w:t>
            </w:r>
          </w:p>
        </w:tc>
        <w:tc>
          <w:tcPr>
            <w:tcW w:type="dxa" w:w="4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Find anomalies through continuous monitoring</w:t>
            </w:r>
          </w:p>
        </w:tc>
        <w:tc>
          <w:tcPr>
            <w:tcW w:type="dxa" w:w="1600"/>
            <w:tcBorders>
              <w:top w:val="single" w:color="D5D8DC" w:sz="4"/>
              <w:left w:val="single" w:color="D5D8DC" w:sz="4"/>
              <w:bottom w:val="single" w:color="D5D8DC" w:sz="4"/>
              <w:right w:val="single" w:color="D5D8DC" w:sz="4"/>
            </w:tcBorders>
            <w:shd w:fill="6C3483"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DE</w:t>
            </w:r>
          </w:p>
        </w:tc>
        <w:tc>
          <w:tcPr>
            <w:tcW w:type="dxa" w:w="1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sz w:val="18"/>
                <w:szCs w:val="18"/>
              </w:rPr>
              <w:t xml:space="preserve">Marriott / Starwood</w:t>
            </w:r>
          </w:p>
        </w:tc>
      </w:tr>
      <w:tr>
        <w:tc>
          <w:tcPr>
            <w:tcW w:type="dxa" w:w="80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RS</w:t>
            </w:r>
          </w:p>
        </w:tc>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b/>
                <w:bCs/>
                <w:color w:val="C0392B"/>
                <w:sz w:val="20"/>
                <w:szCs w:val="20"/>
              </w:rPr>
              <w:t xml:space="preserve">Respond</w:t>
            </w:r>
          </w:p>
        </w:tc>
        <w:tc>
          <w:tcPr>
            <w:tcW w:type="dxa" w:w="4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Act on incidents — comms, containment, analysis</w:t>
            </w:r>
          </w:p>
        </w:tc>
        <w:tc>
          <w:tcPr>
            <w:tcW w:type="dxa" w:w="160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RS</w:t>
            </w:r>
          </w:p>
        </w:tc>
        <w:tc>
          <w:tcPr>
            <w:tcW w:type="dxa" w:w="1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sz w:val="18"/>
                <w:szCs w:val="18"/>
              </w:rPr>
              <w:t xml:space="preserve">Colonial Pipeline, British Airways</w:t>
            </w:r>
          </w:p>
        </w:tc>
      </w:tr>
      <w:tr>
        <w:tc>
          <w:tcPr>
            <w:tcW w:type="dxa" w:w="80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RC</w:t>
            </w:r>
          </w:p>
        </w:tc>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b/>
                <w:bCs/>
                <w:color w:val="1E8449"/>
                <w:sz w:val="20"/>
                <w:szCs w:val="20"/>
              </w:rPr>
              <w:t xml:space="preserve">Recover</w:t>
            </w:r>
          </w:p>
        </w:tc>
        <w:tc>
          <w:tcPr>
            <w:tcW w:type="dxa" w:w="4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Restore operations and apply lessons learned</w:t>
            </w:r>
          </w:p>
        </w:tc>
        <w:tc>
          <w:tcPr>
            <w:tcW w:type="dxa" w:w="160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80" w:before="80"/>
              <w:jc w:val="center"/>
            </w:pPr>
            <w:r>
              <w:rPr>
                <w:rFonts w:ascii="Arial" w:cs="Arial" w:eastAsia="Arial" w:hAnsi="Arial"/>
                <w:b/>
                <w:bCs/>
                <w:color w:val="FFFFFF"/>
                <w:sz w:val="20"/>
                <w:szCs w:val="20"/>
              </w:rPr>
              <w:t xml:space="preserve">RC</w:t>
            </w:r>
          </w:p>
        </w:tc>
        <w:tc>
          <w:tcPr>
            <w:tcW w:type="dxa" w:w="1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80" w:before="80"/>
              <w:jc w:val="left"/>
            </w:pPr>
            <w:r>
              <w:rPr>
                <w:rFonts w:ascii="Arial" w:cs="Arial" w:eastAsia="Arial" w:hAnsi="Arial"/>
                <w:sz w:val="18"/>
                <w:szCs w:val="18"/>
              </w:rPr>
              <w:t xml:space="preserve">Maersk, Norsk Hydro</w:t>
            </w:r>
          </w:p>
        </w:tc>
      </w:tr>
    </w:tbl>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E67E22" w:sz="8"/>
              <w:right w:val="single" w:color="E67E22" w:sz="8"/>
            </w:tcBorders>
            <w:shd w:fill="E67E22" w:val="clear"/>
            <w:tcMar>
              <w:top w:type="dxa" w:w="100"/>
              <w:left w:type="dxa" w:w="140"/>
              <w:bottom w:type="dxa" w:w="100"/>
              <w:right w:type="dxa" w:w="140"/>
            </w:tcMar>
            <w:vAlign w:val="top"/>
          </w:tcPr>
          <w:p>
            <w:pPr>
              <w:spacing w:after="20" w:before="60"/>
              <w:jc w:val="center"/>
            </w:pPr>
            <w:r>
              <w:rPr>
                <w:rFonts w:ascii="Arial" w:cs="Arial" w:eastAsia="Arial" w:hAnsi="Arial"/>
                <w:b/>
                <w:bCs/>
                <w:color w:val="FFFFFF"/>
                <w:sz w:val="28"/>
                <w:szCs w:val="28"/>
              </w:rPr>
              <w:t xml:space="preserve">FUNCTION 1: IDENTIFY (ID)  —  Know your assets, risks, and supply chain</w:t>
            </w:r>
          </w:p>
          <w:p>
            <w:pPr>
              <w:spacing w:after="60" w:before="0"/>
              <w:jc w:val="center"/>
            </w:pPr>
            <w:r>
              <w:rPr>
                <w:rFonts w:ascii="Arial" w:cs="Arial" w:eastAsia="Arial" w:hAnsi="Arial"/>
                <w:color w:val="FFFFFF"/>
                <w:sz w:val="18"/>
                <w:szCs w:val="18"/>
              </w:rPr>
              <w:t xml:space="preserve">Develop organisational understanding to manage cybersecurity risk to systems, people, assets, data, and capabilities.</w:t>
            </w:r>
          </w:p>
        </w:tc>
      </w:tr>
    </w:tbl>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20" w:before="80"/>
              <w:jc w:val="left"/>
            </w:pPr>
            <w:r>
              <w:rPr>
                <w:rFonts w:ascii="Arial" w:cs="Arial" w:eastAsia="Arial" w:hAnsi="Arial"/>
                <w:b/>
                <w:bCs/>
                <w:color w:val="FFFFFF"/>
                <w:sz w:val="26"/>
                <w:szCs w:val="26"/>
              </w:rPr>
              <w:t xml:space="preserve">Case Study 1: </w:t>
            </w:r>
            <w:r>
              <w:rPr>
                <w:rFonts w:ascii="Arial" w:cs="Arial" w:eastAsia="Arial" w:hAnsi="Arial"/>
                <w:b/>
                <w:bCs/>
                <w:color w:val="FFFFFF"/>
                <w:sz w:val="26"/>
                <w:szCs w:val="26"/>
              </w:rPr>
              <w:t xml:space="preserve">Equifax</w:t>
            </w:r>
          </w:p>
          <w:p>
            <w:pPr>
              <w:spacing w:after="80" w:before="0"/>
              <w:jc w:val="left"/>
            </w:pPr>
            <w:r>
              <w:rPr>
                <w:rFonts w:ascii="Arial" w:cs="Arial" w:eastAsia="Arial" w:hAnsi="Arial"/>
                <w:color w:val="D6E4F0"/>
                <w:sz w:val="18"/>
                <w:szCs w:val="18"/>
              </w:rPr>
              <w:t xml:space="preserve">Financial Services  ·  2017</w:t>
            </w:r>
          </w:p>
        </w:tc>
        <w:tc>
          <w:tcPr>
            <w:tcW w:type="dxa" w:w="2621"/>
            <w:tcBorders>
              <w:top w:val="single" w:color="D5D8DC" w:sz="4"/>
              <w:left w:val="single" w:color="D5D8DC" w:sz="4"/>
              <w:bottom w:val="single" w:color="D5D8DC" w:sz="4"/>
              <w:right w:val="single" w:color="D5D8DC" w:sz="4"/>
            </w:tcBorders>
            <w:shd w:fill="E67E22" w:val="clear"/>
            <w:tcMar>
              <w:top w:type="dxa" w:w="100"/>
              <w:left w:type="dxa" w:w="140"/>
              <w:bottom w:type="dxa" w:w="100"/>
              <w:right w:type="dxa" w:w="140"/>
            </w:tcMar>
            <w:vAlign w:val="center"/>
          </w:tcPr>
          <w:p>
            <w:pPr>
              <w:spacing w:after="10" w:before="40"/>
              <w:jc w:val="center"/>
            </w:pPr>
            <w:r>
              <w:rPr>
                <w:rFonts w:ascii="Arial" w:cs="Arial" w:eastAsia="Arial" w:hAnsi="Arial"/>
                <w:color w:val="FFFFFF"/>
                <w:sz w:val="16"/>
                <w:szCs w:val="16"/>
              </w:rPr>
              <w:t xml:space="preserve">NIST CSF Function</w:t>
            </w:r>
          </w:p>
          <w:p>
            <w:pPr>
              <w:spacing w:after="40" w:before="0"/>
              <w:jc w:val="center"/>
            </w:pPr>
            <w:r>
              <w:rPr>
                <w:rFonts w:ascii="Arial" w:cs="Arial" w:eastAsia="Arial" w:hAnsi="Arial"/>
                <w:b/>
                <w:bCs/>
                <w:color w:val="FFFFFF"/>
                <w:sz w:val="30"/>
                <w:szCs w:val="30"/>
              </w:rPr>
              <w:t xml:space="preserve">ID</w:t>
            </w:r>
          </w:p>
        </w:tc>
      </w:tr>
    </w:tbl>
    <w:p>
      <w:pPr>
        <w:spacing w:after="0" w:before="10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Incident Summary</w:t>
      </w:r>
    </w:p>
    <w:p>
      <w:pPr>
        <w:spacing w:after="80" w:before="80"/>
        <w:jc w:val="left"/>
      </w:pPr>
      <w:r>
        <w:rPr>
          <w:rFonts w:ascii="Arial" w:cs="Arial" w:eastAsia="Arial" w:hAnsi="Arial"/>
          <w:sz w:val="20"/>
          <w:szCs w:val="20"/>
        </w:rPr>
        <w:t xml:space="preserve">The Apache Struts vulnerability CVE-2017-5638 was publicly disclosed in March 2017. Equifax failed to apply the emergency patch to all affected systems for 78 days, in part because the vulnerable server was not recorded in their asset inventory. Attackers exploited the vulnerability to exfiltrate 147 million consumer records including Social Security numbers, birth dates, addresses, and driver's licence numbers.</w:t>
      </w:r>
    </w:p>
    <w:p>
      <w:pPr>
        <w:spacing w:after="80" w:before="80"/>
        <w:jc w:val="left"/>
      </w:pPr>
      <w:r>
        <w:rPr>
          <w:rFonts w:ascii="Arial" w:cs="Arial" w:eastAsia="Arial" w:hAnsi="Arial"/>
          <w:b w:val="false"/>
          <w:bCs w:val="false"/>
          <w:sz w:val="20"/>
          <w:szCs w:val="20"/>
        </w:rPr>
        <w:t xml:space="preserve">Root Cause: No enterprise-wide IT asset inventory. The vulnerable Apache Struts component was not tracked, rendering it invisible to the patch management programme.</w:t>
      </w:r>
    </w:p>
    <w:p>
      <w:pPr>
        <w:spacing w:after="0" w:before="8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Impact Metric</w:t>
            </w:r>
          </w:p>
        </w:tc>
        <w:tc>
          <w:tcPr>
            <w:tcW w:type="dxa" w:w="6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Data</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Financial Cost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$1.38 billion total (settlements, remediation, legal)</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Records Exposed</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147 million US consumers</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Detection Time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78 days undetected post-patch disclosure</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Regulatory Fine</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$575 million FTC settlement + $100M CFPB civil penalty</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Reputational Impact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CIO and CISO resigned; CEO testified before Congress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CSF Subcategory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C0392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NIST CSF Subcategory Gaps Identified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ID.AM-1 — </w:t>
            </w:r>
            <w:r>
              <w:rPr>
                <w:rFonts w:ascii="Arial" w:cs="Arial" w:eastAsia="Arial" w:hAnsi="Arial"/>
                <w:sz w:val="19"/>
                <w:szCs w:val="19"/>
              </w:rPr>
              <w:t xml:space="preserve">Physical devices and systems not inventoried</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ID.AM-2 — </w:t>
            </w:r>
            <w:r>
              <w:rPr>
                <w:rFonts w:ascii="Arial" w:cs="Arial" w:eastAsia="Arial" w:hAnsi="Arial"/>
                <w:sz w:val="19"/>
                <w:szCs w:val="19"/>
              </w:rPr>
              <w:t xml:space="preserve">Software platforms and applications not inventoried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ID.RA-1 — </w:t>
            </w:r>
            <w:r>
              <w:rPr>
                <w:rFonts w:ascii="Arial" w:cs="Arial" w:eastAsia="Arial" w:hAnsi="Arial"/>
                <w:sz w:val="19"/>
                <w:szCs w:val="19"/>
              </w:rPr>
              <w:t xml:space="preserve">Asset vulnerabilities not identified and documented</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ID.SC-4 — </w:t>
            </w:r>
            <w:r>
              <w:rPr>
                <w:rFonts w:ascii="Arial" w:cs="Arial" w:eastAsia="Arial" w:hAnsi="Arial"/>
                <w:sz w:val="19"/>
                <w:szCs w:val="19"/>
              </w:rPr>
              <w:t xml:space="preserve">Suppliers not assessed for adequate security controls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ATT&amp;CK ID</w:t>
            </w:r>
          </w:p>
        </w:tc>
        <w:tc>
          <w:tcPr>
            <w:tcW w:type="dxa" w:w="38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Technique</w:t>
            </w:r>
          </w:p>
        </w:tc>
        <w:tc>
          <w:tcPr>
            <w:tcW w:type="dxa" w:w="356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Description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T1190</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Exploit Public-Facing Application</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CVE-2017-5638 Apache Struts RCE exploited on web-facing application</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T1059</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Command and Scripting Interpreter</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Attackers executed commands via the exploited web application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T1005</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from Local System</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PII data harvested from local databases on compromised servers</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T1041</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Exfiltration Over C2 Channel</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Data exfiltrated via encrypted channel; expired SSL cert masked traffic</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CIS Controls v8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CIS Control</w:t>
            </w:r>
          </w:p>
        </w:tc>
        <w:tc>
          <w:tcPr>
            <w:tcW w:type="dxa" w:w="32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Control Name</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Application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Inventory and Control of Enterprise Assets</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Equifax's core failure — untracked server not in scope for patching</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2</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Inventory and Control of Software Assets</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Apache Struts component not in software inventory</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7</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Continuous Vulnerability Management</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SLA for critical CVE patching; 78-day gap on a severity-10 vulnerability</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15</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Service Provider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SBOM or third-party component tracking for open-source dependencies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Maturity Tier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1B3A6B" w:sz="6"/>
              <w:left w:val="single" w:color="1B3A6B" w:sz="6"/>
              <w:bottom w:val="single" w:color="1B3A6B" w:sz="6"/>
              <w:right w:val="single" w:color="1B3A6B" w:sz="6"/>
            </w:tcBorders>
            <w:shd w:fill="56657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Maturity Tier Assessment</w:t>
            </w:r>
          </w:p>
        </w:tc>
      </w:tr>
      <w:tr>
        <w:tc>
          <w:tcPr>
            <w:tcW w:type="dxa" w:w="234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1</w:t>
            </w:r>
          </w:p>
          <w:p>
            <w:pPr>
              <w:spacing w:after="60" w:before="0"/>
              <w:jc w:val="center"/>
            </w:pPr>
            <w:r>
              <w:rPr>
                <w:rFonts w:ascii="Arial" w:cs="Arial" w:eastAsia="Arial" w:hAnsi="Arial"/>
                <w:color w:val="FFFFFF"/>
                <w:sz w:val="16"/>
                <w:szCs w:val="16"/>
              </w:rPr>
              <w:t xml:space="preserve">Partial</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2</w:t>
            </w:r>
          </w:p>
          <w:p>
            <w:pPr>
              <w:spacing w:after="60" w:before="0"/>
              <w:jc w:val="center"/>
            </w:pPr>
            <w:r>
              <w:rPr>
                <w:rFonts w:ascii="Arial" w:cs="Arial" w:eastAsia="Arial" w:hAnsi="Arial"/>
                <w:color w:val="1B3A6B"/>
                <w:sz w:val="16"/>
                <w:szCs w:val="16"/>
              </w:rPr>
              <w:t xml:space="preserve">Risk Informed</w:t>
            </w:r>
          </w:p>
        </w:tc>
        <w:tc>
          <w:tcPr>
            <w:tcW w:type="dxa" w:w="234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3</w:t>
            </w:r>
          </w:p>
          <w:p>
            <w:pPr>
              <w:spacing w:after="60" w:before="0"/>
              <w:jc w:val="center"/>
            </w:pPr>
            <w:r>
              <w:rPr>
                <w:rFonts w:ascii="Arial" w:cs="Arial" w:eastAsia="Arial" w:hAnsi="Arial"/>
                <w:color w:val="FFFFFF"/>
                <w:sz w:val="16"/>
                <w:szCs w:val="16"/>
              </w:rPr>
              <w:t xml:space="preserve">Repeatable</w:t>
            </w:r>
          </w:p>
        </w:tc>
        <w:tc>
          <w:tcPr>
            <w:tcW w:type="dxa" w:w="234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4</w:t>
            </w:r>
          </w:p>
          <w:p>
            <w:pPr>
              <w:spacing w:after="60" w:before="0"/>
              <w:jc w:val="center"/>
            </w:pPr>
            <w:r>
              <w:rPr>
                <w:rFonts w:ascii="Arial" w:cs="Arial" w:eastAsia="Arial" w:hAnsi="Arial"/>
                <w:color w:val="1B3A6B"/>
                <w:sz w:val="16"/>
                <w:szCs w:val="16"/>
              </w:rPr>
              <w:t xml:space="preserve">Adaptive</w:t>
            </w:r>
          </w:p>
        </w:tc>
      </w:tr>
      <w:tr>
        <w:tc>
          <w:tcPr>
            <w:tcW w:type="dxa" w:w="9360"/>
            <w:gridSpan w:val="4"/>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Current: Tier 1 (Partial)  |  </w:t>
            </w:r>
            <w:r>
              <w:rPr>
                <w:rFonts w:ascii="Arial" w:cs="Arial" w:eastAsia="Arial" w:hAnsi="Arial"/>
                <w:b/>
                <w:bCs/>
                <w:color w:val="1E8449"/>
                <w:sz w:val="18"/>
                <w:szCs w:val="18"/>
              </w:rPr>
              <w:t xml:space="preserve">Target: Tier 3 (Repeatable)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2.0 Govern (GV) Function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2.0 Govern (GV) Function Linkage</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GV.OC-01 — </w:t>
            </w:r>
            <w:r>
              <w:rPr>
                <w:rFonts w:ascii="Arial" w:cs="Arial" w:eastAsia="Arial" w:hAnsi="Arial"/>
                <w:sz w:val="19"/>
                <w:szCs w:val="19"/>
              </w:rPr>
              <w:t xml:space="preserve">Organisational mission and objectives not communicated to cybersecurity — no executive accountability for patch SLAs</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GV.RM-01 — </w:t>
            </w:r>
            <w:r>
              <w:rPr>
                <w:rFonts w:ascii="Arial" w:cs="Arial" w:eastAsia="Arial" w:hAnsi="Arial"/>
                <w:sz w:val="19"/>
                <w:szCs w:val="19"/>
              </w:rPr>
              <w:t xml:space="preserve">No enterprise risk management strategy — asset inventory gaps were a known issue that went unaddressed</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GV.SC-05 — </w:t>
            </w:r>
            <w:r>
              <w:rPr>
                <w:rFonts w:ascii="Arial" w:cs="Arial" w:eastAsia="Arial" w:hAnsi="Arial"/>
                <w:sz w:val="19"/>
                <w:szCs w:val="19"/>
              </w:rPr>
              <w:t xml:space="preserve">No supplier cybersecurity requirements — open-source components treated as outside scope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Root Cause Analysis — What Failed</w:t>
      </w:r>
    </w:p>
    <w:p>
      <w:pPr>
        <w:pStyle w:val="ListParagraph"/>
        <w:numPr>
          <w:ilvl w:val="0"/>
          <w:numId w:val="2"/>
        </w:numPr>
        <w:spacing w:after="40" w:before="40"/>
      </w:pPr>
      <w:r>
        <w:rPr>
          <w:rFonts w:ascii="Arial" w:cs="Arial" w:eastAsia="Arial" w:hAnsi="Arial"/>
          <w:sz w:val="20"/>
          <w:szCs w:val="20"/>
        </w:rPr>
        <w:t xml:space="preserve">No comprehensive IT asset inventory — the vulnerable Apache Struts component was invisible to the security team</w:t>
      </w:r>
    </w:p>
    <w:p>
      <w:pPr>
        <w:pStyle w:val="ListParagraph"/>
        <w:numPr>
          <w:ilvl w:val="0"/>
          <w:numId w:val="2"/>
        </w:numPr>
        <w:spacing w:after="40" w:before="40"/>
      </w:pPr>
      <w:r>
        <w:rPr>
          <w:rFonts w:ascii="Arial" w:cs="Arial" w:eastAsia="Arial" w:hAnsi="Arial"/>
          <w:sz w:val="20"/>
          <w:szCs w:val="20"/>
        </w:rPr>
        <w:t xml:space="preserve">Known CVE-2017-5638 left unpatched for 78 days after public disclosure and vendor notification</w:t>
      </w:r>
    </w:p>
    <w:p>
      <w:pPr>
        <w:pStyle w:val="ListParagraph"/>
        <w:numPr>
          <w:ilvl w:val="0"/>
          <w:numId w:val="2"/>
        </w:numPr>
        <w:spacing w:after="40" w:before="40"/>
      </w:pPr>
      <w:r>
        <w:rPr>
          <w:rFonts w:ascii="Arial" w:cs="Arial" w:eastAsia="Arial" w:hAnsi="Arial"/>
          <w:sz w:val="20"/>
          <w:szCs w:val="20"/>
        </w:rPr>
        <w:t xml:space="preserve">No data flow mapping to identify which systems held sensitive PII at scale</w:t>
      </w:r>
    </w:p>
    <w:p>
      <w:pPr>
        <w:pStyle w:val="ListParagraph"/>
        <w:numPr>
          <w:ilvl w:val="0"/>
          <w:numId w:val="2"/>
        </w:numPr>
        <w:spacing w:after="40" w:before="40"/>
      </w:pPr>
      <w:r>
        <w:rPr>
          <w:rFonts w:ascii="Arial" w:cs="Arial" w:eastAsia="Arial" w:hAnsi="Arial"/>
          <w:sz w:val="20"/>
          <w:szCs w:val="20"/>
        </w:rPr>
        <w:t xml:space="preserve">Supply chain risk management absent for open-source components; no SBOM in place</w:t>
      </w:r>
    </w:p>
    <w:p>
      <w:pPr>
        <w:pStyle w:val="ListParagraph"/>
        <w:numPr>
          <w:ilvl w:val="0"/>
          <w:numId w:val="2"/>
        </w:numPr>
        <w:spacing w:after="40" w:before="40"/>
      </w:pPr>
      <w:r>
        <w:rPr>
          <w:rFonts w:ascii="Arial" w:cs="Arial" w:eastAsia="Arial" w:hAnsi="Arial"/>
          <w:sz w:val="20"/>
          <w:szCs w:val="20"/>
        </w:rPr>
        <w:t xml:space="preserve">Expired SSL certificate prevented detection of exfiltration traffic for the entire 78-day window</w:t>
      </w:r>
    </w:p>
    <w:p>
      <w:pPr>
        <w:pStyle w:val="ListParagraph"/>
        <w:numPr>
          <w:ilvl w:val="0"/>
          <w:numId w:val="2"/>
        </w:numPr>
        <w:spacing w:after="40" w:before="40"/>
      </w:pPr>
      <w:r>
        <w:rPr>
          <w:rFonts w:ascii="Arial" w:cs="Arial" w:eastAsia="Arial" w:hAnsi="Arial"/>
          <w:sz w:val="20"/>
          <w:szCs w:val="20"/>
        </w:rPr>
        <w:t xml:space="preserve">No patch SLA policy — there was no policy mandating critical CVEs be resolved within a defined timeframe</w:t>
      </w:r>
    </w:p>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Control Recommendations</w:t>
      </w:r>
    </w:p>
    <w:p>
      <w:pPr>
        <w:pStyle w:val="ListParagraph"/>
        <w:numPr>
          <w:ilvl w:val="0"/>
          <w:numId w:val="2"/>
        </w:numPr>
        <w:spacing w:after="40" w:before="40"/>
      </w:pPr>
      <w:r>
        <w:rPr>
          <w:rFonts w:ascii="Arial" w:cs="Arial" w:eastAsia="Arial" w:hAnsi="Arial"/>
          <w:sz w:val="20"/>
          <w:szCs w:val="20"/>
        </w:rPr>
        <w:t xml:space="preserve">Implement automated asset discovery (Qualys, Tenable, Rapid7) — run continuous discovery, not periodic snapshots</w:t>
      </w:r>
    </w:p>
    <w:p>
      <w:pPr>
        <w:pStyle w:val="ListParagraph"/>
        <w:numPr>
          <w:ilvl w:val="0"/>
          <w:numId w:val="2"/>
        </w:numPr>
        <w:spacing w:after="40" w:before="40"/>
      </w:pPr>
      <w:r>
        <w:rPr>
          <w:rFonts w:ascii="Arial" w:cs="Arial" w:eastAsia="Arial" w:hAnsi="Arial"/>
          <w:sz w:val="20"/>
          <w:szCs w:val="20"/>
        </w:rPr>
        <w:t xml:space="preserve">Establish a vulnerability SLA policy: critical CVEs patched within 72 hours, high CVEs within 7 days</w:t>
      </w:r>
    </w:p>
    <w:p>
      <w:pPr>
        <w:pStyle w:val="ListParagraph"/>
        <w:numPr>
          <w:ilvl w:val="0"/>
          <w:numId w:val="2"/>
        </w:numPr>
        <w:spacing w:after="40" w:before="40"/>
      </w:pPr>
      <w:r>
        <w:rPr>
          <w:rFonts w:ascii="Arial" w:cs="Arial" w:eastAsia="Arial" w:hAnsi="Arial"/>
          <w:sz w:val="20"/>
          <w:szCs w:val="20"/>
        </w:rPr>
        <w:t xml:space="preserve">Adopt a Software Bill of Materials (SBOM) for all third-party and open-source dependencies</w:t>
      </w:r>
    </w:p>
    <w:p>
      <w:pPr>
        <w:pStyle w:val="ListParagraph"/>
        <w:numPr>
          <w:ilvl w:val="0"/>
          <w:numId w:val="2"/>
        </w:numPr>
        <w:spacing w:after="40" w:before="40"/>
      </w:pPr>
      <w:r>
        <w:rPr>
          <w:rFonts w:ascii="Arial" w:cs="Arial" w:eastAsia="Arial" w:hAnsi="Arial"/>
          <w:sz w:val="20"/>
          <w:szCs w:val="20"/>
        </w:rPr>
        <w:t xml:space="preserve">Map all data flows before a breach to understand PII exposure scope and establish a data inventory</w:t>
      </w:r>
    </w:p>
    <w:p>
      <w:pPr>
        <w:pStyle w:val="ListParagraph"/>
        <w:numPr>
          <w:ilvl w:val="0"/>
          <w:numId w:val="2"/>
        </w:numPr>
        <w:spacing w:after="40" w:before="40"/>
      </w:pPr>
      <w:r>
        <w:rPr>
          <w:rFonts w:ascii="Arial" w:cs="Arial" w:eastAsia="Arial" w:hAnsi="Arial"/>
          <w:sz w:val="20"/>
          <w:szCs w:val="20"/>
        </w:rPr>
        <w:t xml:space="preserve">Assign a named accountable owner for every asset and its patch compliance status</w:t>
      </w:r>
    </w:p>
    <w:p>
      <w:pPr>
        <w:pStyle w:val="ListParagraph"/>
        <w:numPr>
          <w:ilvl w:val="0"/>
          <w:numId w:val="2"/>
        </w:numPr>
        <w:spacing w:after="40" w:before="40"/>
      </w:pPr>
      <w:r>
        <w:rPr>
          <w:rFonts w:ascii="Arial" w:cs="Arial" w:eastAsia="Arial" w:hAnsi="Arial"/>
          <w:sz w:val="20"/>
          <w:szCs w:val="20"/>
        </w:rPr>
        <w:t xml:space="preserve">Automate SSL certificate expiry monitoring — expired certs create blind spots in traffic inspection</w:t>
      </w:r>
    </w:p>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Capstone Analysis</w:t>
            </w:r>
          </w:p>
        </w:tc>
      </w:tr>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vAlign w:val="top"/>
          </w:tcPr>
          <w:p>
            <w:pPr>
              <w:spacing w:after="80" w:before="80"/>
              <w:jc w:val="left"/>
            </w:pPr>
            <w:r>
              <w:rPr>
                <w:rFonts w:ascii="Arial" w:cs="Arial" w:eastAsia="Arial" w:hAnsi="Arial"/>
                <w:b/>
                <w:bCs/>
                <w:color w:val="1B3A6B"/>
                <w:sz w:val="19"/>
                <w:szCs w:val="19"/>
              </w:rPr>
              <w:t xml:space="preserve">Q: How would a mature ID.AM programme have changed Equifax's exposure?</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A complete software asset inventory would have identified the Apache Struts component as in scope for the emergency patch. The 78-day window collapses to hours. An automated patch SLA system would have flagged non-compliance within 24 hours of the CVE's publication. Data flow mapping would have allowed Equifax to scope and contain the breach immediately upon discovery, potentially reducing the affected record count from 147 million to a fraction of that. The FTC settlement alone ($575M) dwarfs the cost of a mature ID.AM programme by orders of magnitude.</w:t>
            </w:r>
          </w:p>
        </w:tc>
      </w:tr>
    </w:tbl>
    <w:p>
      <w:pPr>
        <w:spacing w:after="0" w:before="1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E67E22"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Analyst Assessment</w:t>
            </w:r>
          </w:p>
        </w:tc>
      </w:tr>
      <w:tr>
        <w:tc>
          <w:tcPr>
            <w:tcW w:type="dxa" w:w="9360"/>
            <w:tcBorders>
              <w:top w:val="single" w:color="E67E22" w:sz="6"/>
              <w:left w:val="single" w:color="E67E22" w:sz="6"/>
              <w:bottom w:val="single" w:color="E67E22" w:sz="6"/>
              <w:right w:val="single" w:color="E67E22" w:sz="6"/>
            </w:tcBorders>
            <w:shd w:fill="FDEBD0" w:val="clear"/>
            <w:tcMar>
              <w:top w:type="dxa" w:w="100"/>
              <w:left w:type="dxa" w:w="140"/>
              <w:bottom w:type="dxa" w:w="100"/>
              <w:right w:type="dxa" w:w="140"/>
            </w:tcMar>
            <w:vAlign w:val="top"/>
          </w:tcPr>
          <w:p>
            <w:pPr>
              <w:spacing w:after="80" w:before="80"/>
              <w:jc w:val="left"/>
            </w:pPr>
            <w:r>
              <w:rPr>
                <w:rFonts w:ascii="Arial" w:cs="Arial" w:eastAsia="Arial" w:hAnsi="Arial"/>
                <w:color w:val="1B3A6B"/>
                <w:sz w:val="19"/>
                <w:szCs w:val="19"/>
              </w:rPr>
              <w:t xml:space="preserve">Equifax is the clearest illustration in this capstone of the compounding cost of Identify function immaturity. The patch existed. The fix was trivial. The only barrier was not knowing the asset existed. This is not a sophisticated attack — it is an inventory problem with a billion-dollar price tag. Mid-level analysts should use Equifax in board-level conversations to justify investment in asset management tooling.</w:t>
            </w:r>
          </w:p>
        </w:tc>
      </w:tr>
    </w:tbl>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20" w:before="80"/>
              <w:jc w:val="left"/>
            </w:pPr>
            <w:r>
              <w:rPr>
                <w:rFonts w:ascii="Arial" w:cs="Arial" w:eastAsia="Arial" w:hAnsi="Arial"/>
                <w:b/>
                <w:bCs/>
                <w:color w:val="FFFFFF"/>
                <w:sz w:val="26"/>
                <w:szCs w:val="26"/>
              </w:rPr>
              <w:t xml:space="preserve">Case Study 2: </w:t>
            </w:r>
            <w:r>
              <w:rPr>
                <w:rFonts w:ascii="Arial" w:cs="Arial" w:eastAsia="Arial" w:hAnsi="Arial"/>
                <w:b/>
                <w:bCs/>
                <w:color w:val="FFFFFF"/>
                <w:sz w:val="26"/>
                <w:szCs w:val="26"/>
              </w:rPr>
              <w:t xml:space="preserve">SolarWinds</w:t>
            </w:r>
          </w:p>
          <w:p>
            <w:pPr>
              <w:spacing w:after="80" w:before="0"/>
              <w:jc w:val="left"/>
            </w:pPr>
            <w:r>
              <w:rPr>
                <w:rFonts w:ascii="Arial" w:cs="Arial" w:eastAsia="Arial" w:hAnsi="Arial"/>
                <w:color w:val="D6E4F0"/>
                <w:sz w:val="18"/>
                <w:szCs w:val="18"/>
              </w:rPr>
              <w:t xml:space="preserve">Technology / Government Supply Chain  ·  2020</w:t>
            </w:r>
          </w:p>
        </w:tc>
        <w:tc>
          <w:tcPr>
            <w:tcW w:type="dxa" w:w="2621"/>
            <w:tcBorders>
              <w:top w:val="single" w:color="D5D8DC" w:sz="4"/>
              <w:left w:val="single" w:color="D5D8DC" w:sz="4"/>
              <w:bottom w:val="single" w:color="D5D8DC" w:sz="4"/>
              <w:right w:val="single" w:color="D5D8DC" w:sz="4"/>
            </w:tcBorders>
            <w:shd w:fill="E67E22" w:val="clear"/>
            <w:tcMar>
              <w:top w:type="dxa" w:w="100"/>
              <w:left w:type="dxa" w:w="140"/>
              <w:bottom w:type="dxa" w:w="100"/>
              <w:right w:type="dxa" w:w="140"/>
            </w:tcMar>
            <w:vAlign w:val="center"/>
          </w:tcPr>
          <w:p>
            <w:pPr>
              <w:spacing w:after="10" w:before="40"/>
              <w:jc w:val="center"/>
            </w:pPr>
            <w:r>
              <w:rPr>
                <w:rFonts w:ascii="Arial" w:cs="Arial" w:eastAsia="Arial" w:hAnsi="Arial"/>
                <w:color w:val="FFFFFF"/>
                <w:sz w:val="16"/>
                <w:szCs w:val="16"/>
              </w:rPr>
              <w:t xml:space="preserve">NIST CSF Function</w:t>
            </w:r>
          </w:p>
          <w:p>
            <w:pPr>
              <w:spacing w:after="40" w:before="0"/>
              <w:jc w:val="center"/>
            </w:pPr>
            <w:r>
              <w:rPr>
                <w:rFonts w:ascii="Arial" w:cs="Arial" w:eastAsia="Arial" w:hAnsi="Arial"/>
                <w:b/>
                <w:bCs/>
                <w:color w:val="FFFFFF"/>
                <w:sz w:val="30"/>
                <w:szCs w:val="30"/>
              </w:rPr>
              <w:t xml:space="preserve">ID</w:t>
            </w:r>
          </w:p>
        </w:tc>
      </w:tr>
    </w:tbl>
    <w:p>
      <w:pPr>
        <w:spacing w:after="0" w:before="10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Incident Summary</w:t>
      </w:r>
    </w:p>
    <w:p>
      <w:pPr>
        <w:spacing w:after="80" w:before="80"/>
        <w:jc w:val="left"/>
      </w:pPr>
      <w:r>
        <w:rPr>
          <w:rFonts w:ascii="Arial" w:cs="Arial" w:eastAsia="Arial" w:hAnsi="Arial"/>
          <w:sz w:val="20"/>
          <w:szCs w:val="20"/>
        </w:rPr>
        <w:t xml:space="preserve">A nation-state actor (Cozy Bear / APT29) compromised SolarWinds's Orion software build pipeline and inserted a backdoor (SUNBURST) into digitally signed software updates. The trojanised updates were delivered to approximately 18,000 organisations, including the US Treasury, State Department, and multiple Fortune 500 companies. The compromise went undetected for nine months.</w:t>
      </w:r>
    </w:p>
    <w:p>
      <w:pPr>
        <w:spacing w:after="80" w:before="80"/>
        <w:jc w:val="left"/>
      </w:pPr>
      <w:r>
        <w:rPr>
          <w:rFonts w:ascii="Arial" w:cs="Arial" w:eastAsia="Arial" w:hAnsi="Arial"/>
          <w:b w:val="false"/>
          <w:bCs w:val="false"/>
          <w:sz w:val="20"/>
          <w:szCs w:val="20"/>
        </w:rPr>
        <w:t xml:space="preserve">Root Cause: No supply chain risk management programme. The software build pipeline was not treated as a critical asset requiring integrity controls, cryptographic signing verification, or separation of duties.</w:t>
      </w:r>
    </w:p>
    <w:p>
      <w:pPr>
        <w:spacing w:after="0" w:before="8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Impact Metric</w:t>
            </w:r>
          </w:p>
        </w:tc>
        <w:tc>
          <w:tcPr>
            <w:tcW w:type="dxa" w:w="6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Data</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Financial Cost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$40M+ direct costs; ongoing litigation</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Scope</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18,000 organisations received malicious updates; ~100 were actively exploited</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Detection Time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9 months undetected (March–December 2020)</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Regulatory Action</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SEC enforcement action 2023; CISA Emergency Directive 21-01</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Geopolitical Impact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Triggered Executive Order 14028 on software supply chain security</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CSF Subcategory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C0392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NIST CSF Subcategory Gaps Identified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ID.SC-1 — </w:t>
            </w:r>
            <w:r>
              <w:rPr>
                <w:rFonts w:ascii="Arial" w:cs="Arial" w:eastAsia="Arial" w:hAnsi="Arial"/>
                <w:sz w:val="19"/>
                <w:szCs w:val="19"/>
              </w:rPr>
              <w:t xml:space="preserve">No cyber supply chain risk management plan existed</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ID.SC-3 — </w:t>
            </w:r>
            <w:r>
              <w:rPr>
                <w:rFonts w:ascii="Arial" w:cs="Arial" w:eastAsia="Arial" w:hAnsi="Arial"/>
                <w:sz w:val="19"/>
                <w:szCs w:val="19"/>
              </w:rPr>
              <w:t xml:space="preserve">Suppliers not assessed against formal security requirements</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ID.AM-2 — </w:t>
            </w:r>
            <w:r>
              <w:rPr>
                <w:rFonts w:ascii="Arial" w:cs="Arial" w:eastAsia="Arial" w:hAnsi="Arial"/>
                <w:sz w:val="19"/>
                <w:szCs w:val="19"/>
              </w:rPr>
              <w:t xml:space="preserve">Software inventory did not include the build toolchain as an asset</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ID.SC-4 — </w:t>
            </w:r>
            <w:r>
              <w:rPr>
                <w:rFonts w:ascii="Arial" w:cs="Arial" w:eastAsia="Arial" w:hAnsi="Arial"/>
                <w:sz w:val="19"/>
                <w:szCs w:val="19"/>
              </w:rPr>
              <w:t xml:space="preserve">No independent assessment of build pipeline integrity</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ATT&amp;CK ID</w:t>
            </w:r>
          </w:p>
        </w:tc>
        <w:tc>
          <w:tcPr>
            <w:tcW w:type="dxa" w:w="38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Technique</w:t>
            </w:r>
          </w:p>
        </w:tc>
        <w:tc>
          <w:tcPr>
            <w:tcW w:type="dxa" w:w="356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Description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T1195.002</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Compromise Software Supply Chain</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Backdoor inserted directly into build pipeline producing signed Orion updates</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T1553.002</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Code Signing</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Malicious code signed with legitimate SolarWinds certificate, bypassing signature validation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T1027</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Obfuscated Files / Information</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SUNBURST dormant for 12-14 days post-install to evade sandbox analysis</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T1078</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Valid Accounts</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Compromised credentials used for lateral movement post-initial access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CIS Controls v8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CIS Control</w:t>
            </w:r>
          </w:p>
        </w:tc>
        <w:tc>
          <w:tcPr>
            <w:tcW w:type="dxa" w:w="32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Control Name</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Application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2</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Inventory and Control of Software Assets</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Build toolchain not treated as a tracked software asset</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16</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Application Software Security</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integrity verification or code signing validation in the build pipeline</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15</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Service Provider Management</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SolarWinds's internal security posture not assessed by its own customers</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6</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Access Control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separation of duties in the software release and signing process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Maturity Tier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1B3A6B" w:sz="6"/>
              <w:left w:val="single" w:color="1B3A6B" w:sz="6"/>
              <w:bottom w:val="single" w:color="1B3A6B" w:sz="6"/>
              <w:right w:val="single" w:color="1B3A6B" w:sz="6"/>
            </w:tcBorders>
            <w:shd w:fill="56657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Maturity Tier Assessment</w:t>
            </w:r>
          </w:p>
        </w:tc>
      </w:tr>
      <w:tr>
        <w:tc>
          <w:tcPr>
            <w:tcW w:type="dxa" w:w="234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1</w:t>
            </w:r>
          </w:p>
          <w:p>
            <w:pPr>
              <w:spacing w:after="60" w:before="0"/>
              <w:jc w:val="center"/>
            </w:pPr>
            <w:r>
              <w:rPr>
                <w:rFonts w:ascii="Arial" w:cs="Arial" w:eastAsia="Arial" w:hAnsi="Arial"/>
                <w:color w:val="FFFFFF"/>
                <w:sz w:val="16"/>
                <w:szCs w:val="16"/>
              </w:rPr>
              <w:t xml:space="preserve">Partial</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2</w:t>
            </w:r>
          </w:p>
          <w:p>
            <w:pPr>
              <w:spacing w:after="60" w:before="0"/>
              <w:jc w:val="center"/>
            </w:pPr>
            <w:r>
              <w:rPr>
                <w:rFonts w:ascii="Arial" w:cs="Arial" w:eastAsia="Arial" w:hAnsi="Arial"/>
                <w:color w:val="1B3A6B"/>
                <w:sz w:val="16"/>
                <w:szCs w:val="16"/>
              </w:rPr>
              <w:t xml:space="preserve">Risk Informed</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3</w:t>
            </w:r>
          </w:p>
          <w:p>
            <w:pPr>
              <w:spacing w:after="60" w:before="0"/>
              <w:jc w:val="center"/>
            </w:pPr>
            <w:r>
              <w:rPr>
                <w:rFonts w:ascii="Arial" w:cs="Arial" w:eastAsia="Arial" w:hAnsi="Arial"/>
                <w:color w:val="1B3A6B"/>
                <w:sz w:val="16"/>
                <w:szCs w:val="16"/>
              </w:rPr>
              <w:t xml:space="preserve">Repeatable</w:t>
            </w:r>
          </w:p>
        </w:tc>
        <w:tc>
          <w:tcPr>
            <w:tcW w:type="dxa" w:w="234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4</w:t>
            </w:r>
          </w:p>
          <w:p>
            <w:pPr>
              <w:spacing w:after="60" w:before="0"/>
              <w:jc w:val="center"/>
            </w:pPr>
            <w:r>
              <w:rPr>
                <w:rFonts w:ascii="Arial" w:cs="Arial" w:eastAsia="Arial" w:hAnsi="Arial"/>
                <w:color w:val="FFFFFF"/>
                <w:sz w:val="16"/>
                <w:szCs w:val="16"/>
              </w:rPr>
              <w:t xml:space="preserve">Adaptive</w:t>
            </w:r>
          </w:p>
        </w:tc>
      </w:tr>
      <w:tr>
        <w:tc>
          <w:tcPr>
            <w:tcW w:type="dxa" w:w="9360"/>
            <w:gridSpan w:val="4"/>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Current: Tier 1 (Partial)  |  </w:t>
            </w:r>
            <w:r>
              <w:rPr>
                <w:rFonts w:ascii="Arial" w:cs="Arial" w:eastAsia="Arial" w:hAnsi="Arial"/>
                <w:b/>
                <w:bCs/>
                <w:color w:val="1E8449"/>
                <w:sz w:val="18"/>
                <w:szCs w:val="18"/>
              </w:rPr>
              <w:t xml:space="preserve">Target: Tier 4 (Adaptive)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2.0 Govern (GV) Function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2.0 Govern (GV) Function Linkage</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GV.SC-01 — </w:t>
            </w:r>
            <w:r>
              <w:rPr>
                <w:rFonts w:ascii="Arial" w:cs="Arial" w:eastAsia="Arial" w:hAnsi="Arial"/>
                <w:sz w:val="19"/>
                <w:szCs w:val="19"/>
              </w:rPr>
              <w:t xml:space="preserve">No cyber supply chain risk management programme — build pipeline not classified as critical infrastructure</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GV.SC-06 — </w:t>
            </w:r>
            <w:r>
              <w:rPr>
                <w:rFonts w:ascii="Arial" w:cs="Arial" w:eastAsia="Arial" w:hAnsi="Arial"/>
                <w:sz w:val="19"/>
                <w:szCs w:val="19"/>
              </w:rPr>
              <w:t xml:space="preserve">No personnel requirements for supply chain roles — build engineers had unconstrained access to signing keys</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GV.OC-05 — </w:t>
            </w:r>
            <w:r>
              <w:rPr>
                <w:rFonts w:ascii="Arial" w:cs="Arial" w:eastAsia="Arial" w:hAnsi="Arial"/>
                <w:sz w:val="19"/>
                <w:szCs w:val="19"/>
              </w:rPr>
              <w:t xml:space="preserve">Legal and regulatory requirements around software integrity not identified or communicated to engineering</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Root Cause Analysis — What Failed</w:t>
      </w:r>
    </w:p>
    <w:p>
      <w:pPr>
        <w:pStyle w:val="ListParagraph"/>
        <w:numPr>
          <w:ilvl w:val="0"/>
          <w:numId w:val="2"/>
        </w:numPr>
        <w:spacing w:after="40" w:before="40"/>
      </w:pPr>
      <w:r>
        <w:rPr>
          <w:rFonts w:ascii="Arial" w:cs="Arial" w:eastAsia="Arial" w:hAnsi="Arial"/>
          <w:sz w:val="20"/>
          <w:szCs w:val="20"/>
        </w:rPr>
        <w:t xml:space="preserve">Build pipeline lacked cryptographic build artefact signing and integrity verification at each stage</w:t>
      </w:r>
    </w:p>
    <w:p>
      <w:pPr>
        <w:pStyle w:val="ListParagraph"/>
        <w:numPr>
          <w:ilvl w:val="0"/>
          <w:numId w:val="2"/>
        </w:numPr>
        <w:spacing w:after="40" w:before="40"/>
      </w:pPr>
      <w:r>
        <w:rPr>
          <w:rFonts w:ascii="Arial" w:cs="Arial" w:eastAsia="Arial" w:hAnsi="Arial"/>
          <w:sz w:val="20"/>
          <w:szCs w:val="20"/>
        </w:rPr>
        <w:t xml:space="preserve">No separation of duties in the software release process — engineers could modify and release without independent review</w:t>
      </w:r>
    </w:p>
    <w:p>
      <w:pPr>
        <w:pStyle w:val="ListParagraph"/>
        <w:numPr>
          <w:ilvl w:val="0"/>
          <w:numId w:val="2"/>
        </w:numPr>
        <w:spacing w:after="40" w:before="40"/>
      </w:pPr>
      <w:r>
        <w:rPr>
          <w:rFonts w:ascii="Arial" w:cs="Arial" w:eastAsia="Arial" w:hAnsi="Arial"/>
          <w:sz w:val="20"/>
          <w:szCs w:val="20"/>
        </w:rPr>
        <w:t xml:space="preserve">SolarWinds's FTP server used password 'solarwinds123', publicly exposed on GitHub prior to the breach</w:t>
      </w:r>
    </w:p>
    <w:p>
      <w:pPr>
        <w:pStyle w:val="ListParagraph"/>
        <w:numPr>
          <w:ilvl w:val="0"/>
          <w:numId w:val="2"/>
        </w:numPr>
        <w:spacing w:after="40" w:before="40"/>
      </w:pPr>
      <w:r>
        <w:rPr>
          <w:rFonts w:ascii="Arial" w:cs="Arial" w:eastAsia="Arial" w:hAnsi="Arial"/>
          <w:sz w:val="20"/>
          <w:szCs w:val="20"/>
        </w:rPr>
        <w:t xml:space="preserve">Customers had no visibility into which Orion versions they were running — no SBOM published</w:t>
      </w:r>
    </w:p>
    <w:p>
      <w:pPr>
        <w:pStyle w:val="ListParagraph"/>
        <w:numPr>
          <w:ilvl w:val="0"/>
          <w:numId w:val="2"/>
        </w:numPr>
        <w:spacing w:after="40" w:before="40"/>
      </w:pPr>
      <w:r>
        <w:rPr>
          <w:rFonts w:ascii="Arial" w:cs="Arial" w:eastAsia="Arial" w:hAnsi="Arial"/>
          <w:sz w:val="20"/>
          <w:szCs w:val="20"/>
        </w:rPr>
        <w:t xml:space="preserve">Compromise went undetected for nine months due to absence of build pipeline monitoring</w:t>
      </w:r>
    </w:p>
    <w:p>
      <w:pPr>
        <w:pStyle w:val="ListParagraph"/>
        <w:numPr>
          <w:ilvl w:val="0"/>
          <w:numId w:val="2"/>
        </w:numPr>
        <w:spacing w:after="40" w:before="40"/>
      </w:pPr>
      <w:r>
        <w:rPr>
          <w:rFonts w:ascii="Arial" w:cs="Arial" w:eastAsia="Arial" w:hAnsi="Arial"/>
          <w:sz w:val="20"/>
          <w:szCs w:val="20"/>
        </w:rPr>
        <w:t xml:space="preserve">Nation-state TTPs deliberately mimicked legitimate Orion network behaviour to evade detection</w:t>
      </w:r>
    </w:p>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Control Recommendations</w:t>
      </w:r>
    </w:p>
    <w:p>
      <w:pPr>
        <w:pStyle w:val="ListParagraph"/>
        <w:numPr>
          <w:ilvl w:val="0"/>
          <w:numId w:val="2"/>
        </w:numPr>
        <w:spacing w:after="40" w:before="40"/>
      </w:pPr>
      <w:r>
        <w:rPr>
          <w:rFonts w:ascii="Arial" w:cs="Arial" w:eastAsia="Arial" w:hAnsi="Arial"/>
          <w:sz w:val="20"/>
          <w:szCs w:val="20"/>
        </w:rPr>
        <w:t xml:space="preserve">Treat your own build pipeline as a Tier-1 critical asset requiring the same controls as production systems</w:t>
      </w:r>
    </w:p>
    <w:p>
      <w:pPr>
        <w:pStyle w:val="ListParagraph"/>
        <w:numPr>
          <w:ilvl w:val="0"/>
          <w:numId w:val="2"/>
        </w:numPr>
        <w:spacing w:after="40" w:before="40"/>
      </w:pPr>
      <w:r>
        <w:rPr>
          <w:rFonts w:ascii="Arial" w:cs="Arial" w:eastAsia="Arial" w:hAnsi="Arial"/>
          <w:sz w:val="20"/>
          <w:szCs w:val="20"/>
        </w:rPr>
        <w:t xml:space="preserve">Implement SLSA (Supply chain Levels for Software Artefacts) Level 3+ — sign every build artefact at each stage</w:t>
      </w:r>
    </w:p>
    <w:p>
      <w:pPr>
        <w:pStyle w:val="ListParagraph"/>
        <w:numPr>
          <w:ilvl w:val="0"/>
          <w:numId w:val="2"/>
        </w:numPr>
        <w:spacing w:after="40" w:before="40"/>
      </w:pPr>
      <w:r>
        <w:rPr>
          <w:rFonts w:ascii="Arial" w:cs="Arial" w:eastAsia="Arial" w:hAnsi="Arial"/>
          <w:sz w:val="20"/>
          <w:szCs w:val="20"/>
        </w:rPr>
        <w:t xml:space="preserve">Publish a Software Bill of Materials for all products to enable rapid downstream impact assessment</w:t>
      </w:r>
    </w:p>
    <w:p>
      <w:pPr>
        <w:pStyle w:val="ListParagraph"/>
        <w:numPr>
          <w:ilvl w:val="0"/>
          <w:numId w:val="2"/>
        </w:numPr>
        <w:spacing w:after="40" w:before="40"/>
      </w:pPr>
      <w:r>
        <w:rPr>
          <w:rFonts w:ascii="Arial" w:cs="Arial" w:eastAsia="Arial" w:hAnsi="Arial"/>
          <w:sz w:val="20"/>
          <w:szCs w:val="20"/>
        </w:rPr>
        <w:t xml:space="preserve">Apply zero-trust principles inside the development environment — no implicit trust between build systems</w:t>
      </w:r>
    </w:p>
    <w:p>
      <w:pPr>
        <w:pStyle w:val="ListParagraph"/>
        <w:numPr>
          <w:ilvl w:val="0"/>
          <w:numId w:val="2"/>
        </w:numPr>
        <w:spacing w:after="40" w:before="40"/>
      </w:pPr>
      <w:r>
        <w:rPr>
          <w:rFonts w:ascii="Arial" w:cs="Arial" w:eastAsia="Arial" w:hAnsi="Arial"/>
          <w:sz w:val="20"/>
          <w:szCs w:val="20"/>
        </w:rPr>
        <w:t xml:space="preserve">Enforce separation of duties: code review, build signing, and release authorisation must be independent roles</w:t>
      </w:r>
    </w:p>
    <w:p>
      <w:pPr>
        <w:pStyle w:val="ListParagraph"/>
        <w:numPr>
          <w:ilvl w:val="0"/>
          <w:numId w:val="2"/>
        </w:numPr>
        <w:spacing w:after="40" w:before="40"/>
      </w:pPr>
      <w:r>
        <w:rPr>
          <w:rFonts w:ascii="Arial" w:cs="Arial" w:eastAsia="Arial" w:hAnsi="Arial"/>
          <w:sz w:val="20"/>
          <w:szCs w:val="20"/>
        </w:rPr>
        <w:t xml:space="preserve">Conduct annual red-team exercises specifically targeting the software supply chain and build pipeline</w:t>
      </w:r>
    </w:p>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Capstone Analysis</w:t>
            </w:r>
          </w:p>
        </w:tc>
      </w:tr>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vAlign w:val="top"/>
          </w:tcPr>
          <w:p>
            <w:pPr>
              <w:spacing w:after="80" w:before="80"/>
              <w:jc w:val="left"/>
            </w:pPr>
            <w:r>
              <w:rPr>
                <w:rFonts w:ascii="Arial" w:cs="Arial" w:eastAsia="Arial" w:hAnsi="Arial"/>
                <w:b/>
                <w:bCs/>
                <w:color w:val="1B3A6B"/>
                <w:sz w:val="19"/>
                <w:szCs w:val="19"/>
              </w:rPr>
              <w:t xml:space="preserve">Q: What NIST ID.SC controls are now mandatory for federal suppliers post-SolarWinds?</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Executive Order 14028 (May 2021) directly codified NIST ID.SC-1 through ID.SC-4 into federal procurement requirements. All software suppliers to the US government must now produce a Software Bill of Materials, adopt SLSA-compliant build integrity practices, and submit to third-party supply chain risk assessments. CISA's Secure Software Development Attestation form requires CEOs and security officers to formally attest to these controls. SolarWinds transformed the voluntary NIST supply chain guidance into mandatory federal law within 18 months.</w:t>
            </w:r>
          </w:p>
        </w:tc>
      </w:tr>
    </w:tbl>
    <w:p>
      <w:pPr>
        <w:spacing w:after="0" w:before="1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E67E22"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Analyst Assessment</w:t>
            </w:r>
          </w:p>
        </w:tc>
      </w:tr>
      <w:tr>
        <w:tc>
          <w:tcPr>
            <w:tcW w:type="dxa" w:w="9360"/>
            <w:tcBorders>
              <w:top w:val="single" w:color="E67E22" w:sz="6"/>
              <w:left w:val="single" w:color="E67E22" w:sz="6"/>
              <w:bottom w:val="single" w:color="E67E22" w:sz="6"/>
              <w:right w:val="single" w:color="E67E22" w:sz="6"/>
            </w:tcBorders>
            <w:shd w:fill="FDEBD0" w:val="clear"/>
            <w:tcMar>
              <w:top w:type="dxa" w:w="100"/>
              <w:left w:type="dxa" w:w="140"/>
              <w:bottom w:type="dxa" w:w="100"/>
              <w:right w:type="dxa" w:w="140"/>
            </w:tcMar>
            <w:vAlign w:val="top"/>
          </w:tcPr>
          <w:p>
            <w:pPr>
              <w:spacing w:after="80" w:before="80"/>
              <w:jc w:val="left"/>
            </w:pPr>
            <w:r>
              <w:rPr>
                <w:rFonts w:ascii="Arial" w:cs="Arial" w:eastAsia="Arial" w:hAnsi="Arial"/>
                <w:color w:val="1B3A6B"/>
                <w:sz w:val="19"/>
                <w:szCs w:val="19"/>
              </w:rPr>
              <w:t xml:space="preserve">SolarWinds represents the most strategically significant incident in this capstone. It demonstrated that nation-state actors have shifted from direct network intrusion to software supply chain compromise — attacking the distribution mechanism rather than the target. For mid-level analysts, the key takeaway is that your organisation's attack surface includes every piece of software your vendors produce. ID.SC is no longer theoretical; it is an existential control for any organisation with federal customers or critical infrastructure dependencies.</w:t>
            </w:r>
          </w:p>
        </w:tc>
      </w:tr>
    </w:tbl>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8"/>
              <w:left w:val="single" w:color="17A589" w:sz="8"/>
              <w:bottom w:val="single" w:color="17A589" w:sz="8"/>
              <w:right w:val="single" w:color="17A589" w:sz="8"/>
            </w:tcBorders>
            <w:shd w:fill="17A589" w:val="clear"/>
            <w:tcMar>
              <w:top w:type="dxa" w:w="100"/>
              <w:left w:type="dxa" w:w="140"/>
              <w:bottom w:type="dxa" w:w="100"/>
              <w:right w:type="dxa" w:w="140"/>
            </w:tcMar>
            <w:vAlign w:val="top"/>
          </w:tcPr>
          <w:p>
            <w:pPr>
              <w:spacing w:after="20" w:before="60"/>
              <w:jc w:val="center"/>
            </w:pPr>
            <w:r>
              <w:rPr>
                <w:rFonts w:ascii="Arial" w:cs="Arial" w:eastAsia="Arial" w:hAnsi="Arial"/>
                <w:b/>
                <w:bCs/>
                <w:color w:val="FFFFFF"/>
                <w:sz w:val="28"/>
                <w:szCs w:val="28"/>
              </w:rPr>
              <w:t xml:space="preserve">FUNCTION 2: PROTECT (PR)  —  Implement safeguards to ensure delivery of critical services</w:t>
            </w:r>
          </w:p>
          <w:p>
            <w:pPr>
              <w:spacing w:after="60" w:before="0"/>
              <w:jc w:val="center"/>
            </w:pPr>
            <w:r>
              <w:rPr>
                <w:rFonts w:ascii="Arial" w:cs="Arial" w:eastAsia="Arial" w:hAnsi="Arial"/>
                <w:color w:val="FFFFFF"/>
                <w:sz w:val="18"/>
                <w:szCs w:val="18"/>
              </w:rPr>
              <w:t xml:space="preserve">Develop and implement appropriate safeguards to ensure delivery of critical services.</w:t>
            </w:r>
          </w:p>
        </w:tc>
      </w:tr>
    </w:tbl>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20" w:before="80"/>
              <w:jc w:val="left"/>
            </w:pPr>
            <w:r>
              <w:rPr>
                <w:rFonts w:ascii="Arial" w:cs="Arial" w:eastAsia="Arial" w:hAnsi="Arial"/>
                <w:b/>
                <w:bCs/>
                <w:color w:val="FFFFFF"/>
                <w:sz w:val="26"/>
                <w:szCs w:val="26"/>
              </w:rPr>
              <w:t xml:space="preserve">Case Study 3: </w:t>
            </w:r>
            <w:r>
              <w:rPr>
                <w:rFonts w:ascii="Arial" w:cs="Arial" w:eastAsia="Arial" w:hAnsi="Arial"/>
                <w:b/>
                <w:bCs/>
                <w:color w:val="FFFFFF"/>
                <w:sz w:val="26"/>
                <w:szCs w:val="26"/>
              </w:rPr>
              <w:t xml:space="preserve">Uber</w:t>
            </w:r>
          </w:p>
          <w:p>
            <w:pPr>
              <w:spacing w:after="80" w:before="0"/>
              <w:jc w:val="left"/>
            </w:pPr>
            <w:r>
              <w:rPr>
                <w:rFonts w:ascii="Arial" w:cs="Arial" w:eastAsia="Arial" w:hAnsi="Arial"/>
                <w:color w:val="D6E4F0"/>
                <w:sz w:val="18"/>
                <w:szCs w:val="18"/>
              </w:rPr>
              <w:t xml:space="preserve">Technology / Ride-Sharing  ·  2016</w:t>
            </w:r>
          </w:p>
        </w:tc>
        <w:tc>
          <w:tcPr>
            <w:tcW w:type="dxa" w:w="2621"/>
            <w:tcBorders>
              <w:top w:val="single" w:color="D5D8DC" w:sz="4"/>
              <w:left w:val="single" w:color="D5D8DC" w:sz="4"/>
              <w:bottom w:val="single" w:color="D5D8DC" w:sz="4"/>
              <w:right w:val="single" w:color="D5D8DC" w:sz="4"/>
            </w:tcBorders>
            <w:shd w:fill="17A589" w:val="clear"/>
            <w:tcMar>
              <w:top w:type="dxa" w:w="100"/>
              <w:left w:type="dxa" w:w="140"/>
              <w:bottom w:type="dxa" w:w="100"/>
              <w:right w:type="dxa" w:w="140"/>
            </w:tcMar>
            <w:vAlign w:val="center"/>
          </w:tcPr>
          <w:p>
            <w:pPr>
              <w:spacing w:after="10" w:before="40"/>
              <w:jc w:val="center"/>
            </w:pPr>
            <w:r>
              <w:rPr>
                <w:rFonts w:ascii="Arial" w:cs="Arial" w:eastAsia="Arial" w:hAnsi="Arial"/>
                <w:color w:val="FFFFFF"/>
                <w:sz w:val="16"/>
                <w:szCs w:val="16"/>
              </w:rPr>
              <w:t xml:space="preserve">NIST CSF Function</w:t>
            </w:r>
          </w:p>
          <w:p>
            <w:pPr>
              <w:spacing w:after="40" w:before="0"/>
              <w:jc w:val="center"/>
            </w:pPr>
            <w:r>
              <w:rPr>
                <w:rFonts w:ascii="Arial" w:cs="Arial" w:eastAsia="Arial" w:hAnsi="Arial"/>
                <w:b/>
                <w:bCs/>
                <w:color w:val="FFFFFF"/>
                <w:sz w:val="30"/>
                <w:szCs w:val="30"/>
              </w:rPr>
              <w:t xml:space="preserve">PR</w:t>
            </w:r>
          </w:p>
        </w:tc>
      </w:tr>
    </w:tbl>
    <w:p>
      <w:pPr>
        <w:spacing w:after="0" w:before="10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Incident Summary</w:t>
      </w:r>
    </w:p>
    <w:p>
      <w:pPr>
        <w:spacing w:after="80" w:before="80"/>
        <w:jc w:val="left"/>
      </w:pPr>
      <w:r>
        <w:rPr>
          <w:rFonts w:ascii="Arial" w:cs="Arial" w:eastAsia="Arial" w:hAnsi="Arial"/>
          <w:sz w:val="20"/>
          <w:szCs w:val="20"/>
        </w:rPr>
        <w:t xml:space="preserve">Uber developers committed AWS access keys to a private GitHub repository, which was subsequently made public. Attackers discovered the credentials, accessed Amazon S3 buckets containing the personal data of 57 million users and drivers, and demanded a ransom of $100,000. Uber paid the ransom and deliberately concealed the breach from regulators and affected individuals for 12 months, compounding a data breach into a cover-up.</w:t>
      </w:r>
    </w:p>
    <w:p>
      <w:pPr>
        <w:spacing w:after="80" w:before="80"/>
        <w:jc w:val="left"/>
      </w:pPr>
      <w:r>
        <w:rPr>
          <w:rFonts w:ascii="Arial" w:cs="Arial" w:eastAsia="Arial" w:hAnsi="Arial"/>
          <w:b w:val="false"/>
          <w:bCs w:val="false"/>
          <w:sz w:val="20"/>
          <w:szCs w:val="20"/>
        </w:rPr>
        <w:t xml:space="preserve">Root Cause: No secrets management programme. Developers committed plain-text credentials to version control with no automated detection, alerting, or remediation controls.</w:t>
      </w:r>
    </w:p>
    <w:p>
      <w:pPr>
        <w:spacing w:after="0" w:before="8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Impact Metric</w:t>
            </w:r>
          </w:p>
        </w:tc>
        <w:tc>
          <w:tcPr>
            <w:tcW w:type="dxa" w:w="6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Data</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Financial Cost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$148 million multi-state Attorney General settlement</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Records Exposed</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57 million riders and drivers (name, email, phone, driver's licence numbers)</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Ransom Paid</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$100,000 paid to attackers disguised as a bug bounty payout</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Regulatory Fine</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$148 million settlement; CSO Joe Sullivan criminally convicted</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Criminal Consequence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Uber's CSO convicted of obstruction of justice — a landmark ruling for security executives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CSF Subcategory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C0392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NIST CSF Subcategory Gaps Identified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PR.DS-1 — </w:t>
            </w:r>
            <w:r>
              <w:rPr>
                <w:rFonts w:ascii="Arial" w:cs="Arial" w:eastAsia="Arial" w:hAnsi="Arial"/>
                <w:sz w:val="19"/>
                <w:szCs w:val="19"/>
              </w:rPr>
              <w:t xml:space="preserve">Data at rest not protected — S3 buckets not encrypted</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PR.DS-2 — </w:t>
            </w:r>
            <w:r>
              <w:rPr>
                <w:rFonts w:ascii="Arial" w:cs="Arial" w:eastAsia="Arial" w:hAnsi="Arial"/>
                <w:sz w:val="19"/>
                <w:szCs w:val="19"/>
              </w:rPr>
              <w:t xml:space="preserve">Data in transit not protected adequately</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PR.AC-4 — </w:t>
            </w:r>
            <w:r>
              <w:rPr>
                <w:rFonts w:ascii="Arial" w:cs="Arial" w:eastAsia="Arial" w:hAnsi="Arial"/>
                <w:sz w:val="19"/>
                <w:szCs w:val="19"/>
              </w:rPr>
              <w:t xml:space="preserve">Access permissions not managed per least-privilege principle</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PR.IP-3 — </w:t>
            </w:r>
            <w:r>
              <w:rPr>
                <w:rFonts w:ascii="Arial" w:cs="Arial" w:eastAsia="Arial" w:hAnsi="Arial"/>
                <w:sz w:val="19"/>
                <w:szCs w:val="19"/>
              </w:rPr>
              <w:t xml:space="preserve">Configuration change control not in place for cloud resources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ATT&amp;CK ID</w:t>
            </w:r>
          </w:p>
        </w:tc>
        <w:tc>
          <w:tcPr>
            <w:tcW w:type="dxa" w:w="38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Technique</w:t>
            </w:r>
          </w:p>
        </w:tc>
        <w:tc>
          <w:tcPr>
            <w:tcW w:type="dxa" w:w="356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Description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T1552.001</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Credentials in Files</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AWS keys found hardcoded in GitHub repository</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T1530</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from Cloud Storage</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S3 bucket accessed directly using stolen AWS credentials</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T1537</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Transfer Data to Cloud Account</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Data staged and exfiltrated to attacker-controlled cloud storage</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T1657</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Financial Theft</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Ransom demanded and paid under cover of bug bounty programme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CIS Controls v8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CIS Control</w:t>
            </w:r>
          </w:p>
        </w:tc>
        <w:tc>
          <w:tcPr>
            <w:tcW w:type="dxa" w:w="32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Control Name</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Application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3</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Protection</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S3 buckets not encrypted at rest; no data classification programme</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6</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Access Control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IAM least-privilege policy; exposed keys had broad S3 read access</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16</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Application Software Security</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pre-commit secret scanning; no developer security training</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17</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Incident Response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Breach concealed for 12 months — fundamentally failed IR obligation</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Maturity Tier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1B3A6B" w:sz="6"/>
              <w:left w:val="single" w:color="1B3A6B" w:sz="6"/>
              <w:bottom w:val="single" w:color="1B3A6B" w:sz="6"/>
              <w:right w:val="single" w:color="1B3A6B" w:sz="6"/>
            </w:tcBorders>
            <w:shd w:fill="56657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Maturity Tier Assessment</w:t>
            </w:r>
          </w:p>
        </w:tc>
      </w:tr>
      <w:tr>
        <w:tc>
          <w:tcPr>
            <w:tcW w:type="dxa" w:w="234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1</w:t>
            </w:r>
          </w:p>
          <w:p>
            <w:pPr>
              <w:spacing w:after="60" w:before="0"/>
              <w:jc w:val="center"/>
            </w:pPr>
            <w:r>
              <w:rPr>
                <w:rFonts w:ascii="Arial" w:cs="Arial" w:eastAsia="Arial" w:hAnsi="Arial"/>
                <w:color w:val="FFFFFF"/>
                <w:sz w:val="16"/>
                <w:szCs w:val="16"/>
              </w:rPr>
              <w:t xml:space="preserve">Partial</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2</w:t>
            </w:r>
          </w:p>
          <w:p>
            <w:pPr>
              <w:spacing w:after="60" w:before="0"/>
              <w:jc w:val="center"/>
            </w:pPr>
            <w:r>
              <w:rPr>
                <w:rFonts w:ascii="Arial" w:cs="Arial" w:eastAsia="Arial" w:hAnsi="Arial"/>
                <w:color w:val="1B3A6B"/>
                <w:sz w:val="16"/>
                <w:szCs w:val="16"/>
              </w:rPr>
              <w:t xml:space="preserve">Risk Informed</w:t>
            </w:r>
          </w:p>
        </w:tc>
        <w:tc>
          <w:tcPr>
            <w:tcW w:type="dxa" w:w="234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3</w:t>
            </w:r>
          </w:p>
          <w:p>
            <w:pPr>
              <w:spacing w:after="60" w:before="0"/>
              <w:jc w:val="center"/>
            </w:pPr>
            <w:r>
              <w:rPr>
                <w:rFonts w:ascii="Arial" w:cs="Arial" w:eastAsia="Arial" w:hAnsi="Arial"/>
                <w:color w:val="FFFFFF"/>
                <w:sz w:val="16"/>
                <w:szCs w:val="16"/>
              </w:rPr>
              <w:t xml:space="preserve">Repeatable</w:t>
            </w:r>
          </w:p>
        </w:tc>
        <w:tc>
          <w:tcPr>
            <w:tcW w:type="dxa" w:w="234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4</w:t>
            </w:r>
          </w:p>
          <w:p>
            <w:pPr>
              <w:spacing w:after="60" w:before="0"/>
              <w:jc w:val="center"/>
            </w:pPr>
            <w:r>
              <w:rPr>
                <w:rFonts w:ascii="Arial" w:cs="Arial" w:eastAsia="Arial" w:hAnsi="Arial"/>
                <w:color w:val="1B3A6B"/>
                <w:sz w:val="16"/>
                <w:szCs w:val="16"/>
              </w:rPr>
              <w:t xml:space="preserve">Adaptive</w:t>
            </w:r>
          </w:p>
        </w:tc>
      </w:tr>
      <w:tr>
        <w:tc>
          <w:tcPr>
            <w:tcW w:type="dxa" w:w="9360"/>
            <w:gridSpan w:val="4"/>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Current: Tier 1 (Partial)  |  </w:t>
            </w:r>
            <w:r>
              <w:rPr>
                <w:rFonts w:ascii="Arial" w:cs="Arial" w:eastAsia="Arial" w:hAnsi="Arial"/>
                <w:b/>
                <w:bCs/>
                <w:color w:val="1E8449"/>
                <w:sz w:val="18"/>
                <w:szCs w:val="18"/>
              </w:rPr>
              <w:t xml:space="preserve">Target: Tier 3 (Repeatable)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2.0 Govern (GV) Function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2.0 Govern (GV) Function Linkage</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GV.OC-02 — </w:t>
            </w:r>
            <w:r>
              <w:rPr>
                <w:rFonts w:ascii="Arial" w:cs="Arial" w:eastAsia="Arial" w:hAnsi="Arial"/>
                <w:sz w:val="19"/>
                <w:szCs w:val="19"/>
              </w:rPr>
              <w:t xml:space="preserve">Legal and regulatory obligations not understood — GDPR/CCPA notification requirements deliberately violated</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GV.RM-06 — </w:t>
            </w:r>
            <w:r>
              <w:rPr>
                <w:rFonts w:ascii="Arial" w:cs="Arial" w:eastAsia="Arial" w:hAnsi="Arial"/>
                <w:sz w:val="19"/>
                <w:szCs w:val="19"/>
              </w:rPr>
              <w:t xml:space="preserve">Risk tolerance not established — paying a ransom and concealing the breach reflects total governance failure</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GV.RR-02 — </w:t>
            </w:r>
            <w:r>
              <w:rPr>
                <w:rFonts w:ascii="Arial" w:cs="Arial" w:eastAsia="Arial" w:hAnsi="Arial"/>
                <w:sz w:val="19"/>
                <w:szCs w:val="19"/>
              </w:rPr>
              <w:t xml:space="preserve">Roles and responsibilities for cybersecurity risk not defined — CSO made unilateral concealment decision</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Root Cause Analysis — What Failed</w:t>
      </w:r>
    </w:p>
    <w:p>
      <w:pPr>
        <w:pStyle w:val="ListParagraph"/>
        <w:numPr>
          <w:ilvl w:val="0"/>
          <w:numId w:val="2"/>
        </w:numPr>
        <w:spacing w:after="40" w:before="40"/>
      </w:pPr>
      <w:r>
        <w:rPr>
          <w:rFonts w:ascii="Arial" w:cs="Arial" w:eastAsia="Arial" w:hAnsi="Arial"/>
          <w:sz w:val="20"/>
          <w:szCs w:val="20"/>
        </w:rPr>
        <w:t xml:space="preserve">AWS access keys hardcoded in a private GitHub repository that was inadvertently set to public</w:t>
      </w:r>
    </w:p>
    <w:p>
      <w:pPr>
        <w:pStyle w:val="ListParagraph"/>
        <w:numPr>
          <w:ilvl w:val="0"/>
          <w:numId w:val="2"/>
        </w:numPr>
        <w:spacing w:after="40" w:before="40"/>
      </w:pPr>
      <w:r>
        <w:rPr>
          <w:rFonts w:ascii="Arial" w:cs="Arial" w:eastAsia="Arial" w:hAnsi="Arial"/>
          <w:sz w:val="20"/>
          <w:szCs w:val="20"/>
        </w:rPr>
        <w:t xml:space="preserve">No secrets scanning tools or pre-commit hooks to detect and block credential commits</w:t>
      </w:r>
    </w:p>
    <w:p>
      <w:pPr>
        <w:pStyle w:val="ListParagraph"/>
        <w:numPr>
          <w:ilvl w:val="0"/>
          <w:numId w:val="2"/>
        </w:numPr>
        <w:spacing w:after="40" w:before="40"/>
      </w:pPr>
      <w:r>
        <w:rPr>
          <w:rFonts w:ascii="Arial" w:cs="Arial" w:eastAsia="Arial" w:hAnsi="Arial"/>
          <w:sz w:val="20"/>
          <w:szCs w:val="20"/>
        </w:rPr>
        <w:t xml:space="preserve">S3 buckets not encrypted at rest and accessible to anyone with the stolen credentials</w:t>
      </w:r>
    </w:p>
    <w:p>
      <w:pPr>
        <w:pStyle w:val="ListParagraph"/>
        <w:numPr>
          <w:ilvl w:val="0"/>
          <w:numId w:val="2"/>
        </w:numPr>
        <w:spacing w:after="40" w:before="40"/>
      </w:pPr>
      <w:r>
        <w:rPr>
          <w:rFonts w:ascii="Arial" w:cs="Arial" w:eastAsia="Arial" w:hAnsi="Arial"/>
          <w:sz w:val="20"/>
          <w:szCs w:val="20"/>
        </w:rPr>
        <w:t xml:space="preserve">No CloudTrail alerting on unusual API activity patterns from the exposed keys</w:t>
      </w:r>
    </w:p>
    <w:p>
      <w:pPr>
        <w:pStyle w:val="ListParagraph"/>
        <w:numPr>
          <w:ilvl w:val="0"/>
          <w:numId w:val="2"/>
        </w:numPr>
        <w:spacing w:after="40" w:before="40"/>
      </w:pPr>
      <w:r>
        <w:rPr>
          <w:rFonts w:ascii="Arial" w:cs="Arial" w:eastAsia="Arial" w:hAnsi="Arial"/>
          <w:sz w:val="20"/>
          <w:szCs w:val="20"/>
        </w:rPr>
        <w:t xml:space="preserve">Breach concealed from regulators and users for 12 months — a deliberate violation of GDPR/CCPA</w:t>
      </w:r>
    </w:p>
    <w:p>
      <w:pPr>
        <w:pStyle w:val="ListParagraph"/>
        <w:numPr>
          <w:ilvl w:val="0"/>
          <w:numId w:val="2"/>
        </w:numPr>
        <w:spacing w:after="40" w:before="40"/>
      </w:pPr>
      <w:r>
        <w:rPr>
          <w:rFonts w:ascii="Arial" w:cs="Arial" w:eastAsia="Arial" w:hAnsi="Arial"/>
          <w:sz w:val="20"/>
          <w:szCs w:val="20"/>
        </w:rPr>
        <w:t xml:space="preserve">Ransom paid and disguised as a bug bounty payment, crossing into criminal territory</w:t>
      </w:r>
    </w:p>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Control Recommendations</w:t>
      </w:r>
    </w:p>
    <w:p>
      <w:pPr>
        <w:pStyle w:val="ListParagraph"/>
        <w:numPr>
          <w:ilvl w:val="0"/>
          <w:numId w:val="2"/>
        </w:numPr>
        <w:spacing w:after="40" w:before="40"/>
      </w:pPr>
      <w:r>
        <w:rPr>
          <w:rFonts w:ascii="Arial" w:cs="Arial" w:eastAsia="Arial" w:hAnsi="Arial"/>
          <w:sz w:val="20"/>
          <w:szCs w:val="20"/>
        </w:rPr>
        <w:t xml:space="preserve">Enforce secrets management via HashiCorp Vault, AWS Secrets Manager, or Azure Key Vault — never hardcode credentials</w:t>
      </w:r>
    </w:p>
    <w:p>
      <w:pPr>
        <w:pStyle w:val="ListParagraph"/>
        <w:numPr>
          <w:ilvl w:val="0"/>
          <w:numId w:val="2"/>
        </w:numPr>
        <w:spacing w:after="40" w:before="40"/>
      </w:pPr>
      <w:r>
        <w:rPr>
          <w:rFonts w:ascii="Arial" w:cs="Arial" w:eastAsia="Arial" w:hAnsi="Arial"/>
          <w:sz w:val="20"/>
          <w:szCs w:val="20"/>
        </w:rPr>
        <w:t xml:space="preserve">Implement pre-commit hooks with Gitleaks or TruffleHog to block secrets before they reach any repository</w:t>
      </w:r>
    </w:p>
    <w:p>
      <w:pPr>
        <w:pStyle w:val="ListParagraph"/>
        <w:numPr>
          <w:ilvl w:val="0"/>
          <w:numId w:val="2"/>
        </w:numPr>
        <w:spacing w:after="40" w:before="40"/>
      </w:pPr>
      <w:r>
        <w:rPr>
          <w:rFonts w:ascii="Arial" w:cs="Arial" w:eastAsia="Arial" w:hAnsi="Arial"/>
          <w:sz w:val="20"/>
          <w:szCs w:val="20"/>
        </w:rPr>
        <w:t xml:space="preserve">Enable server-side encryption (SSE-KMS) on all S3 buckets by default — make encryption a non-negotiable baseline</w:t>
      </w:r>
    </w:p>
    <w:p>
      <w:pPr>
        <w:pStyle w:val="ListParagraph"/>
        <w:numPr>
          <w:ilvl w:val="0"/>
          <w:numId w:val="2"/>
        </w:numPr>
        <w:spacing w:after="40" w:before="40"/>
      </w:pPr>
      <w:r>
        <w:rPr>
          <w:rFonts w:ascii="Arial" w:cs="Arial" w:eastAsia="Arial" w:hAnsi="Arial"/>
          <w:sz w:val="20"/>
          <w:szCs w:val="20"/>
        </w:rPr>
        <w:t xml:space="preserve">Apply IAM least-privilege: restrict S3 bucket access to specific service roles with defined permissions</w:t>
      </w:r>
    </w:p>
    <w:p>
      <w:pPr>
        <w:pStyle w:val="ListParagraph"/>
        <w:numPr>
          <w:ilvl w:val="0"/>
          <w:numId w:val="2"/>
        </w:numPr>
        <w:spacing w:after="40" w:before="40"/>
      </w:pPr>
      <w:r>
        <w:rPr>
          <w:rFonts w:ascii="Arial" w:cs="Arial" w:eastAsia="Arial" w:hAnsi="Arial"/>
          <w:sz w:val="20"/>
          <w:szCs w:val="20"/>
        </w:rPr>
        <w:t xml:space="preserve">Enable AWS CloudTrail and configure alerts for unusual API call volumes and cross-region access</w:t>
      </w:r>
    </w:p>
    <w:p>
      <w:pPr>
        <w:pStyle w:val="ListParagraph"/>
        <w:numPr>
          <w:ilvl w:val="0"/>
          <w:numId w:val="2"/>
        </w:numPr>
        <w:spacing w:after="40" w:before="40"/>
      </w:pPr>
      <w:r>
        <w:rPr>
          <w:rFonts w:ascii="Arial" w:cs="Arial" w:eastAsia="Arial" w:hAnsi="Arial"/>
          <w:sz w:val="20"/>
          <w:szCs w:val="20"/>
        </w:rPr>
        <w:t xml:space="preserve">Build a documented 72-hour breach notification workflow — concealment of a breach is a criminal liability, not a PR decision</w:t>
      </w:r>
    </w:p>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Capstone Analysis</w:t>
            </w:r>
          </w:p>
        </w:tc>
      </w:tr>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vAlign w:val="top"/>
          </w:tcPr>
          <w:p>
            <w:pPr>
              <w:spacing w:after="80" w:before="80"/>
              <w:jc w:val="left"/>
            </w:pPr>
            <w:r>
              <w:rPr>
                <w:rFonts w:ascii="Arial" w:cs="Arial" w:eastAsia="Arial" w:hAnsi="Arial"/>
                <w:b/>
                <w:bCs/>
                <w:color w:val="1B3A6B"/>
                <w:sz w:val="19"/>
                <w:szCs w:val="19"/>
              </w:rPr>
              <w:t xml:space="preserve">Q: How does PR.DS-1 apply to cloud storage environments like AWS S3?</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PR.DS-1 requires that data at rest be protected. In an S3 context this means SSE-KMS encryption enabled by default on all buckets, bucket policies explicitly blocking public access, IAM roles following strict least privilege, S3 Block Public Access enabled at the account level, and CloudTrail enabled to detect access anomalies. Uber's S3 buckets failed every one of these requirements simultaneously. A mature PR.DS-1 implementation means that even if an attacker obtains credentials, the data they access is encrypted and their access generates immediate alerts.</w:t>
            </w:r>
          </w:p>
        </w:tc>
      </w:tr>
    </w:tbl>
    <w:p>
      <w:pPr>
        <w:spacing w:after="0" w:before="1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E67E22"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Analyst Assessment</w:t>
            </w:r>
          </w:p>
        </w:tc>
      </w:tr>
      <w:tr>
        <w:tc>
          <w:tcPr>
            <w:tcW w:type="dxa" w:w="9360"/>
            <w:tcBorders>
              <w:top w:val="single" w:color="E67E22" w:sz="6"/>
              <w:left w:val="single" w:color="E67E22" w:sz="6"/>
              <w:bottom w:val="single" w:color="E67E22" w:sz="6"/>
              <w:right w:val="single" w:color="E67E22" w:sz="6"/>
            </w:tcBorders>
            <w:shd w:fill="FDEBD0" w:val="clear"/>
            <w:tcMar>
              <w:top w:type="dxa" w:w="100"/>
              <w:left w:type="dxa" w:w="140"/>
              <w:bottom w:type="dxa" w:w="100"/>
              <w:right w:type="dxa" w:w="140"/>
            </w:tcMar>
            <w:vAlign w:val="top"/>
          </w:tcPr>
          <w:p>
            <w:pPr>
              <w:spacing w:after="80" w:before="80"/>
              <w:jc w:val="left"/>
            </w:pPr>
            <w:r>
              <w:rPr>
                <w:rFonts w:ascii="Arial" w:cs="Arial" w:eastAsia="Arial" w:hAnsi="Arial"/>
                <w:color w:val="1B3A6B"/>
                <w:sz w:val="19"/>
                <w:szCs w:val="19"/>
              </w:rPr>
              <w:t xml:space="preserve">The Uber case is uniquely important because it created the precedent for criminal liability of a CISO. Joe Sullivan's conviction for obstruction of justice fundamentally changed the risk calculus for security executives. Mid-level analysts should understand that PR controls are not just technical — their absence creates personal legal exposure for the security team. The concealment decision transformed a manageable data breach into a criminal case. This case should be referenced in any discussion of breach notification policy.</w:t>
            </w:r>
          </w:p>
        </w:tc>
      </w:tr>
    </w:tbl>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20" w:before="80"/>
              <w:jc w:val="left"/>
            </w:pPr>
            <w:r>
              <w:rPr>
                <w:rFonts w:ascii="Arial" w:cs="Arial" w:eastAsia="Arial" w:hAnsi="Arial"/>
                <w:b/>
                <w:bCs/>
                <w:color w:val="FFFFFF"/>
                <w:sz w:val="26"/>
                <w:szCs w:val="26"/>
              </w:rPr>
              <w:t xml:space="preserve">Case Study 4: </w:t>
            </w:r>
            <w:r>
              <w:rPr>
                <w:rFonts w:ascii="Arial" w:cs="Arial" w:eastAsia="Arial" w:hAnsi="Arial"/>
                <w:b/>
                <w:bCs/>
                <w:color w:val="FFFFFF"/>
                <w:sz w:val="26"/>
                <w:szCs w:val="26"/>
              </w:rPr>
              <w:t xml:space="preserve">Target</w:t>
            </w:r>
          </w:p>
          <w:p>
            <w:pPr>
              <w:spacing w:after="80" w:before="0"/>
              <w:jc w:val="left"/>
            </w:pPr>
            <w:r>
              <w:rPr>
                <w:rFonts w:ascii="Arial" w:cs="Arial" w:eastAsia="Arial" w:hAnsi="Arial"/>
                <w:color w:val="D6E4F0"/>
                <w:sz w:val="18"/>
                <w:szCs w:val="18"/>
              </w:rPr>
              <w:t xml:space="preserve">Retail  ·  2013</w:t>
            </w:r>
          </w:p>
        </w:tc>
        <w:tc>
          <w:tcPr>
            <w:tcW w:type="dxa" w:w="2621"/>
            <w:tcBorders>
              <w:top w:val="single" w:color="D5D8DC" w:sz="4"/>
              <w:left w:val="single" w:color="D5D8DC" w:sz="4"/>
              <w:bottom w:val="single" w:color="D5D8DC" w:sz="4"/>
              <w:right w:val="single" w:color="D5D8DC" w:sz="4"/>
            </w:tcBorders>
            <w:shd w:fill="17A589" w:val="clear"/>
            <w:tcMar>
              <w:top w:type="dxa" w:w="100"/>
              <w:left w:type="dxa" w:w="140"/>
              <w:bottom w:type="dxa" w:w="100"/>
              <w:right w:type="dxa" w:w="140"/>
            </w:tcMar>
            <w:vAlign w:val="center"/>
          </w:tcPr>
          <w:p>
            <w:pPr>
              <w:spacing w:after="10" w:before="40"/>
              <w:jc w:val="center"/>
            </w:pPr>
            <w:r>
              <w:rPr>
                <w:rFonts w:ascii="Arial" w:cs="Arial" w:eastAsia="Arial" w:hAnsi="Arial"/>
                <w:color w:val="FFFFFF"/>
                <w:sz w:val="16"/>
                <w:szCs w:val="16"/>
              </w:rPr>
              <w:t xml:space="preserve">NIST CSF Function</w:t>
            </w:r>
          </w:p>
          <w:p>
            <w:pPr>
              <w:spacing w:after="40" w:before="0"/>
              <w:jc w:val="center"/>
            </w:pPr>
            <w:r>
              <w:rPr>
                <w:rFonts w:ascii="Arial" w:cs="Arial" w:eastAsia="Arial" w:hAnsi="Arial"/>
                <w:b/>
                <w:bCs/>
                <w:color w:val="FFFFFF"/>
                <w:sz w:val="30"/>
                <w:szCs w:val="30"/>
              </w:rPr>
              <w:t xml:space="preserve">PR</w:t>
            </w:r>
          </w:p>
        </w:tc>
      </w:tr>
    </w:tbl>
    <w:p>
      <w:pPr>
        <w:spacing w:after="0" w:before="10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Incident Summary</w:t>
      </w:r>
    </w:p>
    <w:p>
      <w:pPr>
        <w:spacing w:after="80" w:before="80"/>
        <w:jc w:val="left"/>
      </w:pPr>
      <w:r>
        <w:rPr>
          <w:rFonts w:ascii="Arial" w:cs="Arial" w:eastAsia="Arial" w:hAnsi="Arial"/>
          <w:sz w:val="20"/>
          <w:szCs w:val="20"/>
        </w:rPr>
        <w:t xml:space="preserve">Attackers compromised a third-party HVAC vendor (Fazio Mechanical) and used their network credentials to gain access to Target's corporate network. The network was completely flat — with no segmentation between vendor connectivity, corporate IT, and point-of-sale infrastructure. Attackers installed memory-scraping malware on POS systems and exfiltrated 40 million credit card numbers and 70 million personal records over three weeks.</w:t>
      </w:r>
    </w:p>
    <w:p>
      <w:pPr>
        <w:spacing w:after="80" w:before="80"/>
        <w:jc w:val="left"/>
      </w:pPr>
      <w:r>
        <w:rPr>
          <w:rFonts w:ascii="Arial" w:cs="Arial" w:eastAsia="Arial" w:hAnsi="Arial"/>
          <w:b w:val="false"/>
          <w:bCs w:val="false"/>
          <w:sz w:val="20"/>
          <w:szCs w:val="20"/>
        </w:rPr>
        <w:t xml:space="preserve">Root Cause: Third-party vendor granted excessive, persistent network access with no segmentation between vendor connectivity and POS infrastructure.</w:t>
      </w:r>
    </w:p>
    <w:p>
      <w:pPr>
        <w:spacing w:after="0" w:before="8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Impact Metric</w:t>
            </w:r>
          </w:p>
        </w:tc>
        <w:tc>
          <w:tcPr>
            <w:tcW w:type="dxa" w:w="6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Data</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Financial Cost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$292 million total (settlements, legal, remediation)</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Records Exposed</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40 million payment cards + 70 million personal records</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Detection Time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3 weeks of active POS exfiltration</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Regulatory Fine</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$18.5 million multi-state settlement; CIO and CEO resigned</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Systemic Impact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Accelerated PCI-DSS network segmentation requirements across US retail</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CSF Subcategory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C0392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NIST CSF Subcategory Gaps Identified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PR.AC-3 — </w:t>
            </w:r>
            <w:r>
              <w:rPr>
                <w:rFonts w:ascii="Arial" w:cs="Arial" w:eastAsia="Arial" w:hAnsi="Arial"/>
                <w:sz w:val="19"/>
                <w:szCs w:val="19"/>
              </w:rPr>
              <w:t xml:space="preserve">Remote access for third-party vendor not managed or restricted</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PR.AC-5 — </w:t>
            </w:r>
            <w:r>
              <w:rPr>
                <w:rFonts w:ascii="Arial" w:cs="Arial" w:eastAsia="Arial" w:hAnsi="Arial"/>
                <w:sz w:val="19"/>
                <w:szCs w:val="19"/>
              </w:rPr>
              <w:t xml:space="preserve">Network integrity not protected — no segmentation between vendor, corporate, and POS networks</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PR.PT-4 — </w:t>
            </w:r>
            <w:r>
              <w:rPr>
                <w:rFonts w:ascii="Arial" w:cs="Arial" w:eastAsia="Arial" w:hAnsi="Arial"/>
                <w:sz w:val="19"/>
                <w:szCs w:val="19"/>
              </w:rPr>
              <w:t xml:space="preserve">Communications and control networks not protected</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PR.AC-4 — </w:t>
            </w:r>
            <w:r>
              <w:rPr>
                <w:rFonts w:ascii="Arial" w:cs="Arial" w:eastAsia="Arial" w:hAnsi="Arial"/>
                <w:sz w:val="19"/>
                <w:szCs w:val="19"/>
              </w:rPr>
              <w:t xml:space="preserve">Access permissions not managed per least-privilege principle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ATT&amp;CK ID</w:t>
            </w:r>
          </w:p>
        </w:tc>
        <w:tc>
          <w:tcPr>
            <w:tcW w:type="dxa" w:w="38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Technique</w:t>
            </w:r>
          </w:p>
        </w:tc>
        <w:tc>
          <w:tcPr>
            <w:tcW w:type="dxa" w:w="356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Description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T1078</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Valid Accounts</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HVAC vendor credentials used for initial network access</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T1021</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Remote Services</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Lateral movement via remote services across the flat network</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T1056.001</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Keylogging / Input Capture</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Memory-scraping malware (BlackPOS) installed on POS terminals</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T1041</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Exfiltration Over C2 Channel</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Card data staged internally then exfiltrated to attacker-controlled FTP server</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CIS Controls v8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CIS Control</w:t>
            </w:r>
          </w:p>
        </w:tc>
        <w:tc>
          <w:tcPr>
            <w:tcW w:type="dxa" w:w="32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Control Name</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Application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12</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Network Infrastructure Management</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Flat network with no VLAN or segmentation controls between vendor and POS</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6</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Access Control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Vendor given persistent, broad credentials with no time-limit or scope restriction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13</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Network Monitoring and Defence</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FireEye alerts were seen but not escalated — monitoring without response is not monitoring</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3</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Protection</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Card data not encrypted at the POS terminal — captured in clear text</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Maturity Tier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1B3A6B" w:sz="6"/>
              <w:left w:val="single" w:color="1B3A6B" w:sz="6"/>
              <w:bottom w:val="single" w:color="1B3A6B" w:sz="6"/>
              <w:right w:val="single" w:color="1B3A6B" w:sz="6"/>
            </w:tcBorders>
            <w:shd w:fill="56657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Maturity Tier Assessment</w:t>
            </w:r>
          </w:p>
        </w:tc>
      </w:tr>
      <w:tr>
        <w:tc>
          <w:tcPr>
            <w:tcW w:type="dxa" w:w="234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1</w:t>
            </w:r>
          </w:p>
          <w:p>
            <w:pPr>
              <w:spacing w:after="60" w:before="0"/>
              <w:jc w:val="center"/>
            </w:pPr>
            <w:r>
              <w:rPr>
                <w:rFonts w:ascii="Arial" w:cs="Arial" w:eastAsia="Arial" w:hAnsi="Arial"/>
                <w:color w:val="FFFFFF"/>
                <w:sz w:val="16"/>
                <w:szCs w:val="16"/>
              </w:rPr>
              <w:t xml:space="preserve">Partial</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2</w:t>
            </w:r>
          </w:p>
          <w:p>
            <w:pPr>
              <w:spacing w:after="60" w:before="0"/>
              <w:jc w:val="center"/>
            </w:pPr>
            <w:r>
              <w:rPr>
                <w:rFonts w:ascii="Arial" w:cs="Arial" w:eastAsia="Arial" w:hAnsi="Arial"/>
                <w:color w:val="1B3A6B"/>
                <w:sz w:val="16"/>
                <w:szCs w:val="16"/>
              </w:rPr>
              <w:t xml:space="preserve">Risk Informed</w:t>
            </w:r>
          </w:p>
        </w:tc>
        <w:tc>
          <w:tcPr>
            <w:tcW w:type="dxa" w:w="234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3</w:t>
            </w:r>
          </w:p>
          <w:p>
            <w:pPr>
              <w:spacing w:after="60" w:before="0"/>
              <w:jc w:val="center"/>
            </w:pPr>
            <w:r>
              <w:rPr>
                <w:rFonts w:ascii="Arial" w:cs="Arial" w:eastAsia="Arial" w:hAnsi="Arial"/>
                <w:color w:val="FFFFFF"/>
                <w:sz w:val="16"/>
                <w:szCs w:val="16"/>
              </w:rPr>
              <w:t xml:space="preserve">Repeatable</w:t>
            </w:r>
          </w:p>
        </w:tc>
        <w:tc>
          <w:tcPr>
            <w:tcW w:type="dxa" w:w="234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4</w:t>
            </w:r>
          </w:p>
          <w:p>
            <w:pPr>
              <w:spacing w:after="60" w:before="0"/>
              <w:jc w:val="center"/>
            </w:pPr>
            <w:r>
              <w:rPr>
                <w:rFonts w:ascii="Arial" w:cs="Arial" w:eastAsia="Arial" w:hAnsi="Arial"/>
                <w:color w:val="1B3A6B"/>
                <w:sz w:val="16"/>
                <w:szCs w:val="16"/>
              </w:rPr>
              <w:t xml:space="preserve">Adaptive</w:t>
            </w:r>
          </w:p>
        </w:tc>
      </w:tr>
      <w:tr>
        <w:tc>
          <w:tcPr>
            <w:tcW w:type="dxa" w:w="9360"/>
            <w:gridSpan w:val="4"/>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Current: Tier 1 (Partial)  |  </w:t>
            </w:r>
            <w:r>
              <w:rPr>
                <w:rFonts w:ascii="Arial" w:cs="Arial" w:eastAsia="Arial" w:hAnsi="Arial"/>
                <w:b/>
                <w:bCs/>
                <w:color w:val="1E8449"/>
                <w:sz w:val="18"/>
                <w:szCs w:val="18"/>
              </w:rPr>
              <w:t xml:space="preserve">Target: Tier 3 (Repeatable)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2.0 Govern (GV) Function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2.0 Govern (GV) Function Linkage</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GV.SC-04 — </w:t>
            </w:r>
            <w:r>
              <w:rPr>
                <w:rFonts w:ascii="Arial" w:cs="Arial" w:eastAsia="Arial" w:hAnsi="Arial"/>
                <w:sz w:val="19"/>
                <w:szCs w:val="19"/>
              </w:rPr>
              <w:t xml:space="preserve">Supplier contracts did not include security requirements — HVAC vendor had no mandated security controls</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GV.RR-04 — </w:t>
            </w:r>
            <w:r>
              <w:rPr>
                <w:rFonts w:ascii="Arial" w:cs="Arial" w:eastAsia="Arial" w:hAnsi="Arial"/>
                <w:sz w:val="19"/>
                <w:szCs w:val="19"/>
              </w:rPr>
              <w:t xml:space="preserve">Cybersecurity roles and responsibilities not defined for alert escalation — FireEye alerts were ignored</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GV.OC-03 — </w:t>
            </w:r>
            <w:r>
              <w:rPr>
                <w:rFonts w:ascii="Arial" w:cs="Arial" w:eastAsia="Arial" w:hAnsi="Arial"/>
                <w:sz w:val="19"/>
                <w:szCs w:val="19"/>
              </w:rPr>
              <w:t xml:space="preserve">Organisation dependencies on third parties not identified or managed</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Root Cause Analysis — What Failed</w:t>
      </w:r>
    </w:p>
    <w:p>
      <w:pPr>
        <w:pStyle w:val="ListParagraph"/>
        <w:numPr>
          <w:ilvl w:val="0"/>
          <w:numId w:val="2"/>
        </w:numPr>
        <w:spacing w:after="40" w:before="40"/>
      </w:pPr>
      <w:r>
        <w:rPr>
          <w:rFonts w:ascii="Arial" w:cs="Arial" w:eastAsia="Arial" w:hAnsi="Arial"/>
          <w:sz w:val="20"/>
          <w:szCs w:val="20"/>
        </w:rPr>
        <w:t xml:space="preserve">HVAC vendor given persistent network credentials with no time-limited, scoped, or just-in-time access controls</w:t>
      </w:r>
    </w:p>
    <w:p>
      <w:pPr>
        <w:pStyle w:val="ListParagraph"/>
        <w:numPr>
          <w:ilvl w:val="0"/>
          <w:numId w:val="2"/>
        </w:numPr>
        <w:spacing w:after="40" w:before="40"/>
      </w:pPr>
      <w:r>
        <w:rPr>
          <w:rFonts w:ascii="Arial" w:cs="Arial" w:eastAsia="Arial" w:hAnsi="Arial"/>
          <w:sz w:val="20"/>
          <w:szCs w:val="20"/>
        </w:rPr>
        <w:t xml:space="preserve">Corporate network and POS network completely flat — a single set of vendor credentials enabled full lateral movement</w:t>
      </w:r>
    </w:p>
    <w:p>
      <w:pPr>
        <w:pStyle w:val="ListParagraph"/>
        <w:numPr>
          <w:ilvl w:val="0"/>
          <w:numId w:val="2"/>
        </w:numPr>
        <w:spacing w:after="40" w:before="40"/>
      </w:pPr>
      <w:r>
        <w:rPr>
          <w:rFonts w:ascii="Arial" w:cs="Arial" w:eastAsia="Arial" w:hAnsi="Arial"/>
          <w:sz w:val="20"/>
          <w:szCs w:val="20"/>
        </w:rPr>
        <w:t xml:space="preserve">FireEye security tools detected the malware and generated alerts that the security team saw but did not action</w:t>
      </w:r>
    </w:p>
    <w:p>
      <w:pPr>
        <w:pStyle w:val="ListParagraph"/>
        <w:numPr>
          <w:ilvl w:val="0"/>
          <w:numId w:val="2"/>
        </w:numPr>
        <w:spacing w:after="40" w:before="40"/>
      </w:pPr>
      <w:r>
        <w:rPr>
          <w:rFonts w:ascii="Arial" w:cs="Arial" w:eastAsia="Arial" w:hAnsi="Arial"/>
          <w:sz w:val="20"/>
          <w:szCs w:val="20"/>
        </w:rPr>
        <w:t xml:space="preserve">No privileged access management — vendor credentials allowed unrestricted lateral movement across the network</w:t>
      </w:r>
    </w:p>
    <w:p>
      <w:pPr>
        <w:pStyle w:val="ListParagraph"/>
        <w:numPr>
          <w:ilvl w:val="0"/>
          <w:numId w:val="2"/>
        </w:numPr>
        <w:spacing w:after="40" w:before="40"/>
      </w:pPr>
      <w:r>
        <w:rPr>
          <w:rFonts w:ascii="Arial" w:cs="Arial" w:eastAsia="Arial" w:hAnsi="Arial"/>
          <w:sz w:val="20"/>
          <w:szCs w:val="20"/>
        </w:rPr>
        <w:t xml:space="preserve">Card data not encrypted at the POS terminal — intercepted data was immediately usable</w:t>
      </w:r>
    </w:p>
    <w:p>
      <w:pPr>
        <w:pStyle w:val="ListParagraph"/>
        <w:numPr>
          <w:ilvl w:val="0"/>
          <w:numId w:val="2"/>
        </w:numPr>
        <w:spacing w:after="40" w:before="40"/>
      </w:pPr>
      <w:r>
        <w:rPr>
          <w:rFonts w:ascii="Arial" w:cs="Arial" w:eastAsia="Arial" w:hAnsi="Arial"/>
          <w:sz w:val="20"/>
          <w:szCs w:val="20"/>
        </w:rPr>
        <w:t xml:space="preserve">No vendor access review process — no one audited who had standing access to Target's network</w:t>
      </w:r>
    </w:p>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Control Recommendations</w:t>
      </w:r>
    </w:p>
    <w:p>
      <w:pPr>
        <w:pStyle w:val="ListParagraph"/>
        <w:numPr>
          <w:ilvl w:val="0"/>
          <w:numId w:val="2"/>
        </w:numPr>
        <w:spacing w:after="40" w:before="40"/>
      </w:pPr>
      <w:r>
        <w:rPr>
          <w:rFonts w:ascii="Arial" w:cs="Arial" w:eastAsia="Arial" w:hAnsi="Arial"/>
          <w:sz w:val="20"/>
          <w:szCs w:val="20"/>
        </w:rPr>
        <w:t xml:space="preserve">Segment POS and OT networks from corporate IT using VLANs, firewalls, and micro-segmentation — this is the single highest-ROI control from this case</w:t>
      </w:r>
    </w:p>
    <w:p>
      <w:pPr>
        <w:pStyle w:val="ListParagraph"/>
        <w:numPr>
          <w:ilvl w:val="0"/>
          <w:numId w:val="2"/>
        </w:numPr>
        <w:spacing w:after="40" w:before="40"/>
      </w:pPr>
      <w:r>
        <w:rPr>
          <w:rFonts w:ascii="Arial" w:cs="Arial" w:eastAsia="Arial" w:hAnsi="Arial"/>
          <w:sz w:val="20"/>
          <w:szCs w:val="20"/>
        </w:rPr>
        <w:t xml:space="preserve">Apply zero-trust to all third-party vendor access: use just-in-time credentials with defined scope, time-limits, and MFA</w:t>
      </w:r>
    </w:p>
    <w:p>
      <w:pPr>
        <w:pStyle w:val="ListParagraph"/>
        <w:numPr>
          <w:ilvl w:val="0"/>
          <w:numId w:val="2"/>
        </w:numPr>
        <w:spacing w:after="40" w:before="40"/>
      </w:pPr>
      <w:r>
        <w:rPr>
          <w:rFonts w:ascii="Arial" w:cs="Arial" w:eastAsia="Arial" w:hAnsi="Arial"/>
          <w:sz w:val="20"/>
          <w:szCs w:val="20"/>
        </w:rPr>
        <w:t xml:space="preserve">Implement a formal vendor access review: quarterly audit of who has access, to what systems, and why</w:t>
      </w:r>
    </w:p>
    <w:p>
      <w:pPr>
        <w:pStyle w:val="ListParagraph"/>
        <w:numPr>
          <w:ilvl w:val="0"/>
          <w:numId w:val="2"/>
        </w:numPr>
        <w:spacing w:after="40" w:before="40"/>
      </w:pPr>
      <w:r>
        <w:rPr>
          <w:rFonts w:ascii="Arial" w:cs="Arial" w:eastAsia="Arial" w:hAnsi="Arial"/>
          <w:sz w:val="20"/>
          <w:szCs w:val="20"/>
        </w:rPr>
        <w:t xml:space="preserve">Require point-to-point encryption (P2PE) on all POS terminals to render intercepted card data unusable</w:t>
      </w:r>
    </w:p>
    <w:p>
      <w:pPr>
        <w:pStyle w:val="ListParagraph"/>
        <w:numPr>
          <w:ilvl w:val="0"/>
          <w:numId w:val="2"/>
        </w:numPr>
        <w:spacing w:after="40" w:before="40"/>
      </w:pPr>
      <w:r>
        <w:rPr>
          <w:rFonts w:ascii="Arial" w:cs="Arial" w:eastAsia="Arial" w:hAnsi="Arial"/>
          <w:sz w:val="20"/>
          <w:szCs w:val="20"/>
        </w:rPr>
        <w:t xml:space="preserve">Configure SIEM alert escalation paths with defined response SLAs — an alert that is seen but not actioned is actively harmful</w:t>
      </w:r>
    </w:p>
    <w:p>
      <w:pPr>
        <w:pStyle w:val="ListParagraph"/>
        <w:numPr>
          <w:ilvl w:val="0"/>
          <w:numId w:val="2"/>
        </w:numPr>
        <w:spacing w:after="40" w:before="40"/>
      </w:pPr>
      <w:r>
        <w:rPr>
          <w:rFonts w:ascii="Arial" w:cs="Arial" w:eastAsia="Arial" w:hAnsi="Arial"/>
          <w:sz w:val="20"/>
          <w:szCs w:val="20"/>
        </w:rPr>
        <w:t xml:space="preserve">Implement network access control (NAC) to enforce endpoint compliance before granting vendor network access</w:t>
      </w:r>
    </w:p>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Capstone Analysis</w:t>
            </w:r>
          </w:p>
        </w:tc>
      </w:tr>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vAlign w:val="top"/>
          </w:tcPr>
          <w:p>
            <w:pPr>
              <w:spacing w:after="80" w:before="80"/>
              <w:jc w:val="left"/>
            </w:pPr>
            <w:r>
              <w:rPr>
                <w:rFonts w:ascii="Arial" w:cs="Arial" w:eastAsia="Arial" w:hAnsi="Arial"/>
                <w:b/>
                <w:bCs/>
                <w:color w:val="1B3A6B"/>
                <w:sz w:val="19"/>
                <w:szCs w:val="19"/>
              </w:rPr>
              <w:t xml:space="preserve">Q: How would PR.AC-5 network integrity controls have contained the Target breach?</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Proper network segmentation (PR.AC-5) would have isolated the HVAC vendor's network access to only the HVAC control system on a dedicated VLAN with no route to the corporate network or POS environment. Even with fully compromised vendor credentials, the attacker could not have reached the POS network. The breach would have been limited to HVAC telemetry data. The $292 million cost and 110 million records exposed reduce to a contained HVAC system compromise with zero payment card or personal data impact. Segmentation is the single cheapest control that would have completely prevented this breach.</w:t>
            </w:r>
          </w:p>
        </w:tc>
      </w:tr>
    </w:tbl>
    <w:p>
      <w:pPr>
        <w:spacing w:after="0" w:before="1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E67E22"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Analyst Assessment</w:t>
            </w:r>
          </w:p>
        </w:tc>
      </w:tr>
      <w:tr>
        <w:tc>
          <w:tcPr>
            <w:tcW w:type="dxa" w:w="9360"/>
            <w:tcBorders>
              <w:top w:val="single" w:color="E67E22" w:sz="6"/>
              <w:left w:val="single" w:color="E67E22" w:sz="6"/>
              <w:bottom w:val="single" w:color="E67E22" w:sz="6"/>
              <w:right w:val="single" w:color="E67E22" w:sz="6"/>
            </w:tcBorders>
            <w:shd w:fill="FDEBD0" w:val="clear"/>
            <w:tcMar>
              <w:top w:type="dxa" w:w="100"/>
              <w:left w:type="dxa" w:w="140"/>
              <w:bottom w:type="dxa" w:w="100"/>
              <w:right w:type="dxa" w:w="140"/>
            </w:tcMar>
            <w:vAlign w:val="top"/>
          </w:tcPr>
          <w:p>
            <w:pPr>
              <w:spacing w:after="80" w:before="80"/>
              <w:jc w:val="left"/>
            </w:pPr>
            <w:r>
              <w:rPr>
                <w:rFonts w:ascii="Arial" w:cs="Arial" w:eastAsia="Arial" w:hAnsi="Arial"/>
                <w:color w:val="1B3A6B"/>
                <w:sz w:val="19"/>
                <w:szCs w:val="19"/>
              </w:rPr>
              <w:t xml:space="preserve">Target is the most important segmentation case study in enterprise security. It is the reason PCI-DSS v4.0 strengthened network segmentation requirements, and it is the case most frequently cited in board-level discussions about third-party risk. Mid-level analysts should note the FireEye detail carefully: Target had detection tooling that was working correctly. The failure was not technical — it was a governance failure to define escalation responsibilities and response SLAs. Controls without defined response processes are not controls.</w:t>
            </w:r>
          </w:p>
        </w:tc>
      </w:tr>
    </w:tbl>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8"/>
              <w:bottom w:val="single" w:color="6C3483" w:sz="8"/>
              <w:right w:val="single" w:color="6C3483" w:sz="8"/>
            </w:tcBorders>
            <w:shd w:fill="6C3483" w:val="clear"/>
            <w:tcMar>
              <w:top w:type="dxa" w:w="100"/>
              <w:left w:type="dxa" w:w="140"/>
              <w:bottom w:type="dxa" w:w="100"/>
              <w:right w:type="dxa" w:w="140"/>
            </w:tcMar>
            <w:vAlign w:val="top"/>
          </w:tcPr>
          <w:p>
            <w:pPr>
              <w:spacing w:after="20" w:before="60"/>
              <w:jc w:val="center"/>
            </w:pPr>
            <w:r>
              <w:rPr>
                <w:rFonts w:ascii="Arial" w:cs="Arial" w:eastAsia="Arial" w:hAnsi="Arial"/>
                <w:b/>
                <w:bCs/>
                <w:color w:val="FFFFFF"/>
                <w:sz w:val="28"/>
                <w:szCs w:val="28"/>
              </w:rPr>
              <w:t xml:space="preserve">FUNCTION 3: DETECT (DE)  —  Identify the occurrence of cybersecurity events</w:t>
            </w:r>
          </w:p>
          <w:p>
            <w:pPr>
              <w:spacing w:after="60" w:before="0"/>
              <w:jc w:val="center"/>
            </w:pPr>
            <w:r>
              <w:rPr>
                <w:rFonts w:ascii="Arial" w:cs="Arial" w:eastAsia="Arial" w:hAnsi="Arial"/>
                <w:color w:val="FFFFFF"/>
                <w:sz w:val="18"/>
                <w:szCs w:val="18"/>
              </w:rPr>
              <w:t xml:space="preserve">Develop and implement appropriate activities to identify the occurrence of a cybersecurity event.</w:t>
            </w:r>
          </w:p>
        </w:tc>
      </w:tr>
    </w:tbl>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20" w:before="80"/>
              <w:jc w:val="left"/>
            </w:pPr>
            <w:r>
              <w:rPr>
                <w:rFonts w:ascii="Arial" w:cs="Arial" w:eastAsia="Arial" w:hAnsi="Arial"/>
                <w:b/>
                <w:bCs/>
                <w:color w:val="FFFFFF"/>
                <w:sz w:val="26"/>
                <w:szCs w:val="26"/>
              </w:rPr>
              <w:t xml:space="preserve">Case Study 5: </w:t>
            </w:r>
            <w:r>
              <w:rPr>
                <w:rFonts w:ascii="Arial" w:cs="Arial" w:eastAsia="Arial" w:hAnsi="Arial"/>
                <w:b/>
                <w:bCs/>
                <w:color w:val="FFFFFF"/>
                <w:sz w:val="26"/>
                <w:szCs w:val="26"/>
              </w:rPr>
              <w:t xml:space="preserve">Marriott / Starwood</w:t>
            </w:r>
          </w:p>
          <w:p>
            <w:pPr>
              <w:spacing w:after="80" w:before="0"/>
              <w:jc w:val="left"/>
            </w:pPr>
            <w:r>
              <w:rPr>
                <w:rFonts w:ascii="Arial" w:cs="Arial" w:eastAsia="Arial" w:hAnsi="Arial"/>
                <w:color w:val="D6E4F0"/>
                <w:sz w:val="18"/>
                <w:szCs w:val="18"/>
              </w:rPr>
              <w:t xml:space="preserve">Hospitality  ·  2018</w:t>
            </w:r>
          </w:p>
        </w:tc>
        <w:tc>
          <w:tcPr>
            <w:tcW w:type="dxa" w:w="2621"/>
            <w:tcBorders>
              <w:top w:val="single" w:color="D5D8DC" w:sz="4"/>
              <w:left w:val="single" w:color="D5D8DC" w:sz="4"/>
              <w:bottom w:val="single" w:color="D5D8DC" w:sz="4"/>
              <w:right w:val="single" w:color="D5D8DC" w:sz="4"/>
            </w:tcBorders>
            <w:shd w:fill="6C3483" w:val="clear"/>
            <w:tcMar>
              <w:top w:type="dxa" w:w="100"/>
              <w:left w:type="dxa" w:w="140"/>
              <w:bottom w:type="dxa" w:w="100"/>
              <w:right w:type="dxa" w:w="140"/>
            </w:tcMar>
            <w:vAlign w:val="center"/>
          </w:tcPr>
          <w:p>
            <w:pPr>
              <w:spacing w:after="10" w:before="40"/>
              <w:jc w:val="center"/>
            </w:pPr>
            <w:r>
              <w:rPr>
                <w:rFonts w:ascii="Arial" w:cs="Arial" w:eastAsia="Arial" w:hAnsi="Arial"/>
                <w:color w:val="FFFFFF"/>
                <w:sz w:val="16"/>
                <w:szCs w:val="16"/>
              </w:rPr>
              <w:t xml:space="preserve">NIST CSF Function</w:t>
            </w:r>
          </w:p>
          <w:p>
            <w:pPr>
              <w:spacing w:after="40" w:before="0"/>
              <w:jc w:val="center"/>
            </w:pPr>
            <w:r>
              <w:rPr>
                <w:rFonts w:ascii="Arial" w:cs="Arial" w:eastAsia="Arial" w:hAnsi="Arial"/>
                <w:b/>
                <w:bCs/>
                <w:color w:val="FFFFFF"/>
                <w:sz w:val="30"/>
                <w:szCs w:val="30"/>
              </w:rPr>
              <w:t xml:space="preserve">DE</w:t>
            </w:r>
          </w:p>
        </w:tc>
      </w:tr>
    </w:tbl>
    <w:p>
      <w:pPr>
        <w:spacing w:after="0" w:before="10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Incident Summary</w:t>
      </w:r>
    </w:p>
    <w:p>
      <w:pPr>
        <w:spacing w:after="80" w:before="80"/>
        <w:jc w:val="left"/>
      </w:pPr>
      <w:r>
        <w:rPr>
          <w:rFonts w:ascii="Arial" w:cs="Arial" w:eastAsia="Arial" w:hAnsi="Arial"/>
          <w:sz w:val="20"/>
          <w:szCs w:val="20"/>
        </w:rPr>
        <w:t xml:space="preserve">Attackers initially compromised Starwood Hotels' network in 2014 — two years before Marriott's acquisition. The breach remained undetected through the entire M&amp;A process and for two years after integration, finally discovered in September 2018 via an internal security tool alert. During that four-year dwell period, attackers exfiltrated 500 million guest records including passport numbers, encrypted payment card details, and loyalty programme data.</w:t>
      </w:r>
    </w:p>
    <w:p>
      <w:pPr>
        <w:spacing w:after="80" w:before="80"/>
        <w:jc w:val="left"/>
      </w:pPr>
      <w:r>
        <w:rPr>
          <w:rFonts w:ascii="Arial" w:cs="Arial" w:eastAsia="Arial" w:hAnsi="Arial"/>
          <w:b w:val="false"/>
          <w:bCs w:val="false"/>
          <w:sz w:val="20"/>
          <w:szCs w:val="20"/>
        </w:rPr>
        <w:t xml:space="preserve">Root Cause: No monitoring baseline was established, and M&amp;A due diligence did not include a network compromise assessment. Starwood's network was integrated into Marriott's infrastructure before any security review.</w:t>
      </w:r>
    </w:p>
    <w:p>
      <w:pPr>
        <w:spacing w:after="0" w:before="8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Impact Metric</w:t>
            </w:r>
          </w:p>
        </w:tc>
        <w:tc>
          <w:tcPr>
            <w:tcW w:type="dxa" w:w="6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Data</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Financial Cost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$124 million GDPR fine (ICO); additional settlements ongoing</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Records Exposed</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500 million guests (327 million with full passport details)</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Detection Time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4 years — longest dwell time in this capstone</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Regulatory Fine</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£18.4 million ICO fine (UK); $52 million multi-state US settlement</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M&amp;A Liability</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Attackers were present in the acquired network at the time of acquisition</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CSF Subcategory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C0392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NIST CSF Subcategory Gaps Identified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DE.CM-1 — </w:t>
            </w:r>
            <w:r>
              <w:rPr>
                <w:rFonts w:ascii="Arial" w:cs="Arial" w:eastAsia="Arial" w:hAnsi="Arial"/>
                <w:sz w:val="19"/>
                <w:szCs w:val="19"/>
              </w:rPr>
              <w:t xml:space="preserve">Network monitoring not performed on the Starwood environment</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DE.AE-3 — </w:t>
            </w:r>
            <w:r>
              <w:rPr>
                <w:rFonts w:ascii="Arial" w:cs="Arial" w:eastAsia="Arial" w:hAnsi="Arial"/>
                <w:sz w:val="19"/>
                <w:szCs w:val="19"/>
              </w:rPr>
              <w:t xml:space="preserve">Event data not aggregated and correlated across systems</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DE.CM-7 — </w:t>
            </w:r>
            <w:r>
              <w:rPr>
                <w:rFonts w:ascii="Arial" w:cs="Arial" w:eastAsia="Arial" w:hAnsi="Arial"/>
                <w:sz w:val="19"/>
                <w:szCs w:val="19"/>
              </w:rPr>
              <w:t xml:space="preserve">Monitoring for unauthorised personnel and devices absent</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DE.AE-5 — </w:t>
            </w:r>
            <w:r>
              <w:rPr>
                <w:rFonts w:ascii="Arial" w:cs="Arial" w:eastAsia="Arial" w:hAnsi="Arial"/>
                <w:sz w:val="19"/>
                <w:szCs w:val="19"/>
              </w:rPr>
              <w:t xml:space="preserve">Incident alert thresholds not established</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ATT&amp;CK ID</w:t>
            </w:r>
          </w:p>
        </w:tc>
        <w:tc>
          <w:tcPr>
            <w:tcW w:type="dxa" w:w="38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Technique</w:t>
            </w:r>
          </w:p>
        </w:tc>
        <w:tc>
          <w:tcPr>
            <w:tcW w:type="dxa" w:w="356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Description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T1078</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Valid Accounts</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Attackers used legitimate Starwood administrator credentials to evade detection</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T1003</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OS Credential Dumping</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Credentials harvested to maintain persistent access through years of dwell time</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T1074</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Staged</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Guest records staged internally before periodic exfiltration</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T1083</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File and Directory Discovery</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Systematic enumeration of guest database structure and content</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CIS Controls v8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CIS Control</w:t>
            </w:r>
          </w:p>
        </w:tc>
        <w:tc>
          <w:tcPr>
            <w:tcW w:type="dxa" w:w="32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Control Name</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Application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8</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Audit Log Management</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centralised logging or correlation across Starwood systems</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13</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Network Monitoring and Defence</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network traffic analysis to detect anomalous query volumes or data staging</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10</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Malware Defences</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UEBA to detect credential misuse from unusual locations or times</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18</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Penetration Testing</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compromise assessment conducted as part of the 2016 M&amp;A due diligence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Maturity Tier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1B3A6B" w:sz="6"/>
              <w:left w:val="single" w:color="1B3A6B" w:sz="6"/>
              <w:bottom w:val="single" w:color="1B3A6B" w:sz="6"/>
              <w:right w:val="single" w:color="1B3A6B" w:sz="6"/>
            </w:tcBorders>
            <w:shd w:fill="56657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Maturity Tier Assessment</w:t>
            </w:r>
          </w:p>
        </w:tc>
      </w:tr>
      <w:tr>
        <w:tc>
          <w:tcPr>
            <w:tcW w:type="dxa" w:w="234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1</w:t>
            </w:r>
          </w:p>
          <w:p>
            <w:pPr>
              <w:spacing w:after="60" w:before="0"/>
              <w:jc w:val="center"/>
            </w:pPr>
            <w:r>
              <w:rPr>
                <w:rFonts w:ascii="Arial" w:cs="Arial" w:eastAsia="Arial" w:hAnsi="Arial"/>
                <w:color w:val="FFFFFF"/>
                <w:sz w:val="16"/>
                <w:szCs w:val="16"/>
              </w:rPr>
              <w:t xml:space="preserve">Partial</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2</w:t>
            </w:r>
          </w:p>
          <w:p>
            <w:pPr>
              <w:spacing w:after="60" w:before="0"/>
              <w:jc w:val="center"/>
            </w:pPr>
            <w:r>
              <w:rPr>
                <w:rFonts w:ascii="Arial" w:cs="Arial" w:eastAsia="Arial" w:hAnsi="Arial"/>
                <w:color w:val="1B3A6B"/>
                <w:sz w:val="16"/>
                <w:szCs w:val="16"/>
              </w:rPr>
              <w:t xml:space="preserve">Risk Informed</w:t>
            </w:r>
          </w:p>
        </w:tc>
        <w:tc>
          <w:tcPr>
            <w:tcW w:type="dxa" w:w="234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3</w:t>
            </w:r>
          </w:p>
          <w:p>
            <w:pPr>
              <w:spacing w:after="60" w:before="0"/>
              <w:jc w:val="center"/>
            </w:pPr>
            <w:r>
              <w:rPr>
                <w:rFonts w:ascii="Arial" w:cs="Arial" w:eastAsia="Arial" w:hAnsi="Arial"/>
                <w:color w:val="FFFFFF"/>
                <w:sz w:val="16"/>
                <w:szCs w:val="16"/>
              </w:rPr>
              <w:t xml:space="preserve">Repeatable</w:t>
            </w:r>
          </w:p>
        </w:tc>
        <w:tc>
          <w:tcPr>
            <w:tcW w:type="dxa" w:w="234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4</w:t>
            </w:r>
          </w:p>
          <w:p>
            <w:pPr>
              <w:spacing w:after="60" w:before="0"/>
              <w:jc w:val="center"/>
            </w:pPr>
            <w:r>
              <w:rPr>
                <w:rFonts w:ascii="Arial" w:cs="Arial" w:eastAsia="Arial" w:hAnsi="Arial"/>
                <w:color w:val="1B3A6B"/>
                <w:sz w:val="16"/>
                <w:szCs w:val="16"/>
              </w:rPr>
              <w:t xml:space="preserve">Adaptive</w:t>
            </w:r>
          </w:p>
        </w:tc>
      </w:tr>
      <w:tr>
        <w:tc>
          <w:tcPr>
            <w:tcW w:type="dxa" w:w="9360"/>
            <w:gridSpan w:val="4"/>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Current: Tier 1 (Partial)  |  </w:t>
            </w:r>
            <w:r>
              <w:rPr>
                <w:rFonts w:ascii="Arial" w:cs="Arial" w:eastAsia="Arial" w:hAnsi="Arial"/>
                <w:b/>
                <w:bCs/>
                <w:color w:val="1E8449"/>
                <w:sz w:val="18"/>
                <w:szCs w:val="18"/>
              </w:rPr>
              <w:t xml:space="preserve">Target: Tier 3 (Repeatable)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2.0 Govern (GV) Function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2.0 Govern (GV) Function Linkage</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GV.OC-04 — </w:t>
            </w:r>
            <w:r>
              <w:rPr>
                <w:rFonts w:ascii="Arial" w:cs="Arial" w:eastAsia="Arial" w:hAnsi="Arial"/>
                <w:sz w:val="19"/>
                <w:szCs w:val="19"/>
              </w:rPr>
              <w:t xml:space="preserve">M&amp;A process did not include cybersecurity due diligence requirements — acquired network treated as trusted</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GV.RM-03 — </w:t>
            </w:r>
            <w:r>
              <w:rPr>
                <w:rFonts w:ascii="Arial" w:cs="Arial" w:eastAsia="Arial" w:hAnsi="Arial"/>
                <w:sz w:val="19"/>
                <w:szCs w:val="19"/>
              </w:rPr>
              <w:t xml:space="preserve">Risk management strategy not applied to the acquired Starwood environment</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GV.SC-02 — </w:t>
            </w:r>
            <w:r>
              <w:rPr>
                <w:rFonts w:ascii="Arial" w:cs="Arial" w:eastAsia="Arial" w:hAnsi="Arial"/>
                <w:sz w:val="19"/>
                <w:szCs w:val="19"/>
              </w:rPr>
              <w:t xml:space="preserve">Suppliers and acquired entities not assessed for cybersecurity risk prior to integration</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Root Cause Analysis — What Failed</w:t>
      </w:r>
    </w:p>
    <w:p>
      <w:pPr>
        <w:pStyle w:val="ListParagraph"/>
        <w:numPr>
          <w:ilvl w:val="0"/>
          <w:numId w:val="2"/>
        </w:numPr>
        <w:spacing w:after="40" w:before="40"/>
      </w:pPr>
      <w:r>
        <w:rPr>
          <w:rFonts w:ascii="Arial" w:cs="Arial" w:eastAsia="Arial" w:hAnsi="Arial"/>
          <w:sz w:val="20"/>
          <w:szCs w:val="20"/>
        </w:rPr>
        <w:t xml:space="preserve">No comprehensive monitoring baseline — attackers' activity was indistinguishable from normal Starwood administrator traffic</w:t>
      </w:r>
    </w:p>
    <w:p>
      <w:pPr>
        <w:pStyle w:val="ListParagraph"/>
        <w:numPr>
          <w:ilvl w:val="0"/>
          <w:numId w:val="2"/>
        </w:numPr>
        <w:spacing w:after="40" w:before="40"/>
      </w:pPr>
      <w:r>
        <w:rPr>
          <w:rFonts w:ascii="Arial" w:cs="Arial" w:eastAsia="Arial" w:hAnsi="Arial"/>
          <w:sz w:val="20"/>
          <w:szCs w:val="20"/>
        </w:rPr>
        <w:t xml:space="preserve">SIEM did not correlate cross-system anomalies from the Starwood environment to surface the intrusion</w:t>
      </w:r>
    </w:p>
    <w:p>
      <w:pPr>
        <w:pStyle w:val="ListParagraph"/>
        <w:numPr>
          <w:ilvl w:val="0"/>
          <w:numId w:val="2"/>
        </w:numPr>
        <w:spacing w:after="40" w:before="40"/>
      </w:pPr>
      <w:r>
        <w:rPr>
          <w:rFonts w:ascii="Arial" w:cs="Arial" w:eastAsia="Arial" w:hAnsi="Arial"/>
          <w:sz w:val="20"/>
          <w:szCs w:val="20"/>
        </w:rPr>
        <w:t xml:space="preserve">M&amp;A cybersecurity due diligence did not include any network compromise assessment before or after acquisition</w:t>
      </w:r>
    </w:p>
    <w:p>
      <w:pPr>
        <w:pStyle w:val="ListParagraph"/>
        <w:numPr>
          <w:ilvl w:val="0"/>
          <w:numId w:val="2"/>
        </w:numPr>
        <w:spacing w:after="40" w:before="40"/>
      </w:pPr>
      <w:r>
        <w:rPr>
          <w:rFonts w:ascii="Arial" w:cs="Arial" w:eastAsia="Arial" w:hAnsi="Arial"/>
          <w:sz w:val="20"/>
          <w:szCs w:val="20"/>
        </w:rPr>
        <w:t xml:space="preserve">No UEBA deployed to detect credential misuse — legitimate admin accounts used by attackers for four years</w:t>
      </w:r>
    </w:p>
    <w:p>
      <w:pPr>
        <w:pStyle w:val="ListParagraph"/>
        <w:numPr>
          <w:ilvl w:val="0"/>
          <w:numId w:val="2"/>
        </w:numPr>
        <w:spacing w:after="40" w:before="40"/>
      </w:pPr>
      <w:r>
        <w:rPr>
          <w:rFonts w:ascii="Arial" w:cs="Arial" w:eastAsia="Arial" w:hAnsi="Arial"/>
          <w:sz w:val="20"/>
          <w:szCs w:val="20"/>
        </w:rPr>
        <w:t xml:space="preserve">Starwood systems integrated into Marriott's network before a security baseline was established</w:t>
      </w:r>
    </w:p>
    <w:p>
      <w:pPr>
        <w:pStyle w:val="ListParagraph"/>
        <w:numPr>
          <w:ilvl w:val="0"/>
          <w:numId w:val="2"/>
        </w:numPr>
        <w:spacing w:after="40" w:before="40"/>
      </w:pPr>
      <w:r>
        <w:rPr>
          <w:rFonts w:ascii="Arial" w:cs="Arial" w:eastAsia="Arial" w:hAnsi="Arial"/>
          <w:sz w:val="20"/>
          <w:szCs w:val="20"/>
        </w:rPr>
        <w:t xml:space="preserve">Large-scale guest data queries were not flagged as anomalous — no alert thresholds for data access volumes</w:t>
      </w:r>
    </w:p>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Control Recommendations</w:t>
      </w:r>
    </w:p>
    <w:p>
      <w:pPr>
        <w:pStyle w:val="ListParagraph"/>
        <w:numPr>
          <w:ilvl w:val="0"/>
          <w:numId w:val="2"/>
        </w:numPr>
        <w:spacing w:after="40" w:before="40"/>
      </w:pPr>
      <w:r>
        <w:rPr>
          <w:rFonts w:ascii="Arial" w:cs="Arial" w:eastAsia="Arial" w:hAnsi="Arial"/>
          <w:sz w:val="20"/>
          <w:szCs w:val="20"/>
        </w:rPr>
        <w:t xml:space="preserve">Treat every M&amp;A as a cybersecurity event — commission a full compromise assessment before network integration, not after</w:t>
      </w:r>
    </w:p>
    <w:p>
      <w:pPr>
        <w:pStyle w:val="ListParagraph"/>
        <w:numPr>
          <w:ilvl w:val="0"/>
          <w:numId w:val="2"/>
        </w:numPr>
        <w:spacing w:after="40" w:before="40"/>
      </w:pPr>
      <w:r>
        <w:rPr>
          <w:rFonts w:ascii="Arial" w:cs="Arial" w:eastAsia="Arial" w:hAnsi="Arial"/>
          <w:sz w:val="20"/>
          <w:szCs w:val="20"/>
        </w:rPr>
        <w:t xml:space="preserve">Establish a monitoring baseline for any acquired environment before integrating it with your network</w:t>
      </w:r>
    </w:p>
    <w:p>
      <w:pPr>
        <w:pStyle w:val="ListParagraph"/>
        <w:numPr>
          <w:ilvl w:val="0"/>
          <w:numId w:val="2"/>
        </w:numPr>
        <w:spacing w:after="40" w:before="40"/>
      </w:pPr>
      <w:r>
        <w:rPr>
          <w:rFonts w:ascii="Arial" w:cs="Arial" w:eastAsia="Arial" w:hAnsi="Arial"/>
          <w:sz w:val="20"/>
          <w:szCs w:val="20"/>
        </w:rPr>
        <w:t xml:space="preserve">Deploy UEBA (Microsoft Sentinel, Splunk UBA) to detect slow-burn intrusions via behavioural anomaly detection</w:t>
      </w:r>
    </w:p>
    <w:p>
      <w:pPr>
        <w:pStyle w:val="ListParagraph"/>
        <w:numPr>
          <w:ilvl w:val="0"/>
          <w:numId w:val="2"/>
        </w:numPr>
        <w:spacing w:after="40" w:before="40"/>
      </w:pPr>
      <w:r>
        <w:rPr>
          <w:rFonts w:ascii="Arial" w:cs="Arial" w:eastAsia="Arial" w:hAnsi="Arial"/>
          <w:sz w:val="20"/>
          <w:szCs w:val="20"/>
        </w:rPr>
        <w:t xml:space="preserve">Implement network traffic analysis (NTA) to identify unusual data staging, query volumes, and exfiltration patterns</w:t>
      </w:r>
    </w:p>
    <w:p>
      <w:pPr>
        <w:pStyle w:val="ListParagraph"/>
        <w:numPr>
          <w:ilvl w:val="0"/>
          <w:numId w:val="2"/>
        </w:numPr>
        <w:spacing w:after="40" w:before="40"/>
      </w:pPr>
      <w:r>
        <w:rPr>
          <w:rFonts w:ascii="Arial" w:cs="Arial" w:eastAsia="Arial" w:hAnsi="Arial"/>
          <w:sz w:val="20"/>
          <w:szCs w:val="20"/>
        </w:rPr>
        <w:t xml:space="preserve">Set alert thresholds for large data queries, unusual login locations and times, and off-network data transfers</w:t>
      </w:r>
    </w:p>
    <w:p>
      <w:pPr>
        <w:pStyle w:val="ListParagraph"/>
        <w:numPr>
          <w:ilvl w:val="0"/>
          <w:numId w:val="2"/>
        </w:numPr>
        <w:spacing w:after="40" w:before="40"/>
      </w:pPr>
      <w:r>
        <w:rPr>
          <w:rFonts w:ascii="Arial" w:cs="Arial" w:eastAsia="Arial" w:hAnsi="Arial"/>
          <w:sz w:val="20"/>
          <w:szCs w:val="20"/>
        </w:rPr>
        <w:t xml:space="preserve">Require that all acquired entities complete a security assessment against a defined standard before integration</w:t>
      </w:r>
    </w:p>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Capstone Analysis</w:t>
            </w:r>
          </w:p>
        </w:tc>
      </w:tr>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vAlign w:val="top"/>
          </w:tcPr>
          <w:p>
            <w:pPr>
              <w:spacing w:after="80" w:before="80"/>
              <w:jc w:val="left"/>
            </w:pPr>
            <w:r>
              <w:rPr>
                <w:rFonts w:ascii="Arial" w:cs="Arial" w:eastAsia="Arial" w:hAnsi="Arial"/>
                <w:b/>
                <w:bCs/>
                <w:color w:val="1B3A6B"/>
                <w:sz w:val="19"/>
                <w:szCs w:val="19"/>
              </w:rPr>
              <w:t xml:space="preserve">Q: What DE.CM continuous monitoring controls could have surfaced the Marriott intrusion within weeks, not years?</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DE.CM-1 (network monitoring) combined with DE.AE-3 (event correlation) would have flagged the volume and pattern of guest record queries as statistically anomalous within days of the monitoring baseline being established. UEBA would have identified that administrator credentials were being used from unusual IP address ranges, at unusual hours, and for unusual query patterns — all strong indicators of credential theft. With a 48-hour alert threshold on anomalous data access volumes, the four-year dwell time collapses to days. The key insight is that the monitoring baseline itself is the prerequisite — you cannot detect deviations from a baseline that does not exist.</w:t>
            </w:r>
          </w:p>
        </w:tc>
      </w:tr>
    </w:tbl>
    <w:p>
      <w:pPr>
        <w:spacing w:after="0" w:before="1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E67E22"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Analyst Assessment</w:t>
            </w:r>
          </w:p>
        </w:tc>
      </w:tr>
      <w:tr>
        <w:tc>
          <w:tcPr>
            <w:tcW w:type="dxa" w:w="9360"/>
            <w:tcBorders>
              <w:top w:val="single" w:color="E67E22" w:sz="6"/>
              <w:left w:val="single" w:color="E67E22" w:sz="6"/>
              <w:bottom w:val="single" w:color="E67E22" w:sz="6"/>
              <w:right w:val="single" w:color="E67E22" w:sz="6"/>
            </w:tcBorders>
            <w:shd w:fill="FDEBD0" w:val="clear"/>
            <w:tcMar>
              <w:top w:type="dxa" w:w="100"/>
              <w:left w:type="dxa" w:w="140"/>
              <w:bottom w:type="dxa" w:w="100"/>
              <w:right w:type="dxa" w:w="140"/>
            </w:tcMar>
            <w:vAlign w:val="top"/>
          </w:tcPr>
          <w:p>
            <w:pPr>
              <w:spacing w:after="80" w:before="80"/>
              <w:jc w:val="left"/>
            </w:pPr>
            <w:r>
              <w:rPr>
                <w:rFonts w:ascii="Arial" w:cs="Arial" w:eastAsia="Arial" w:hAnsi="Arial"/>
                <w:color w:val="1B3A6B"/>
                <w:sz w:val="19"/>
                <w:szCs w:val="19"/>
              </w:rPr>
              <w:t xml:space="preserve">Marriott is the definitive M&amp;A cybersecurity case study. It established the legal precedent that acquiring a company means acquiring its liabilities — including breaches that pre-date the acquisition. For mid-level analysts, the practical lesson is this: UEBA is not a luxury — it is the primary control for detecting insider threats and credential misuse, which are the hardest attacks to catch with traditional signature-based tools. The four-year dwell time is not a failure of tooling; it is a failure to define what 'normal' looks like.</w:t>
            </w:r>
          </w:p>
        </w:tc>
      </w:tr>
    </w:tbl>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C0392B" w:val="clear"/>
            <w:tcMar>
              <w:top w:type="dxa" w:w="100"/>
              <w:left w:type="dxa" w:w="140"/>
              <w:bottom w:type="dxa" w:w="100"/>
              <w:right w:type="dxa" w:w="140"/>
            </w:tcMar>
            <w:vAlign w:val="top"/>
          </w:tcPr>
          <w:p>
            <w:pPr>
              <w:spacing w:after="20" w:before="60"/>
              <w:jc w:val="center"/>
            </w:pPr>
            <w:r>
              <w:rPr>
                <w:rFonts w:ascii="Arial" w:cs="Arial" w:eastAsia="Arial" w:hAnsi="Arial"/>
                <w:b/>
                <w:bCs/>
                <w:color w:val="FFFFFF"/>
                <w:sz w:val="28"/>
                <w:szCs w:val="28"/>
              </w:rPr>
              <w:t xml:space="preserve">FUNCTION 4: RESPOND (RS)  —  Take action regarding a detected cybersecurity incident</w:t>
            </w:r>
          </w:p>
          <w:p>
            <w:pPr>
              <w:spacing w:after="60" w:before="0"/>
              <w:jc w:val="center"/>
            </w:pPr>
            <w:r>
              <w:rPr>
                <w:rFonts w:ascii="Arial" w:cs="Arial" w:eastAsia="Arial" w:hAnsi="Arial"/>
                <w:color w:val="FFFFFF"/>
                <w:sz w:val="18"/>
                <w:szCs w:val="18"/>
              </w:rPr>
              <w:t xml:space="preserve">Develop and implement appropriate activities to take action regarding a detected cybersecurity incident.</w:t>
            </w:r>
          </w:p>
        </w:tc>
      </w:tr>
    </w:tbl>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20" w:before="80"/>
              <w:jc w:val="left"/>
            </w:pPr>
            <w:r>
              <w:rPr>
                <w:rFonts w:ascii="Arial" w:cs="Arial" w:eastAsia="Arial" w:hAnsi="Arial"/>
                <w:b/>
                <w:bCs/>
                <w:color w:val="FFFFFF"/>
                <w:sz w:val="26"/>
                <w:szCs w:val="26"/>
              </w:rPr>
              <w:t xml:space="preserve">Case Study 6: </w:t>
            </w:r>
            <w:r>
              <w:rPr>
                <w:rFonts w:ascii="Arial" w:cs="Arial" w:eastAsia="Arial" w:hAnsi="Arial"/>
                <w:b/>
                <w:bCs/>
                <w:color w:val="FFFFFF"/>
                <w:sz w:val="26"/>
                <w:szCs w:val="26"/>
              </w:rPr>
              <w:t xml:space="preserve">Colonial Pipeline</w:t>
            </w:r>
          </w:p>
          <w:p>
            <w:pPr>
              <w:spacing w:after="80" w:before="0"/>
              <w:jc w:val="left"/>
            </w:pPr>
            <w:r>
              <w:rPr>
                <w:rFonts w:ascii="Arial" w:cs="Arial" w:eastAsia="Arial" w:hAnsi="Arial"/>
                <w:color w:val="D6E4F0"/>
                <w:sz w:val="18"/>
                <w:szCs w:val="18"/>
              </w:rPr>
              <w:t xml:space="preserve">Critical Infrastructure / Energy  ·  2021</w:t>
            </w:r>
          </w:p>
        </w:tc>
        <w:tc>
          <w:tcPr>
            <w:tcW w:type="dxa" w:w="2621"/>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center"/>
          </w:tcPr>
          <w:p>
            <w:pPr>
              <w:spacing w:after="10" w:before="40"/>
              <w:jc w:val="center"/>
            </w:pPr>
            <w:r>
              <w:rPr>
                <w:rFonts w:ascii="Arial" w:cs="Arial" w:eastAsia="Arial" w:hAnsi="Arial"/>
                <w:color w:val="FFFFFF"/>
                <w:sz w:val="16"/>
                <w:szCs w:val="16"/>
              </w:rPr>
              <w:t xml:space="preserve">NIST CSF Function</w:t>
            </w:r>
          </w:p>
          <w:p>
            <w:pPr>
              <w:spacing w:after="40" w:before="0"/>
              <w:jc w:val="center"/>
            </w:pPr>
            <w:r>
              <w:rPr>
                <w:rFonts w:ascii="Arial" w:cs="Arial" w:eastAsia="Arial" w:hAnsi="Arial"/>
                <w:b/>
                <w:bCs/>
                <w:color w:val="FFFFFF"/>
                <w:sz w:val="30"/>
                <w:szCs w:val="30"/>
              </w:rPr>
              <w:t xml:space="preserve">RS</w:t>
            </w:r>
          </w:p>
        </w:tc>
      </w:tr>
    </w:tbl>
    <w:p>
      <w:pPr>
        <w:spacing w:after="0" w:before="10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Incident Summary</w:t>
      </w:r>
    </w:p>
    <w:p>
      <w:pPr>
        <w:spacing w:after="80" w:before="80"/>
        <w:jc w:val="left"/>
      </w:pPr>
      <w:r>
        <w:rPr>
          <w:rFonts w:ascii="Arial" w:cs="Arial" w:eastAsia="Arial" w:hAnsi="Arial"/>
          <w:sz w:val="20"/>
          <w:szCs w:val="20"/>
        </w:rPr>
        <w:t xml:space="preserve">DarkSide ransomware was deployed against Colonial Pipeline's IT systems via a single compromised VPN account that had no multi-factor authentication. Colonial proactively shut down 5,500 miles of pipeline — the primary fuel supply for the US East Coast — for six days, not because the OT systems were compromised but because the company could not confirm they were safe to operate without functional IT billing systems. The shutdown caused widespread fuel shortages and panic buying across the eastern United States.</w:t>
      </w:r>
    </w:p>
    <w:p>
      <w:pPr>
        <w:spacing w:after="80" w:before="80"/>
        <w:jc w:val="left"/>
      </w:pPr>
      <w:r>
        <w:rPr>
          <w:rFonts w:ascii="Arial" w:cs="Arial" w:eastAsia="Arial" w:hAnsi="Arial"/>
          <w:b w:val="false"/>
          <w:bCs w:val="false"/>
          <w:sz w:val="20"/>
          <w:szCs w:val="20"/>
        </w:rPr>
        <w:t xml:space="preserve">Root Cause: A single legacy VPN account with a weak password and no MFA was the initial access vector. No tested incident response plan existed for a ransomware scenario affecting the IT/OT boundary.</w:t>
      </w:r>
    </w:p>
    <w:p>
      <w:pPr>
        <w:spacing w:after="0" w:before="8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Impact Metric</w:t>
            </w:r>
          </w:p>
        </w:tc>
        <w:tc>
          <w:tcPr>
            <w:tcW w:type="dxa" w:w="6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Data</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Ransom Paid</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$4.4 million in Bitcoin (approximately $2.3 million recovered by FBI)</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Pipeline Shutdown</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5,500 miles of pipeline shut for 6 days — 45% of East Coast fuel supply</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Detection Time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Rapid detection of ransomware; slow and disorganised response</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Regulatory Fine</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 million PHMSA civil penalty</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National Impact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US President declared a national emergency; 17 states declared states of emergency</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CSF Subcategory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C0392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NIST CSF Subcategory Gaps Identified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RS.RP-1 — </w:t>
            </w:r>
            <w:r>
              <w:rPr>
                <w:rFonts w:ascii="Arial" w:cs="Arial" w:eastAsia="Arial" w:hAnsi="Arial"/>
                <w:sz w:val="19"/>
                <w:szCs w:val="19"/>
              </w:rPr>
              <w:t xml:space="preserve">Incident response plan not tested for ransomware affecting IT/OT boundary</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RS.CO-1 — </w:t>
            </w:r>
            <w:r>
              <w:rPr>
                <w:rFonts w:ascii="Arial" w:cs="Arial" w:eastAsia="Arial" w:hAnsi="Arial"/>
                <w:sz w:val="19"/>
                <w:szCs w:val="19"/>
              </w:rPr>
              <w:t xml:space="preserve">Personnel did not know their roles and responsibilities during the incident</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RS.MI-2 — </w:t>
            </w:r>
            <w:r>
              <w:rPr>
                <w:rFonts w:ascii="Arial" w:cs="Arial" w:eastAsia="Arial" w:hAnsi="Arial"/>
                <w:sz w:val="19"/>
                <w:szCs w:val="19"/>
              </w:rPr>
              <w:t xml:space="preserve">Incident not contained — decision to shut pipeline was reactive, not planned</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RS.CO-2 — </w:t>
            </w:r>
            <w:r>
              <w:rPr>
                <w:rFonts w:ascii="Arial" w:cs="Arial" w:eastAsia="Arial" w:hAnsi="Arial"/>
                <w:sz w:val="19"/>
                <w:szCs w:val="19"/>
              </w:rPr>
              <w:t xml:space="preserve">Incident not reported to federal authorities consistent with established criteria</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ATT&amp;CK ID</w:t>
            </w:r>
          </w:p>
        </w:tc>
        <w:tc>
          <w:tcPr>
            <w:tcW w:type="dxa" w:w="38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Technique</w:t>
            </w:r>
          </w:p>
        </w:tc>
        <w:tc>
          <w:tcPr>
            <w:tcW w:type="dxa" w:w="356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Description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T1133</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External Remote Services</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Legacy VPN account with no MFA used for initial access</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T1486</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Encrypted for Impact</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DarkSide ransomware encrypted IT systems across Colonial's environment</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T1490</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Inhibit System Recovery</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Volume shadow copies deleted to prevent recovery without paying ransom</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T1657</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Financial Theft / Extortion</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Ransom demand of $4.4M with threat of data publication</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CIS Controls v8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CIS Control</w:t>
            </w:r>
          </w:p>
        </w:tc>
        <w:tc>
          <w:tcPr>
            <w:tcW w:type="dxa" w:w="32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Control Name</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Application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6</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Access Control Management</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MFA on legacy VPN — single factor authentication on a critical remote access point</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11</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Recovery</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tested OT recovery plan; pipeline restart required ad-hoc improvisation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17</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Incident Response Management</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OT-specific IR playbook; no pre-defined shutdown decision authority</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8</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Audit Log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Insufficient visibility to confirm OT system integrity during IT incident</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Maturity Tier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1B3A6B" w:sz="6"/>
              <w:left w:val="single" w:color="1B3A6B" w:sz="6"/>
              <w:bottom w:val="single" w:color="1B3A6B" w:sz="6"/>
              <w:right w:val="single" w:color="1B3A6B" w:sz="6"/>
            </w:tcBorders>
            <w:shd w:fill="56657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Maturity Tier Assessment</w:t>
            </w:r>
          </w:p>
        </w:tc>
      </w:tr>
      <w:tr>
        <w:tc>
          <w:tcPr>
            <w:tcW w:type="dxa" w:w="234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1</w:t>
            </w:r>
          </w:p>
          <w:p>
            <w:pPr>
              <w:spacing w:after="60" w:before="0"/>
              <w:jc w:val="center"/>
            </w:pPr>
            <w:r>
              <w:rPr>
                <w:rFonts w:ascii="Arial" w:cs="Arial" w:eastAsia="Arial" w:hAnsi="Arial"/>
                <w:color w:val="FFFFFF"/>
                <w:sz w:val="16"/>
                <w:szCs w:val="16"/>
              </w:rPr>
              <w:t xml:space="preserve">Partial</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2</w:t>
            </w:r>
          </w:p>
          <w:p>
            <w:pPr>
              <w:spacing w:after="60" w:before="0"/>
              <w:jc w:val="center"/>
            </w:pPr>
            <w:r>
              <w:rPr>
                <w:rFonts w:ascii="Arial" w:cs="Arial" w:eastAsia="Arial" w:hAnsi="Arial"/>
                <w:color w:val="1B3A6B"/>
                <w:sz w:val="16"/>
                <w:szCs w:val="16"/>
              </w:rPr>
              <w:t xml:space="preserve">Risk Informed</w:t>
            </w:r>
          </w:p>
        </w:tc>
        <w:tc>
          <w:tcPr>
            <w:tcW w:type="dxa" w:w="234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3</w:t>
            </w:r>
          </w:p>
          <w:p>
            <w:pPr>
              <w:spacing w:after="60" w:before="0"/>
              <w:jc w:val="center"/>
            </w:pPr>
            <w:r>
              <w:rPr>
                <w:rFonts w:ascii="Arial" w:cs="Arial" w:eastAsia="Arial" w:hAnsi="Arial"/>
                <w:color w:val="FFFFFF"/>
                <w:sz w:val="16"/>
                <w:szCs w:val="16"/>
              </w:rPr>
              <w:t xml:space="preserve">Repeatable</w:t>
            </w:r>
          </w:p>
        </w:tc>
        <w:tc>
          <w:tcPr>
            <w:tcW w:type="dxa" w:w="234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4</w:t>
            </w:r>
          </w:p>
          <w:p>
            <w:pPr>
              <w:spacing w:after="60" w:before="0"/>
              <w:jc w:val="center"/>
            </w:pPr>
            <w:r>
              <w:rPr>
                <w:rFonts w:ascii="Arial" w:cs="Arial" w:eastAsia="Arial" w:hAnsi="Arial"/>
                <w:color w:val="1B3A6B"/>
                <w:sz w:val="16"/>
                <w:szCs w:val="16"/>
              </w:rPr>
              <w:t xml:space="preserve">Adaptive</w:t>
            </w:r>
          </w:p>
        </w:tc>
      </w:tr>
      <w:tr>
        <w:tc>
          <w:tcPr>
            <w:tcW w:type="dxa" w:w="9360"/>
            <w:gridSpan w:val="4"/>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Current: Tier 1 (Partial)  |  </w:t>
            </w:r>
            <w:r>
              <w:rPr>
                <w:rFonts w:ascii="Arial" w:cs="Arial" w:eastAsia="Arial" w:hAnsi="Arial"/>
                <w:b/>
                <w:bCs/>
                <w:color w:val="1E8449"/>
                <w:sz w:val="18"/>
                <w:szCs w:val="18"/>
              </w:rPr>
              <w:t xml:space="preserve">Target: Tier 3 (Repeatable)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2.0 Govern (GV) Function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2.0 Govern (GV) Function Linkage</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GV.RR-02 — </w:t>
            </w:r>
            <w:r>
              <w:rPr>
                <w:rFonts w:ascii="Arial" w:cs="Arial" w:eastAsia="Arial" w:hAnsi="Arial"/>
                <w:sz w:val="19"/>
                <w:szCs w:val="19"/>
              </w:rPr>
              <w:t xml:space="preserve">Roles and responsibilities for cybersecurity decisions not defined — no documented authority to shut or restart the pipeline</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GV.OC-01 — </w:t>
            </w:r>
            <w:r>
              <w:rPr>
                <w:rFonts w:ascii="Arial" w:cs="Arial" w:eastAsia="Arial" w:hAnsi="Arial"/>
                <w:sz w:val="19"/>
                <w:szCs w:val="19"/>
              </w:rPr>
              <w:t xml:space="preserve">Organisational cybersecurity policy did not cover IT/OT boundary scenarios</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GV.RM-05 — </w:t>
            </w:r>
            <w:r>
              <w:rPr>
                <w:rFonts w:ascii="Arial" w:cs="Arial" w:eastAsia="Arial" w:hAnsi="Arial"/>
                <w:sz w:val="19"/>
                <w:szCs w:val="19"/>
              </w:rPr>
              <w:t xml:space="preserve">Risk management strategy did not account for ransomware as a credible OT threat vector</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Root Cause Analysis — What Failed</w:t>
      </w:r>
    </w:p>
    <w:p>
      <w:pPr>
        <w:pStyle w:val="ListParagraph"/>
        <w:numPr>
          <w:ilvl w:val="0"/>
          <w:numId w:val="2"/>
        </w:numPr>
        <w:spacing w:after="40" w:before="40"/>
      </w:pPr>
      <w:r>
        <w:rPr>
          <w:rFonts w:ascii="Arial" w:cs="Arial" w:eastAsia="Arial" w:hAnsi="Arial"/>
          <w:sz w:val="20"/>
          <w:szCs w:val="20"/>
        </w:rPr>
        <w:t xml:space="preserve">No MFA on VPN — one compromised password gave attackers full access to Colonial's IT environment</w:t>
      </w:r>
    </w:p>
    <w:p>
      <w:pPr>
        <w:pStyle w:val="ListParagraph"/>
        <w:numPr>
          <w:ilvl w:val="0"/>
          <w:numId w:val="2"/>
        </w:numPr>
        <w:spacing w:after="40" w:before="40"/>
      </w:pPr>
      <w:r>
        <w:rPr>
          <w:rFonts w:ascii="Arial" w:cs="Arial" w:eastAsia="Arial" w:hAnsi="Arial"/>
          <w:sz w:val="20"/>
          <w:szCs w:val="20"/>
        </w:rPr>
        <w:t xml:space="preserve">No incident response playbook for ransomware affecting the IT/OT boundary — response was ad-hoc</w:t>
      </w:r>
    </w:p>
    <w:p>
      <w:pPr>
        <w:pStyle w:val="ListParagraph"/>
        <w:numPr>
          <w:ilvl w:val="0"/>
          <w:numId w:val="2"/>
        </w:numPr>
        <w:spacing w:after="40" w:before="40"/>
      </w:pPr>
      <w:r>
        <w:rPr>
          <w:rFonts w:ascii="Arial" w:cs="Arial" w:eastAsia="Arial" w:hAnsi="Arial"/>
          <w:sz w:val="20"/>
          <w:szCs w:val="20"/>
        </w:rPr>
        <w:t xml:space="preserve">Decision to shut the pipeline was reactive and made without pre-defined criteria or decision authority</w:t>
      </w:r>
    </w:p>
    <w:p>
      <w:pPr>
        <w:pStyle w:val="ListParagraph"/>
        <w:numPr>
          <w:ilvl w:val="0"/>
          <w:numId w:val="2"/>
        </w:numPr>
        <w:spacing w:after="40" w:before="40"/>
      </w:pPr>
      <w:r>
        <w:rPr>
          <w:rFonts w:ascii="Arial" w:cs="Arial" w:eastAsia="Arial" w:hAnsi="Arial"/>
          <w:sz w:val="20"/>
          <w:szCs w:val="20"/>
        </w:rPr>
        <w:t xml:space="preserve">Poor stakeholder communications amplified public panic, accelerating fuel shortages beyond physical supply impact</w:t>
      </w:r>
    </w:p>
    <w:p>
      <w:pPr>
        <w:pStyle w:val="ListParagraph"/>
        <w:numPr>
          <w:ilvl w:val="0"/>
          <w:numId w:val="2"/>
        </w:numPr>
        <w:spacing w:after="40" w:before="40"/>
      </w:pPr>
      <w:r>
        <w:rPr>
          <w:rFonts w:ascii="Arial" w:cs="Arial" w:eastAsia="Arial" w:hAnsi="Arial"/>
          <w:sz w:val="20"/>
          <w:szCs w:val="20"/>
        </w:rPr>
        <w:t xml:space="preserve">Ransom paid with no guarantee of data recovery — payment did not restore operations faster</w:t>
      </w:r>
    </w:p>
    <w:p>
      <w:pPr>
        <w:pStyle w:val="ListParagraph"/>
        <w:numPr>
          <w:ilvl w:val="0"/>
          <w:numId w:val="2"/>
        </w:numPr>
        <w:spacing w:after="40" w:before="40"/>
      </w:pPr>
      <w:r>
        <w:rPr>
          <w:rFonts w:ascii="Arial" w:cs="Arial" w:eastAsia="Arial" w:hAnsi="Arial"/>
          <w:sz w:val="20"/>
          <w:szCs w:val="20"/>
        </w:rPr>
        <w:t xml:space="preserve">No FBI or CISA engagement before the ransom payment decision was made</w:t>
      </w:r>
    </w:p>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Control Recommendations</w:t>
      </w:r>
    </w:p>
    <w:p>
      <w:pPr>
        <w:pStyle w:val="ListParagraph"/>
        <w:numPr>
          <w:ilvl w:val="0"/>
          <w:numId w:val="2"/>
        </w:numPr>
        <w:spacing w:after="40" w:before="40"/>
      </w:pPr>
      <w:r>
        <w:rPr>
          <w:rFonts w:ascii="Arial" w:cs="Arial" w:eastAsia="Arial" w:hAnsi="Arial"/>
          <w:sz w:val="20"/>
          <w:szCs w:val="20"/>
        </w:rPr>
        <w:t xml:space="preserve">Enforce MFA on every remote access vector without exception — one compromised password should never halt a national pipeline</w:t>
      </w:r>
    </w:p>
    <w:p>
      <w:pPr>
        <w:pStyle w:val="ListParagraph"/>
        <w:numPr>
          <w:ilvl w:val="0"/>
          <w:numId w:val="2"/>
        </w:numPr>
        <w:spacing w:after="40" w:before="40"/>
      </w:pPr>
      <w:r>
        <w:rPr>
          <w:rFonts w:ascii="Arial" w:cs="Arial" w:eastAsia="Arial" w:hAnsi="Arial"/>
          <w:sz w:val="20"/>
          <w:szCs w:val="20"/>
        </w:rPr>
        <w:t xml:space="preserve">Develop and rehearse OT-specific IR playbooks annually, including pre-defined criteria for OT shutdown decisions</w:t>
      </w:r>
    </w:p>
    <w:p>
      <w:pPr>
        <w:pStyle w:val="ListParagraph"/>
        <w:numPr>
          <w:ilvl w:val="0"/>
          <w:numId w:val="2"/>
        </w:numPr>
        <w:spacing w:after="40" w:before="40"/>
      </w:pPr>
      <w:r>
        <w:rPr>
          <w:rFonts w:ascii="Arial" w:cs="Arial" w:eastAsia="Arial" w:hAnsi="Arial"/>
          <w:sz w:val="20"/>
          <w:szCs w:val="20"/>
        </w:rPr>
        <w:t xml:space="preserve">Establish documented command authority: who can authorise OT shutdown, under what conditions, with what alternatives</w:t>
      </w:r>
    </w:p>
    <w:p>
      <w:pPr>
        <w:pStyle w:val="ListParagraph"/>
        <w:numPr>
          <w:ilvl w:val="0"/>
          <w:numId w:val="2"/>
        </w:numPr>
        <w:spacing w:after="40" w:before="40"/>
      </w:pPr>
      <w:r>
        <w:rPr>
          <w:rFonts w:ascii="Arial" w:cs="Arial" w:eastAsia="Arial" w:hAnsi="Arial"/>
          <w:sz w:val="20"/>
          <w:szCs w:val="20"/>
        </w:rPr>
        <w:t xml:space="preserve">Pre-draft stakeholder communications templates for ransomware scenarios — never write public statements during an active incident</w:t>
      </w:r>
    </w:p>
    <w:p>
      <w:pPr>
        <w:pStyle w:val="ListParagraph"/>
        <w:numPr>
          <w:ilvl w:val="0"/>
          <w:numId w:val="2"/>
        </w:numPr>
        <w:spacing w:after="40" w:before="40"/>
      </w:pPr>
      <w:r>
        <w:rPr>
          <w:rFonts w:ascii="Arial" w:cs="Arial" w:eastAsia="Arial" w:hAnsi="Arial"/>
          <w:sz w:val="20"/>
          <w:szCs w:val="20"/>
        </w:rPr>
        <w:t xml:space="preserve">Engage FBI and CISA before paying any ransom — they may have decryption keys, threat intelligence, or legal constraints</w:t>
      </w:r>
    </w:p>
    <w:p>
      <w:pPr>
        <w:pStyle w:val="ListParagraph"/>
        <w:numPr>
          <w:ilvl w:val="0"/>
          <w:numId w:val="2"/>
        </w:numPr>
        <w:spacing w:after="40" w:before="40"/>
      </w:pPr>
      <w:r>
        <w:rPr>
          <w:rFonts w:ascii="Arial" w:cs="Arial" w:eastAsia="Arial" w:hAnsi="Arial"/>
          <w:sz w:val="20"/>
          <w:szCs w:val="20"/>
        </w:rPr>
        <w:t xml:space="preserve">Maintain IT/OT network separation and independent OT monitoring to confirm OT integrity during IT incidents</w:t>
      </w:r>
    </w:p>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Capstone Analysis</w:t>
            </w:r>
          </w:p>
        </w:tc>
      </w:tr>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vAlign w:val="top"/>
          </w:tcPr>
          <w:p>
            <w:pPr>
              <w:spacing w:after="80" w:before="80"/>
              <w:jc w:val="left"/>
            </w:pPr>
            <w:r>
              <w:rPr>
                <w:rFonts w:ascii="Arial" w:cs="Arial" w:eastAsia="Arial" w:hAnsi="Arial"/>
                <w:b/>
                <w:bCs/>
                <w:color w:val="1B3A6B"/>
                <w:sz w:val="19"/>
                <w:szCs w:val="19"/>
              </w:rPr>
              <w:t xml:space="preserve">Q: How does NIST CSF RS.CO (communications) apply during a critical infrastructure ransomware incident?</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RS.CO-1 requires that personnel know their IR roles before an incident. RS.CO-2 requires that incidents are reported to appropriate authorities per established criteria (TSA pipeline security directives, CISA reporting obligations). RS.CO-3 requires that information is shared with stakeholders per the response plan. Colonial failed all three: roles were undefined, FBI notification was delayed, and public communications were reactive and incomplete — each failure multiplying the downstream impact. A mature RS.CO implementation would have pre-drafted communications, a clear authority matrix for shutdown decisions, and FBI/CISA on the phone within hours, not days.</w:t>
            </w:r>
          </w:p>
        </w:tc>
      </w:tr>
    </w:tbl>
    <w:p>
      <w:pPr>
        <w:spacing w:after="0" w:before="1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E67E22"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Analyst Assessment</w:t>
            </w:r>
          </w:p>
        </w:tc>
      </w:tr>
      <w:tr>
        <w:tc>
          <w:tcPr>
            <w:tcW w:type="dxa" w:w="9360"/>
            <w:tcBorders>
              <w:top w:val="single" w:color="E67E22" w:sz="6"/>
              <w:left w:val="single" w:color="E67E22" w:sz="6"/>
              <w:bottom w:val="single" w:color="E67E22" w:sz="6"/>
              <w:right w:val="single" w:color="E67E22" w:sz="6"/>
            </w:tcBorders>
            <w:shd w:fill="FDEBD0" w:val="clear"/>
            <w:tcMar>
              <w:top w:type="dxa" w:w="100"/>
              <w:left w:type="dxa" w:w="140"/>
              <w:bottom w:type="dxa" w:w="100"/>
              <w:right w:type="dxa" w:w="140"/>
            </w:tcMar>
            <w:vAlign w:val="top"/>
          </w:tcPr>
          <w:p>
            <w:pPr>
              <w:spacing w:after="80" w:before="80"/>
              <w:jc w:val="left"/>
            </w:pPr>
            <w:r>
              <w:rPr>
                <w:rFonts w:ascii="Arial" w:cs="Arial" w:eastAsia="Arial" w:hAnsi="Arial"/>
                <w:color w:val="1B3A6B"/>
                <w:sz w:val="19"/>
                <w:szCs w:val="19"/>
              </w:rPr>
              <w:t xml:space="preserve">Colonial Pipeline is the case study that converted MFA from a best practice into a political imperative. The Biden administration's subsequent TSA security directives mandating MFA for pipeline operators were a direct result. For mid-level analysts, the most important lesson is the distinction between detection and response maturity. Colonial detected the ransomware quickly — but had no plan for what to do next. RS maturity is not about detecting faster; it is about having pre-decided, rehearsed decisions so that response time compresses from days to hours.</w:t>
            </w:r>
          </w:p>
        </w:tc>
      </w:tr>
    </w:tbl>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20" w:before="80"/>
              <w:jc w:val="left"/>
            </w:pPr>
            <w:r>
              <w:rPr>
                <w:rFonts w:ascii="Arial" w:cs="Arial" w:eastAsia="Arial" w:hAnsi="Arial"/>
                <w:b/>
                <w:bCs/>
                <w:color w:val="FFFFFF"/>
                <w:sz w:val="26"/>
                <w:szCs w:val="26"/>
              </w:rPr>
              <w:t xml:space="preserve">Case Study 7: </w:t>
            </w:r>
            <w:r>
              <w:rPr>
                <w:rFonts w:ascii="Arial" w:cs="Arial" w:eastAsia="Arial" w:hAnsi="Arial"/>
                <w:b/>
                <w:bCs/>
                <w:color w:val="FFFFFF"/>
                <w:sz w:val="26"/>
                <w:szCs w:val="26"/>
              </w:rPr>
              <w:t xml:space="preserve">British Airways</w:t>
            </w:r>
          </w:p>
          <w:p>
            <w:pPr>
              <w:spacing w:after="80" w:before="0"/>
              <w:jc w:val="left"/>
            </w:pPr>
            <w:r>
              <w:rPr>
                <w:rFonts w:ascii="Arial" w:cs="Arial" w:eastAsia="Arial" w:hAnsi="Arial"/>
                <w:color w:val="D6E4F0"/>
                <w:sz w:val="18"/>
                <w:szCs w:val="18"/>
              </w:rPr>
              <w:t xml:space="preserve">Aviation / E-Commerce  ·  2018</w:t>
            </w:r>
          </w:p>
        </w:tc>
        <w:tc>
          <w:tcPr>
            <w:tcW w:type="dxa" w:w="2621"/>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center"/>
          </w:tcPr>
          <w:p>
            <w:pPr>
              <w:spacing w:after="10" w:before="40"/>
              <w:jc w:val="center"/>
            </w:pPr>
            <w:r>
              <w:rPr>
                <w:rFonts w:ascii="Arial" w:cs="Arial" w:eastAsia="Arial" w:hAnsi="Arial"/>
                <w:color w:val="FFFFFF"/>
                <w:sz w:val="16"/>
                <w:szCs w:val="16"/>
              </w:rPr>
              <w:t xml:space="preserve">NIST CSF Function</w:t>
            </w:r>
          </w:p>
          <w:p>
            <w:pPr>
              <w:spacing w:after="40" w:before="0"/>
              <w:jc w:val="center"/>
            </w:pPr>
            <w:r>
              <w:rPr>
                <w:rFonts w:ascii="Arial" w:cs="Arial" w:eastAsia="Arial" w:hAnsi="Arial"/>
                <w:b/>
                <w:bCs/>
                <w:color w:val="FFFFFF"/>
                <w:sz w:val="30"/>
                <w:szCs w:val="30"/>
              </w:rPr>
              <w:t xml:space="preserve">RS</w:t>
            </w:r>
          </w:p>
        </w:tc>
      </w:tr>
    </w:tbl>
    <w:p>
      <w:pPr>
        <w:spacing w:after="0" w:before="10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Incident Summary</w:t>
      </w:r>
    </w:p>
    <w:p>
      <w:pPr>
        <w:spacing w:after="80" w:before="80"/>
        <w:jc w:val="left"/>
      </w:pPr>
      <w:r>
        <w:rPr>
          <w:rFonts w:ascii="Arial" w:cs="Arial" w:eastAsia="Arial" w:hAnsi="Arial"/>
          <w:sz w:val="20"/>
          <w:szCs w:val="20"/>
        </w:rPr>
        <w:t xml:space="preserve">A Magecart threat actor injected a malicious 22-line JavaScript skimmer into British Airways' booking website by compromising a third-party analytics script. The skimmer silently harvested payment card details, names, and billing addresses for 500,000 customers over 14 days before discovery. British Airways failed to report the breach to the ICO within the mandatory 72-hour GDPR window.</w:t>
      </w:r>
    </w:p>
    <w:p>
      <w:pPr>
        <w:spacing w:after="80" w:before="80"/>
        <w:jc w:val="left"/>
      </w:pPr>
      <w:r>
        <w:rPr>
          <w:rFonts w:ascii="Arial" w:cs="Arial" w:eastAsia="Arial" w:hAnsi="Arial"/>
          <w:b w:val="false"/>
          <w:bCs w:val="false"/>
          <w:sz w:val="20"/>
          <w:szCs w:val="20"/>
        </w:rPr>
        <w:t xml:space="preserve">Root Cause: No Content Security Policy or subresource integrity checking was in place to detect or block the unauthorised modification of third-party scripts loaded by the payment page.</w:t>
      </w:r>
    </w:p>
    <w:p>
      <w:pPr>
        <w:spacing w:after="0" w:before="8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Impact Metric</w:t>
            </w:r>
          </w:p>
        </w:tc>
        <w:tc>
          <w:tcPr>
            <w:tcW w:type="dxa" w:w="6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Data</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ICO Fine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£20 million (reduced from initial £183 million notice due to COVID-19 and cooperation)</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Records Exposed</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500,000 customers (payment card details, names, billing addresses)</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Detection Time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14 days of active skimming before discovery</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GDPR Notification</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Breach reported to ICO after the 72-hour mandatory window had elapsed</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Attack Duration</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Skimmer active from 21 August to 5 September 2018</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CSF Subcategory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C0392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NIST CSF Subcategory Gaps Identified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RS.AN-1 — </w:t>
            </w:r>
            <w:r>
              <w:rPr>
                <w:rFonts w:ascii="Arial" w:cs="Arial" w:eastAsia="Arial" w:hAnsi="Arial"/>
                <w:sz w:val="19"/>
                <w:szCs w:val="19"/>
              </w:rPr>
              <w:t xml:space="preserve">No forensic analysis capability to investigate web application alerts</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RS.CO-2 — </w:t>
            </w:r>
            <w:r>
              <w:rPr>
                <w:rFonts w:ascii="Arial" w:cs="Arial" w:eastAsia="Arial" w:hAnsi="Arial"/>
                <w:sz w:val="19"/>
                <w:szCs w:val="19"/>
              </w:rPr>
              <w:t xml:space="preserve">Incident not reported to ICO within the required 72-hour GDPR window</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DE.CM-4 — </w:t>
            </w:r>
            <w:r>
              <w:rPr>
                <w:rFonts w:ascii="Arial" w:cs="Arial" w:eastAsia="Arial" w:hAnsi="Arial"/>
                <w:sz w:val="19"/>
                <w:szCs w:val="19"/>
              </w:rPr>
              <w:t xml:space="preserve">Malicious code modification not detected — the primary detection failure</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RS.CO-3 — </w:t>
            </w:r>
            <w:r>
              <w:rPr>
                <w:rFonts w:ascii="Arial" w:cs="Arial" w:eastAsia="Arial" w:hAnsi="Arial"/>
                <w:sz w:val="19"/>
                <w:szCs w:val="19"/>
              </w:rPr>
              <w:t xml:space="preserve">Information not shared with affected customers consistent with response plans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ATT&amp;CK ID</w:t>
            </w:r>
          </w:p>
        </w:tc>
        <w:tc>
          <w:tcPr>
            <w:tcW w:type="dxa" w:w="38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Technique</w:t>
            </w:r>
          </w:p>
        </w:tc>
        <w:tc>
          <w:tcPr>
            <w:tcW w:type="dxa" w:w="356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Description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T1189</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Drive-by Compromise</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Third-party analytics script compromised to deliver skimmer to BA's booking page</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T1059.007</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JavaScript Execution</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22-line JavaScript skimmer injected into ba.com payment page</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T1041</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Exfiltration Over Web Service</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Card data POST-ed to attacker-controlled domain (baways.com) mimicking BA's domain</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T1036</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Masquerading</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Attacker domain (baways.com) chosen to mimic legitimate British Airways infrastructure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CIS Controls v8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CIS Control</w:t>
            </w:r>
          </w:p>
        </w:tc>
        <w:tc>
          <w:tcPr>
            <w:tcW w:type="dxa" w:w="32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Control Name</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Application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16</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Application Software Security</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Content Security Policy or subresource integrity on the payment page</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13</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Network Monitoring and Defence</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egress monitoring to detect POST requests to unknown external domains</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17</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Incident Response Management</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GDPR 72-hour notification window not built into IR runbook</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8</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Audit Log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web application log correlation to detect anomalous script behaviour</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Maturity Tier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1B3A6B" w:sz="6"/>
              <w:left w:val="single" w:color="1B3A6B" w:sz="6"/>
              <w:bottom w:val="single" w:color="1B3A6B" w:sz="6"/>
              <w:right w:val="single" w:color="1B3A6B" w:sz="6"/>
            </w:tcBorders>
            <w:shd w:fill="56657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Maturity Tier Assessment</w:t>
            </w:r>
          </w:p>
        </w:tc>
      </w:tr>
      <w:tr>
        <w:tc>
          <w:tcPr>
            <w:tcW w:type="dxa" w:w="234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1</w:t>
            </w:r>
          </w:p>
          <w:p>
            <w:pPr>
              <w:spacing w:after="60" w:before="0"/>
              <w:jc w:val="center"/>
            </w:pPr>
            <w:r>
              <w:rPr>
                <w:rFonts w:ascii="Arial" w:cs="Arial" w:eastAsia="Arial" w:hAnsi="Arial"/>
                <w:color w:val="FFFFFF"/>
                <w:sz w:val="16"/>
                <w:szCs w:val="16"/>
              </w:rPr>
              <w:t xml:space="preserve">Partial</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2</w:t>
            </w:r>
          </w:p>
          <w:p>
            <w:pPr>
              <w:spacing w:after="60" w:before="0"/>
              <w:jc w:val="center"/>
            </w:pPr>
            <w:r>
              <w:rPr>
                <w:rFonts w:ascii="Arial" w:cs="Arial" w:eastAsia="Arial" w:hAnsi="Arial"/>
                <w:color w:val="1B3A6B"/>
                <w:sz w:val="16"/>
                <w:szCs w:val="16"/>
              </w:rPr>
              <w:t xml:space="preserve">Risk Informed</w:t>
            </w:r>
          </w:p>
        </w:tc>
        <w:tc>
          <w:tcPr>
            <w:tcW w:type="dxa" w:w="234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3</w:t>
            </w:r>
          </w:p>
          <w:p>
            <w:pPr>
              <w:spacing w:after="60" w:before="0"/>
              <w:jc w:val="center"/>
            </w:pPr>
            <w:r>
              <w:rPr>
                <w:rFonts w:ascii="Arial" w:cs="Arial" w:eastAsia="Arial" w:hAnsi="Arial"/>
                <w:color w:val="FFFFFF"/>
                <w:sz w:val="16"/>
                <w:szCs w:val="16"/>
              </w:rPr>
              <w:t xml:space="preserve">Repeatable</w:t>
            </w:r>
          </w:p>
        </w:tc>
        <w:tc>
          <w:tcPr>
            <w:tcW w:type="dxa" w:w="234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4</w:t>
            </w:r>
          </w:p>
          <w:p>
            <w:pPr>
              <w:spacing w:after="60" w:before="0"/>
              <w:jc w:val="center"/>
            </w:pPr>
            <w:r>
              <w:rPr>
                <w:rFonts w:ascii="Arial" w:cs="Arial" w:eastAsia="Arial" w:hAnsi="Arial"/>
                <w:color w:val="1B3A6B"/>
                <w:sz w:val="16"/>
                <w:szCs w:val="16"/>
              </w:rPr>
              <w:t xml:space="preserve">Adaptive</w:t>
            </w:r>
          </w:p>
        </w:tc>
      </w:tr>
      <w:tr>
        <w:tc>
          <w:tcPr>
            <w:tcW w:type="dxa" w:w="9360"/>
            <w:gridSpan w:val="4"/>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Current: Tier 1 (Partial)  |  </w:t>
            </w:r>
            <w:r>
              <w:rPr>
                <w:rFonts w:ascii="Arial" w:cs="Arial" w:eastAsia="Arial" w:hAnsi="Arial"/>
                <w:b/>
                <w:bCs/>
                <w:color w:val="1E8449"/>
                <w:sz w:val="18"/>
                <w:szCs w:val="18"/>
              </w:rPr>
              <w:t xml:space="preserve">Target: Tier 3 (Repeatable)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2.0 Govern (GV) Function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2.0 Govern (GV) Function Linkage</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GV.OC-02 — </w:t>
            </w:r>
            <w:r>
              <w:rPr>
                <w:rFonts w:ascii="Arial" w:cs="Arial" w:eastAsia="Arial" w:hAnsi="Arial"/>
                <w:sz w:val="19"/>
                <w:szCs w:val="19"/>
              </w:rPr>
              <w:t xml:space="preserve">GDPR notification obligations not embedded in IR procedures — legal requirement treated as an afterthought</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GV.SC-04 — </w:t>
            </w:r>
            <w:r>
              <w:rPr>
                <w:rFonts w:ascii="Arial" w:cs="Arial" w:eastAsia="Arial" w:hAnsi="Arial"/>
                <w:sz w:val="19"/>
                <w:szCs w:val="19"/>
              </w:rPr>
              <w:t xml:space="preserve">Third-party script suppliers not assessed for integrity controls or contractual security requirements</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GV.RR-02 — </w:t>
            </w:r>
            <w:r>
              <w:rPr>
                <w:rFonts w:ascii="Arial" w:cs="Arial" w:eastAsia="Arial" w:hAnsi="Arial"/>
                <w:sz w:val="19"/>
                <w:szCs w:val="19"/>
              </w:rPr>
              <w:t xml:space="preserve">Roles and responsibilities for GDPR notification decisions not pre-assigned</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Root Cause Analysis — What Failed</w:t>
      </w:r>
    </w:p>
    <w:p>
      <w:pPr>
        <w:pStyle w:val="ListParagraph"/>
        <w:numPr>
          <w:ilvl w:val="0"/>
          <w:numId w:val="2"/>
        </w:numPr>
        <w:spacing w:after="40" w:before="40"/>
      </w:pPr>
      <w:r>
        <w:rPr>
          <w:rFonts w:ascii="Arial" w:cs="Arial" w:eastAsia="Arial" w:hAnsi="Arial"/>
          <w:sz w:val="20"/>
          <w:szCs w:val="20"/>
        </w:rPr>
        <w:t xml:space="preserve">No Content Security Policy (CSP) headers to restrict which scripts were permitted to execute on the payment page</w:t>
      </w:r>
    </w:p>
    <w:p>
      <w:pPr>
        <w:pStyle w:val="ListParagraph"/>
        <w:numPr>
          <w:ilvl w:val="0"/>
          <w:numId w:val="2"/>
        </w:numPr>
        <w:spacing w:after="40" w:before="40"/>
      </w:pPr>
      <w:r>
        <w:rPr>
          <w:rFonts w:ascii="Arial" w:cs="Arial" w:eastAsia="Arial" w:hAnsi="Arial"/>
          <w:sz w:val="20"/>
          <w:szCs w:val="20"/>
        </w:rPr>
        <w:t xml:space="preserve">No subresource integrity (SRI) hashing on third-party scripts — modifications went completely undetected</w:t>
      </w:r>
    </w:p>
    <w:p>
      <w:pPr>
        <w:pStyle w:val="ListParagraph"/>
        <w:numPr>
          <w:ilvl w:val="0"/>
          <w:numId w:val="2"/>
        </w:numPr>
        <w:spacing w:after="40" w:before="40"/>
      </w:pPr>
      <w:r>
        <w:rPr>
          <w:rFonts w:ascii="Arial" w:cs="Arial" w:eastAsia="Arial" w:hAnsi="Arial"/>
          <w:sz w:val="20"/>
          <w:szCs w:val="20"/>
        </w:rPr>
        <w:t xml:space="preserve">No real-time alerting on data exfiltration to external domains — POST requests to baways.com were not flagged</w:t>
      </w:r>
    </w:p>
    <w:p>
      <w:pPr>
        <w:pStyle w:val="ListParagraph"/>
        <w:numPr>
          <w:ilvl w:val="0"/>
          <w:numId w:val="2"/>
        </w:numPr>
        <w:spacing w:after="40" w:before="40"/>
      </w:pPr>
      <w:r>
        <w:rPr>
          <w:rFonts w:ascii="Arial" w:cs="Arial" w:eastAsia="Arial" w:hAnsi="Arial"/>
          <w:sz w:val="20"/>
          <w:szCs w:val="20"/>
        </w:rPr>
        <w:t xml:space="preserve">GDPR breach notification to the ICO was not made within the mandatory 72-hour window</w:t>
      </w:r>
    </w:p>
    <w:p>
      <w:pPr>
        <w:pStyle w:val="ListParagraph"/>
        <w:numPr>
          <w:ilvl w:val="0"/>
          <w:numId w:val="2"/>
        </w:numPr>
        <w:spacing w:after="40" w:before="40"/>
      </w:pPr>
      <w:r>
        <w:rPr>
          <w:rFonts w:ascii="Arial" w:cs="Arial" w:eastAsia="Arial" w:hAnsi="Arial"/>
          <w:sz w:val="20"/>
          <w:szCs w:val="20"/>
        </w:rPr>
        <w:t xml:space="preserve">No network-level egress filtering to detect unusual POST requests to unrecognised external infrastructure</w:t>
      </w:r>
    </w:p>
    <w:p>
      <w:pPr>
        <w:pStyle w:val="ListParagraph"/>
        <w:numPr>
          <w:ilvl w:val="0"/>
          <w:numId w:val="2"/>
        </w:numPr>
        <w:spacing w:after="40" w:before="40"/>
      </w:pPr>
      <w:r>
        <w:rPr>
          <w:rFonts w:ascii="Arial" w:cs="Arial" w:eastAsia="Arial" w:hAnsi="Arial"/>
          <w:sz w:val="20"/>
          <w:szCs w:val="20"/>
        </w:rPr>
        <w:t xml:space="preserve">Third-party script supplier not required by contract to maintain integrity controls over their code</w:t>
      </w:r>
    </w:p>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Control Recommendations</w:t>
      </w:r>
    </w:p>
    <w:p>
      <w:pPr>
        <w:pStyle w:val="ListParagraph"/>
        <w:numPr>
          <w:ilvl w:val="0"/>
          <w:numId w:val="2"/>
        </w:numPr>
        <w:spacing w:after="40" w:before="40"/>
      </w:pPr>
      <w:r>
        <w:rPr>
          <w:rFonts w:ascii="Arial" w:cs="Arial" w:eastAsia="Arial" w:hAnsi="Arial"/>
          <w:sz w:val="20"/>
          <w:szCs w:val="20"/>
        </w:rPr>
        <w:t xml:space="preserve">Implement Content Security Policy headers on all payment pages — restrict script sources to a strict allowlist</w:t>
      </w:r>
    </w:p>
    <w:p>
      <w:pPr>
        <w:pStyle w:val="ListParagraph"/>
        <w:numPr>
          <w:ilvl w:val="0"/>
          <w:numId w:val="2"/>
        </w:numPr>
        <w:spacing w:after="40" w:before="40"/>
      </w:pPr>
      <w:r>
        <w:rPr>
          <w:rFonts w:ascii="Arial" w:cs="Arial" w:eastAsia="Arial" w:hAnsi="Arial"/>
          <w:sz w:val="20"/>
          <w:szCs w:val="20"/>
        </w:rPr>
        <w:t xml:space="preserve">Add subresource integrity (SRI) hashes to every third-party script — any modification will break the hash and alert</w:t>
      </w:r>
    </w:p>
    <w:p>
      <w:pPr>
        <w:pStyle w:val="ListParagraph"/>
        <w:numPr>
          <w:ilvl w:val="0"/>
          <w:numId w:val="2"/>
        </w:numPr>
        <w:spacing w:after="40" w:before="40"/>
      </w:pPr>
      <w:r>
        <w:rPr>
          <w:rFonts w:ascii="Arial" w:cs="Arial" w:eastAsia="Arial" w:hAnsi="Arial"/>
          <w:sz w:val="20"/>
          <w:szCs w:val="20"/>
        </w:rPr>
        <w:t xml:space="preserve">Build the 72-hour GDPR breach notification workflow into your IR runbook as a first-class, timestamped obligation</w:t>
      </w:r>
    </w:p>
    <w:p>
      <w:pPr>
        <w:pStyle w:val="ListParagraph"/>
        <w:numPr>
          <w:ilvl w:val="0"/>
          <w:numId w:val="2"/>
        </w:numPr>
        <w:spacing w:after="40" w:before="40"/>
      </w:pPr>
      <w:r>
        <w:rPr>
          <w:rFonts w:ascii="Arial" w:cs="Arial" w:eastAsia="Arial" w:hAnsi="Arial"/>
          <w:sz w:val="20"/>
          <w:szCs w:val="20"/>
        </w:rPr>
        <w:t xml:space="preserve">Deploy real-time monitoring for data exfiltration — alert immediately on POST requests to domains not on the approved list</w:t>
      </w:r>
    </w:p>
    <w:p>
      <w:pPr>
        <w:pStyle w:val="ListParagraph"/>
        <w:numPr>
          <w:ilvl w:val="0"/>
          <w:numId w:val="2"/>
        </w:numPr>
        <w:spacing w:after="40" w:before="40"/>
      </w:pPr>
      <w:r>
        <w:rPr>
          <w:rFonts w:ascii="Arial" w:cs="Arial" w:eastAsia="Arial" w:hAnsi="Arial"/>
          <w:sz w:val="20"/>
          <w:szCs w:val="20"/>
        </w:rPr>
        <w:t xml:space="preserve">Conduct quarterly web application security reviews on all customer-facing payment flows</w:t>
      </w:r>
    </w:p>
    <w:p>
      <w:pPr>
        <w:pStyle w:val="ListParagraph"/>
        <w:numPr>
          <w:ilvl w:val="0"/>
          <w:numId w:val="2"/>
        </w:numPr>
        <w:spacing w:after="40" w:before="40"/>
      </w:pPr>
      <w:r>
        <w:rPr>
          <w:rFonts w:ascii="Arial" w:cs="Arial" w:eastAsia="Arial" w:hAnsi="Arial"/>
          <w:sz w:val="20"/>
          <w:szCs w:val="20"/>
        </w:rPr>
        <w:t xml:space="preserve">Require third-party script suppliers to cryptographically sign their script releases</w:t>
      </w:r>
    </w:p>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Capstone Analysis</w:t>
            </w:r>
          </w:p>
        </w:tc>
      </w:tr>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vAlign w:val="top"/>
          </w:tcPr>
          <w:p>
            <w:pPr>
              <w:spacing w:after="80" w:before="80"/>
              <w:jc w:val="left"/>
            </w:pPr>
            <w:r>
              <w:rPr>
                <w:rFonts w:ascii="Arial" w:cs="Arial" w:eastAsia="Arial" w:hAnsi="Arial"/>
                <w:b/>
                <w:bCs/>
                <w:color w:val="1B3A6B"/>
                <w:sz w:val="19"/>
                <w:szCs w:val="19"/>
              </w:rPr>
              <w:t xml:space="preserve">Q: How does NIST CSF RS.CO interact with GDPR's 72-hour breach notification requirement?</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RS.CO-2 requires that incidents are reported consistent with established criteria and applicable law. In the EU/UK context, GDPR Article 33 mandates notification to the supervisory authority within 72 hours of becoming aware of a personal data breach. The key operational requirement is that the 72-hour clock starts when the organisation becomes aware — not when forensics are complete. British Airways's delayed notification was a direct violation of RS.CO-2 and Article 33. The practical implication is that GDPR notification must be a pre-defined, automated step in the IR runbook — triggered by awareness of a potential breach, not confirmation of its full scope.</w:t>
            </w:r>
          </w:p>
        </w:tc>
      </w:tr>
    </w:tbl>
    <w:p>
      <w:pPr>
        <w:spacing w:after="0" w:before="1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E67E22"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Analyst Assessment</w:t>
            </w:r>
          </w:p>
        </w:tc>
      </w:tr>
      <w:tr>
        <w:tc>
          <w:tcPr>
            <w:tcW w:type="dxa" w:w="9360"/>
            <w:tcBorders>
              <w:top w:val="single" w:color="E67E22" w:sz="6"/>
              <w:left w:val="single" w:color="E67E22" w:sz="6"/>
              <w:bottom w:val="single" w:color="E67E22" w:sz="6"/>
              <w:right w:val="single" w:color="E67E22" w:sz="6"/>
            </w:tcBorders>
            <w:shd w:fill="FDEBD0" w:val="clear"/>
            <w:tcMar>
              <w:top w:type="dxa" w:w="100"/>
              <w:left w:type="dxa" w:w="140"/>
              <w:bottom w:type="dxa" w:w="100"/>
              <w:right w:type="dxa" w:w="140"/>
            </w:tcMar>
            <w:vAlign w:val="top"/>
          </w:tcPr>
          <w:p>
            <w:pPr>
              <w:spacing w:after="80" w:before="80"/>
              <w:jc w:val="left"/>
            </w:pPr>
            <w:r>
              <w:rPr>
                <w:rFonts w:ascii="Arial" w:cs="Arial" w:eastAsia="Arial" w:hAnsi="Arial"/>
                <w:color w:val="1B3A6B"/>
                <w:sz w:val="19"/>
                <w:szCs w:val="19"/>
              </w:rPr>
              <w:t xml:space="preserve">British Airways is the definitive Magecart case study, and it is uniquely relevant for any organisation with a web-based payment flow. The attack vector — a compromised third-party script — is technically trivial to defend against with CSP and SRI headers. Both controls take hours to implement and have near-zero ongoing operational cost. The £20 million fine represents one of the most unfavourable cost-to-control ratios in this entire capstone. Mid-level analysts should use this case to justify mandatory web application security reviews and third-party script governance programmes.</w:t>
            </w:r>
          </w:p>
        </w:tc>
      </w:tr>
    </w:tbl>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1E8449" w:sz="8"/>
              <w:right w:val="single" w:color="1E8449" w:sz="8"/>
            </w:tcBorders>
            <w:shd w:fill="1E8449" w:val="clear"/>
            <w:tcMar>
              <w:top w:type="dxa" w:w="100"/>
              <w:left w:type="dxa" w:w="140"/>
              <w:bottom w:type="dxa" w:w="100"/>
              <w:right w:type="dxa" w:w="140"/>
            </w:tcMar>
            <w:vAlign w:val="top"/>
          </w:tcPr>
          <w:p>
            <w:pPr>
              <w:spacing w:after="20" w:before="60"/>
              <w:jc w:val="center"/>
            </w:pPr>
            <w:r>
              <w:rPr>
                <w:rFonts w:ascii="Arial" w:cs="Arial" w:eastAsia="Arial" w:hAnsi="Arial"/>
                <w:b/>
                <w:bCs/>
                <w:color w:val="FFFFFF"/>
                <w:sz w:val="28"/>
                <w:szCs w:val="28"/>
              </w:rPr>
              <w:t xml:space="preserve">FUNCTION 5: RECOVER (RC)  —  Maintain plans for resilience and restore impaired capabilities</w:t>
            </w:r>
          </w:p>
          <w:p>
            <w:pPr>
              <w:spacing w:after="60" w:before="0"/>
              <w:jc w:val="center"/>
            </w:pPr>
            <w:r>
              <w:rPr>
                <w:rFonts w:ascii="Arial" w:cs="Arial" w:eastAsia="Arial" w:hAnsi="Arial"/>
                <w:color w:val="FFFFFF"/>
                <w:sz w:val="18"/>
                <w:szCs w:val="18"/>
              </w:rPr>
              <w:t xml:space="preserve">Develop and implement appropriate activities to maintain plans for resilience and to restore any capabilities or services impaired due to a cybersecurity incident.</w:t>
            </w:r>
          </w:p>
        </w:tc>
      </w:tr>
    </w:tbl>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20" w:before="80"/>
              <w:jc w:val="left"/>
            </w:pPr>
            <w:r>
              <w:rPr>
                <w:rFonts w:ascii="Arial" w:cs="Arial" w:eastAsia="Arial" w:hAnsi="Arial"/>
                <w:b/>
                <w:bCs/>
                <w:color w:val="FFFFFF"/>
                <w:sz w:val="26"/>
                <w:szCs w:val="26"/>
              </w:rPr>
              <w:t xml:space="preserve">Case Study 8: </w:t>
            </w:r>
            <w:r>
              <w:rPr>
                <w:rFonts w:ascii="Arial" w:cs="Arial" w:eastAsia="Arial" w:hAnsi="Arial"/>
                <w:b/>
                <w:bCs/>
                <w:color w:val="FFFFFF"/>
                <w:sz w:val="26"/>
                <w:szCs w:val="26"/>
              </w:rPr>
              <w:t xml:space="preserve">Maersk</w:t>
            </w:r>
          </w:p>
          <w:p>
            <w:pPr>
              <w:spacing w:after="80" w:before="0"/>
              <w:jc w:val="left"/>
            </w:pPr>
            <w:r>
              <w:rPr>
                <w:rFonts w:ascii="Arial" w:cs="Arial" w:eastAsia="Arial" w:hAnsi="Arial"/>
                <w:color w:val="D6E4F0"/>
                <w:sz w:val="18"/>
                <w:szCs w:val="18"/>
              </w:rPr>
              <w:t xml:space="preserve">Shipping / Logistics  ·  2017</w:t>
            </w:r>
          </w:p>
        </w:tc>
        <w:tc>
          <w:tcPr>
            <w:tcW w:type="dxa" w:w="2621"/>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center"/>
          </w:tcPr>
          <w:p>
            <w:pPr>
              <w:spacing w:after="10" w:before="40"/>
              <w:jc w:val="center"/>
            </w:pPr>
            <w:r>
              <w:rPr>
                <w:rFonts w:ascii="Arial" w:cs="Arial" w:eastAsia="Arial" w:hAnsi="Arial"/>
                <w:color w:val="FFFFFF"/>
                <w:sz w:val="16"/>
                <w:szCs w:val="16"/>
              </w:rPr>
              <w:t xml:space="preserve">NIST CSF Function</w:t>
            </w:r>
          </w:p>
          <w:p>
            <w:pPr>
              <w:spacing w:after="40" w:before="0"/>
              <w:jc w:val="center"/>
            </w:pPr>
            <w:r>
              <w:rPr>
                <w:rFonts w:ascii="Arial" w:cs="Arial" w:eastAsia="Arial" w:hAnsi="Arial"/>
                <w:b/>
                <w:bCs/>
                <w:color w:val="FFFFFF"/>
                <w:sz w:val="30"/>
                <w:szCs w:val="30"/>
              </w:rPr>
              <w:t xml:space="preserve">RC</w:t>
            </w:r>
          </w:p>
        </w:tc>
      </w:tr>
    </w:tbl>
    <w:p>
      <w:pPr>
        <w:spacing w:after="0" w:before="10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Incident Summary</w:t>
      </w:r>
    </w:p>
    <w:p>
      <w:pPr>
        <w:spacing w:after="80" w:before="80"/>
        <w:jc w:val="left"/>
      </w:pPr>
      <w:r>
        <w:rPr>
          <w:rFonts w:ascii="Arial" w:cs="Arial" w:eastAsia="Arial" w:hAnsi="Arial"/>
          <w:sz w:val="20"/>
          <w:szCs w:val="20"/>
        </w:rPr>
        <w:t xml:space="preserve">NotPetya — a destructive wiper malware deployed by Russian GRU as a weapon of cyber warfare, initially targeting Ukraine — entered Maersk's network through a trojanised Ukrainian accounting software update. Within hours, NotPetya wiped 45,000 PCs, 4,000 servers, and 2,500 applications across all 130 of Maersk's global sites. Recovery was only possible because a single domain controller in Ghana was offline during the attack — coincidence, not planning.</w:t>
      </w:r>
    </w:p>
    <w:p>
      <w:pPr>
        <w:spacing w:after="80" w:before="80"/>
        <w:jc w:val="left"/>
      </w:pPr>
      <w:r>
        <w:rPr>
          <w:rFonts w:ascii="Arial" w:cs="Arial" w:eastAsia="Arial" w:hAnsi="Arial"/>
          <w:b w:val="false"/>
          <w:bCs w:val="false"/>
          <w:sz w:val="20"/>
          <w:szCs w:val="20"/>
        </w:rPr>
        <w:t xml:space="preserve">Root Cause: A fully flat, globally interconnected network allowed NotPetya to propagate to all 130 global sites in under 10 minutes. No offline backup of Active Directory existed, and no tested recovery procedure had ever been executed.</w:t>
      </w:r>
    </w:p>
    <w:p>
      <w:pPr>
        <w:spacing w:after="0" w:before="8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Impact Metric</w:t>
            </w:r>
          </w:p>
        </w:tc>
        <w:tc>
          <w:tcPr>
            <w:tcW w:type="dxa" w:w="6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Data</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Financial Cost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$300 million+ total impact</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Scope</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45,000 PCs, 4,000 servers, 2,500 applications wiped across 130 global sites</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Detection Time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Immediate — NotPetya is a wiper, not a stealth attack</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Recovery Time</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10 days to restore critical operations; weeks for full recovery</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Attribution</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Attributed to Russian GRU Sandworm unit — indictments issued by US DOJ in 2020</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CSF Subcategory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C0392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NIST CSF Subcategory Gaps Identified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RC.RP-1 — </w:t>
            </w:r>
            <w:r>
              <w:rPr>
                <w:rFonts w:ascii="Arial" w:cs="Arial" w:eastAsia="Arial" w:hAnsi="Arial"/>
                <w:sz w:val="19"/>
                <w:szCs w:val="19"/>
              </w:rPr>
              <w:t xml:space="preserve">Recovery plan not in place or tested for total infrastructure destruction scenario</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RC.IM-1 — </w:t>
            </w:r>
            <w:r>
              <w:rPr>
                <w:rFonts w:ascii="Arial" w:cs="Arial" w:eastAsia="Arial" w:hAnsi="Arial"/>
                <w:sz w:val="19"/>
                <w:szCs w:val="19"/>
              </w:rPr>
              <w:t xml:space="preserve">Recovery plan did not incorporate lessons from previous incidents or exercises</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RC.CO-3 — </w:t>
            </w:r>
            <w:r>
              <w:rPr>
                <w:rFonts w:ascii="Arial" w:cs="Arial" w:eastAsia="Arial" w:hAnsi="Arial"/>
                <w:sz w:val="19"/>
                <w:szCs w:val="19"/>
              </w:rPr>
              <w:t xml:space="preserve">Recovery activities not communicated to external stakeholders and trading partners</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RC.IM-2 — </w:t>
            </w:r>
            <w:r>
              <w:rPr>
                <w:rFonts w:ascii="Arial" w:cs="Arial" w:eastAsia="Arial" w:hAnsi="Arial"/>
                <w:sz w:val="19"/>
                <w:szCs w:val="19"/>
              </w:rPr>
              <w:t xml:space="preserve">Recovery strategies not updated to reflect cloud or hybrid recovery options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ATT&amp;CK ID</w:t>
            </w:r>
          </w:p>
        </w:tc>
        <w:tc>
          <w:tcPr>
            <w:tcW w:type="dxa" w:w="38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Technique</w:t>
            </w:r>
          </w:p>
        </w:tc>
        <w:tc>
          <w:tcPr>
            <w:tcW w:type="dxa" w:w="356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Description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T1195.002</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Compromise Software Supply Chain</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NotPetya delivered via trojanised M.E.Doc accounting software update</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T1210</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Exploitation of Remote Services</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EternalBlue (MS17-010) exploited for SMB lateral movement at network speed</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T1485</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Destruction</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MBR and MFT overwritten on all reachable hosts — full disk destruction</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T1003</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OS Credential Dumping</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Mimikatz-style credential harvesting used to propagate to authenticated systems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CIS Controls v8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CIS Control</w:t>
            </w:r>
          </w:p>
        </w:tc>
        <w:tc>
          <w:tcPr>
            <w:tcW w:type="dxa" w:w="32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Control Name</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Application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11</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Recovery</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offline AD backup; recovery required rebuilding from physical hardware shipped globally</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12</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Network Infrastructure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Flat global network — no blast radius limitation; NotPetya reached all 130 sites in minutes</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7</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Continuous Vulnerability Management</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MS17-010 (EternalBlue) unpatched across the environment despite a 2-month-old patch</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17</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Incident Response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tested recovery procedure for total infrastructure loss — recovery was improvised</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Maturity Tier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1B3A6B" w:sz="6"/>
              <w:left w:val="single" w:color="1B3A6B" w:sz="6"/>
              <w:bottom w:val="single" w:color="1B3A6B" w:sz="6"/>
              <w:right w:val="single" w:color="1B3A6B" w:sz="6"/>
            </w:tcBorders>
            <w:shd w:fill="56657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Maturity Tier Assessment</w:t>
            </w:r>
          </w:p>
        </w:tc>
      </w:tr>
      <w:tr>
        <w:tc>
          <w:tcPr>
            <w:tcW w:type="dxa" w:w="234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1</w:t>
            </w:r>
          </w:p>
          <w:p>
            <w:pPr>
              <w:spacing w:after="60" w:before="0"/>
              <w:jc w:val="center"/>
            </w:pPr>
            <w:r>
              <w:rPr>
                <w:rFonts w:ascii="Arial" w:cs="Arial" w:eastAsia="Arial" w:hAnsi="Arial"/>
                <w:color w:val="FFFFFF"/>
                <w:sz w:val="16"/>
                <w:szCs w:val="16"/>
              </w:rPr>
              <w:t xml:space="preserve">Partial</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2</w:t>
            </w:r>
          </w:p>
          <w:p>
            <w:pPr>
              <w:spacing w:after="60" w:before="0"/>
              <w:jc w:val="center"/>
            </w:pPr>
            <w:r>
              <w:rPr>
                <w:rFonts w:ascii="Arial" w:cs="Arial" w:eastAsia="Arial" w:hAnsi="Arial"/>
                <w:color w:val="1B3A6B"/>
                <w:sz w:val="16"/>
                <w:szCs w:val="16"/>
              </w:rPr>
              <w:t xml:space="preserve">Risk Informed</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3</w:t>
            </w:r>
          </w:p>
          <w:p>
            <w:pPr>
              <w:spacing w:after="60" w:before="0"/>
              <w:jc w:val="center"/>
            </w:pPr>
            <w:r>
              <w:rPr>
                <w:rFonts w:ascii="Arial" w:cs="Arial" w:eastAsia="Arial" w:hAnsi="Arial"/>
                <w:color w:val="1B3A6B"/>
                <w:sz w:val="16"/>
                <w:szCs w:val="16"/>
              </w:rPr>
              <w:t xml:space="preserve">Repeatable</w:t>
            </w:r>
          </w:p>
        </w:tc>
        <w:tc>
          <w:tcPr>
            <w:tcW w:type="dxa" w:w="234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4</w:t>
            </w:r>
          </w:p>
          <w:p>
            <w:pPr>
              <w:spacing w:after="60" w:before="0"/>
              <w:jc w:val="center"/>
            </w:pPr>
            <w:r>
              <w:rPr>
                <w:rFonts w:ascii="Arial" w:cs="Arial" w:eastAsia="Arial" w:hAnsi="Arial"/>
                <w:color w:val="FFFFFF"/>
                <w:sz w:val="16"/>
                <w:szCs w:val="16"/>
              </w:rPr>
              <w:t xml:space="preserve">Adaptive</w:t>
            </w:r>
          </w:p>
        </w:tc>
      </w:tr>
      <w:tr>
        <w:tc>
          <w:tcPr>
            <w:tcW w:type="dxa" w:w="9360"/>
            <w:gridSpan w:val="4"/>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Current: Tier 1 (Partial)  |  </w:t>
            </w:r>
            <w:r>
              <w:rPr>
                <w:rFonts w:ascii="Arial" w:cs="Arial" w:eastAsia="Arial" w:hAnsi="Arial"/>
                <w:b/>
                <w:bCs/>
                <w:color w:val="1E8449"/>
                <w:sz w:val="18"/>
                <w:szCs w:val="18"/>
              </w:rPr>
              <w:t xml:space="preserve">Target: Tier 4 (Adaptive)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2.0 Govern (GV) Function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2.0 Govern (GV) Function Linkage</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GV.RM-04 — </w:t>
            </w:r>
            <w:r>
              <w:rPr>
                <w:rFonts w:ascii="Arial" w:cs="Arial" w:eastAsia="Arial" w:hAnsi="Arial"/>
                <w:sz w:val="19"/>
                <w:szCs w:val="19"/>
              </w:rPr>
              <w:t xml:space="preserve">Business continuity planning did not account for total IT infrastructure destruction as a credible scenario</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GV.OC-03 — </w:t>
            </w:r>
            <w:r>
              <w:rPr>
                <w:rFonts w:ascii="Arial" w:cs="Arial" w:eastAsia="Arial" w:hAnsi="Arial"/>
                <w:sz w:val="19"/>
                <w:szCs w:val="19"/>
              </w:rPr>
              <w:t xml:space="preserve">Critical dependencies on IT for operational continuity not identified — OT/booking systems required IT to function</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GV.RR-03 — </w:t>
            </w:r>
            <w:r>
              <w:rPr>
                <w:rFonts w:ascii="Arial" w:cs="Arial" w:eastAsia="Arial" w:hAnsi="Arial"/>
                <w:sz w:val="19"/>
                <w:szCs w:val="19"/>
              </w:rPr>
              <w:t xml:space="preserve">Responsibilities for recovery execution not assigned before the incident</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Root Cause Analysis — What Failed</w:t>
      </w:r>
    </w:p>
    <w:p>
      <w:pPr>
        <w:pStyle w:val="ListParagraph"/>
        <w:numPr>
          <w:ilvl w:val="0"/>
          <w:numId w:val="2"/>
        </w:numPr>
        <w:spacing w:after="40" w:before="40"/>
      </w:pPr>
      <w:r>
        <w:rPr>
          <w:rFonts w:ascii="Arial" w:cs="Arial" w:eastAsia="Arial" w:hAnsi="Arial"/>
          <w:sz w:val="20"/>
          <w:szCs w:val="20"/>
        </w:rPr>
        <w:t xml:space="preserve">Entirely flat global network — NotPetya propagated to all 130 Maersk sites in under 10 minutes via EternalBlue</w:t>
      </w:r>
    </w:p>
    <w:p>
      <w:pPr>
        <w:pStyle w:val="ListParagraph"/>
        <w:numPr>
          <w:ilvl w:val="0"/>
          <w:numId w:val="2"/>
        </w:numPr>
        <w:spacing w:after="40" w:before="40"/>
      </w:pPr>
      <w:r>
        <w:rPr>
          <w:rFonts w:ascii="Arial" w:cs="Arial" w:eastAsia="Arial" w:hAnsi="Arial"/>
          <w:sz w:val="20"/>
          <w:szCs w:val="20"/>
        </w:rPr>
        <w:t xml:space="preserve">Active Directory fully wiped with no offline backup — recovery required rebuilding AD from the Ghana domain controller</w:t>
      </w:r>
    </w:p>
    <w:p>
      <w:pPr>
        <w:pStyle w:val="ListParagraph"/>
        <w:numPr>
          <w:ilvl w:val="0"/>
          <w:numId w:val="2"/>
        </w:numPr>
        <w:spacing w:after="40" w:before="40"/>
      </w:pPr>
      <w:r>
        <w:rPr>
          <w:rFonts w:ascii="Arial" w:cs="Arial" w:eastAsia="Arial" w:hAnsi="Arial"/>
          <w:sz w:val="20"/>
          <w:szCs w:val="20"/>
        </w:rPr>
        <w:t xml:space="preserve">No tested recovery procedure for total IT destruction — the recovery was entirely improvised</w:t>
      </w:r>
    </w:p>
    <w:p>
      <w:pPr>
        <w:pStyle w:val="ListParagraph"/>
        <w:numPr>
          <w:ilvl w:val="0"/>
          <w:numId w:val="2"/>
        </w:numPr>
        <w:spacing w:after="40" w:before="40"/>
      </w:pPr>
      <w:r>
        <w:rPr>
          <w:rFonts w:ascii="Arial" w:cs="Arial" w:eastAsia="Arial" w:hAnsi="Arial"/>
          <w:sz w:val="20"/>
          <w:szCs w:val="20"/>
        </w:rPr>
        <w:t xml:space="preserve">Recovery of 45,000 PCs required physically shipping hardware globally and manually reinstalling operating systems</w:t>
      </w:r>
    </w:p>
    <w:p>
      <w:pPr>
        <w:pStyle w:val="ListParagraph"/>
        <w:numPr>
          <w:ilvl w:val="0"/>
          <w:numId w:val="2"/>
        </w:numPr>
        <w:spacing w:after="40" w:before="40"/>
      </w:pPr>
      <w:r>
        <w:rPr>
          <w:rFonts w:ascii="Arial" w:cs="Arial" w:eastAsia="Arial" w:hAnsi="Arial"/>
          <w:sz w:val="20"/>
          <w:szCs w:val="20"/>
        </w:rPr>
        <w:t xml:space="preserve">EternalBlue (MS17-010) was unpatched despite a public patch being available for over two months</w:t>
      </w:r>
    </w:p>
    <w:p>
      <w:pPr>
        <w:pStyle w:val="ListParagraph"/>
        <w:numPr>
          <w:ilvl w:val="0"/>
          <w:numId w:val="2"/>
        </w:numPr>
        <w:spacing w:after="40" w:before="40"/>
      </w:pPr>
      <w:r>
        <w:rPr>
          <w:rFonts w:ascii="Arial" w:cs="Arial" w:eastAsia="Arial" w:hAnsi="Arial"/>
          <w:sz w:val="20"/>
          <w:szCs w:val="20"/>
        </w:rPr>
        <w:t xml:space="preserve">No RTO or RPO defined for critical systems — there was no benchmark against which to measure or plan recovery</w:t>
      </w:r>
    </w:p>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Control Recommendations</w:t>
      </w:r>
    </w:p>
    <w:p>
      <w:pPr>
        <w:pStyle w:val="ListParagraph"/>
        <w:numPr>
          <w:ilvl w:val="0"/>
          <w:numId w:val="2"/>
        </w:numPr>
        <w:spacing w:after="40" w:before="40"/>
      </w:pPr>
      <w:r>
        <w:rPr>
          <w:rFonts w:ascii="Arial" w:cs="Arial" w:eastAsia="Arial" w:hAnsi="Arial"/>
          <w:sz w:val="20"/>
          <w:szCs w:val="20"/>
        </w:rPr>
        <w:t xml:space="preserve">Maintain offline, air-gapped backups of Active Directory, DNS, and critical configuration — this is non-negotiable and costs almost nothing relative to the recovery cost</w:t>
      </w:r>
    </w:p>
    <w:p>
      <w:pPr>
        <w:pStyle w:val="ListParagraph"/>
        <w:numPr>
          <w:ilvl w:val="0"/>
          <w:numId w:val="2"/>
        </w:numPr>
        <w:spacing w:after="40" w:before="40"/>
      </w:pPr>
      <w:r>
        <w:rPr>
          <w:rFonts w:ascii="Arial" w:cs="Arial" w:eastAsia="Arial" w:hAnsi="Arial"/>
          <w:sz w:val="20"/>
          <w:szCs w:val="20"/>
        </w:rPr>
        <w:t xml:space="preserve">Segment networks aggressively — a flat global network has a global blast radius; segmentation limits propagation to contained zones</w:t>
      </w:r>
    </w:p>
    <w:p>
      <w:pPr>
        <w:pStyle w:val="ListParagraph"/>
        <w:numPr>
          <w:ilvl w:val="0"/>
          <w:numId w:val="2"/>
        </w:numPr>
        <w:spacing w:after="40" w:before="40"/>
      </w:pPr>
      <w:r>
        <w:rPr>
          <w:rFonts w:ascii="Arial" w:cs="Arial" w:eastAsia="Arial" w:hAnsi="Arial"/>
          <w:sz w:val="20"/>
          <w:szCs w:val="20"/>
        </w:rPr>
        <w:t xml:space="preserve">Define Recovery Time Objectives and Recovery Point Objectives for every critical system before an incident</w:t>
      </w:r>
    </w:p>
    <w:p>
      <w:pPr>
        <w:pStyle w:val="ListParagraph"/>
        <w:numPr>
          <w:ilvl w:val="0"/>
          <w:numId w:val="2"/>
        </w:numPr>
        <w:spacing w:after="40" w:before="40"/>
      </w:pPr>
      <w:r>
        <w:rPr>
          <w:rFonts w:ascii="Arial" w:cs="Arial" w:eastAsia="Arial" w:hAnsi="Arial"/>
          <w:sz w:val="20"/>
          <w:szCs w:val="20"/>
        </w:rPr>
        <w:t xml:space="preserve">Test your recovery plan annually with a full tabletop exercise simulating total infrastructure loss — not just ransomware</w:t>
      </w:r>
    </w:p>
    <w:p>
      <w:pPr>
        <w:pStyle w:val="ListParagraph"/>
        <w:numPr>
          <w:ilvl w:val="0"/>
          <w:numId w:val="2"/>
        </w:numPr>
        <w:spacing w:after="40" w:before="40"/>
      </w:pPr>
      <w:r>
        <w:rPr>
          <w:rFonts w:ascii="Arial" w:cs="Arial" w:eastAsia="Arial" w:hAnsi="Arial"/>
          <w:sz w:val="20"/>
          <w:szCs w:val="20"/>
        </w:rPr>
        <w:t xml:space="preserve">Treat recovery as a supply chain problem: pre-position hardware, pre-negotiate vendor SLAs, pre-train regional recovery teams</w:t>
      </w:r>
    </w:p>
    <w:p>
      <w:pPr>
        <w:pStyle w:val="ListParagraph"/>
        <w:numPr>
          <w:ilvl w:val="0"/>
          <w:numId w:val="2"/>
        </w:numPr>
        <w:spacing w:after="40" w:before="40"/>
      </w:pPr>
      <w:r>
        <w:rPr>
          <w:rFonts w:ascii="Arial" w:cs="Arial" w:eastAsia="Arial" w:hAnsi="Arial"/>
          <w:sz w:val="20"/>
          <w:szCs w:val="20"/>
        </w:rPr>
        <w:t xml:space="preserve">Patch critical vulnerabilities (CVSS &gt;=9.0) within 72 hours — EternalBlue had a public patch for two months before NotPetya</w:t>
      </w:r>
    </w:p>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Capstone Analysis</w:t>
            </w:r>
          </w:p>
        </w:tc>
      </w:tr>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vAlign w:val="top"/>
          </w:tcPr>
          <w:p>
            <w:pPr>
              <w:spacing w:after="80" w:before="80"/>
              <w:jc w:val="left"/>
            </w:pPr>
            <w:r>
              <w:rPr>
                <w:rFonts w:ascii="Arial" w:cs="Arial" w:eastAsia="Arial" w:hAnsi="Arial"/>
                <w:b/>
                <w:bCs/>
                <w:color w:val="1B3A6B"/>
                <w:sz w:val="19"/>
                <w:szCs w:val="19"/>
              </w:rPr>
              <w:t xml:space="preserve">Q: What does the Maersk incident teach us about the difference between backup and recovery?</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Maersk had data backups in some form. What they did not have was a tested recovery procedure. RC.RP-1 requires that recovery planning be executed — meaning practiced, tested, and validated against defined RTOs — not merely documented in a policy. Maersk's recovery took 10 days because no one had ever practiced restoring 45,000 machines under crisis conditions. A tested runbook with pre-positioned hardware and regional recovery teams would have reduced this to 2-3 days. The distinction between backup and recovery is the single most important lesson in the RC function: a backup you have never restored is not a backup — it is an untested assumption.</w:t>
            </w:r>
          </w:p>
        </w:tc>
      </w:tr>
    </w:tbl>
    <w:p>
      <w:pPr>
        <w:spacing w:after="0" w:before="1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E67E22"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Analyst Assessment</w:t>
            </w:r>
          </w:p>
        </w:tc>
      </w:tr>
      <w:tr>
        <w:tc>
          <w:tcPr>
            <w:tcW w:type="dxa" w:w="9360"/>
            <w:tcBorders>
              <w:top w:val="single" w:color="E67E22" w:sz="6"/>
              <w:left w:val="single" w:color="E67E22" w:sz="6"/>
              <w:bottom w:val="single" w:color="E67E22" w:sz="6"/>
              <w:right w:val="single" w:color="E67E22" w:sz="6"/>
            </w:tcBorders>
            <w:shd w:fill="FDEBD0" w:val="clear"/>
            <w:tcMar>
              <w:top w:type="dxa" w:w="100"/>
              <w:left w:type="dxa" w:w="140"/>
              <w:bottom w:type="dxa" w:w="100"/>
              <w:right w:type="dxa" w:w="140"/>
            </w:tcMar>
            <w:vAlign w:val="top"/>
          </w:tcPr>
          <w:p>
            <w:pPr>
              <w:spacing w:after="80" w:before="80"/>
              <w:jc w:val="left"/>
            </w:pPr>
            <w:r>
              <w:rPr>
                <w:rFonts w:ascii="Arial" w:cs="Arial" w:eastAsia="Arial" w:hAnsi="Arial"/>
                <w:color w:val="1B3A6B"/>
                <w:sz w:val="19"/>
                <w:szCs w:val="19"/>
              </w:rPr>
              <w:t xml:space="preserve">Maersk is the purest example in this capstone of the gap between documentation and execution. Every element required to survive NotPetya existed in the IT industry — offline AD backups, network segmentation, patch management. None of them were implemented. The $300 million cost is the price of the gap between policy and practice. Mid-level analysts should use Maersk in tabletop exercise justification conversations: if a single domain controller in Ghana had not been coincidentally offline, Maersk may not have recovered at all. Recovery plans cannot depend on coincidence.</w:t>
            </w:r>
          </w:p>
        </w:tc>
      </w:tr>
    </w:tbl>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single" w:color="D5D8DC" w:sz="4"/>
              <w:left w:val="single" w:color="D5D8DC" w:sz="4"/>
              <w:bottom w:val="single" w:color="D5D8DC" w:sz="4"/>
              <w:right w:val="single" w:color="D5D8DC" w:sz="4"/>
            </w:tcBorders>
            <w:shd w:fill="1B3A6B" w:val="clear"/>
            <w:tcMar>
              <w:top w:type="dxa" w:w="100"/>
              <w:left w:type="dxa" w:w="140"/>
              <w:bottom w:type="dxa" w:w="100"/>
              <w:right w:type="dxa" w:w="140"/>
            </w:tcMar>
            <w:vAlign w:val="top"/>
          </w:tcPr>
          <w:p>
            <w:pPr>
              <w:spacing w:after="20" w:before="80"/>
              <w:jc w:val="left"/>
            </w:pPr>
            <w:r>
              <w:rPr>
                <w:rFonts w:ascii="Arial" w:cs="Arial" w:eastAsia="Arial" w:hAnsi="Arial"/>
                <w:b/>
                <w:bCs/>
                <w:color w:val="FFFFFF"/>
                <w:sz w:val="26"/>
                <w:szCs w:val="26"/>
              </w:rPr>
              <w:t xml:space="preserve">Case Study 9: </w:t>
            </w:r>
            <w:r>
              <w:rPr>
                <w:rFonts w:ascii="Arial" w:cs="Arial" w:eastAsia="Arial" w:hAnsi="Arial"/>
                <w:b/>
                <w:bCs/>
                <w:color w:val="FFFFFF"/>
                <w:sz w:val="26"/>
                <w:szCs w:val="26"/>
              </w:rPr>
              <w:t xml:space="preserve">Norsk Hydro</w:t>
            </w:r>
          </w:p>
          <w:p>
            <w:pPr>
              <w:spacing w:after="80" w:before="0"/>
              <w:jc w:val="left"/>
            </w:pPr>
            <w:r>
              <w:rPr>
                <w:rFonts w:ascii="Arial" w:cs="Arial" w:eastAsia="Arial" w:hAnsi="Arial"/>
                <w:color w:val="D6E4F0"/>
                <w:sz w:val="18"/>
                <w:szCs w:val="18"/>
              </w:rPr>
              <w:t xml:space="preserve">Manufacturing / Aluminium  ·  2019</w:t>
            </w:r>
          </w:p>
        </w:tc>
        <w:tc>
          <w:tcPr>
            <w:tcW w:type="dxa" w:w="2621"/>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center"/>
          </w:tcPr>
          <w:p>
            <w:pPr>
              <w:spacing w:after="10" w:before="40"/>
              <w:jc w:val="center"/>
            </w:pPr>
            <w:r>
              <w:rPr>
                <w:rFonts w:ascii="Arial" w:cs="Arial" w:eastAsia="Arial" w:hAnsi="Arial"/>
                <w:color w:val="FFFFFF"/>
                <w:sz w:val="16"/>
                <w:szCs w:val="16"/>
              </w:rPr>
              <w:t xml:space="preserve">NIST CSF Function</w:t>
            </w:r>
          </w:p>
          <w:p>
            <w:pPr>
              <w:spacing w:after="40" w:before="0"/>
              <w:jc w:val="center"/>
            </w:pPr>
            <w:r>
              <w:rPr>
                <w:rFonts w:ascii="Arial" w:cs="Arial" w:eastAsia="Arial" w:hAnsi="Arial"/>
                <w:b/>
                <w:bCs/>
                <w:color w:val="FFFFFF"/>
                <w:sz w:val="30"/>
                <w:szCs w:val="30"/>
              </w:rPr>
              <w:t xml:space="preserve">RC</w:t>
            </w:r>
          </w:p>
        </w:tc>
      </w:tr>
    </w:tbl>
    <w:p>
      <w:pPr>
        <w:spacing w:after="0" w:before="10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Incident Summary</w:t>
      </w:r>
    </w:p>
    <w:p>
      <w:pPr>
        <w:spacing w:after="80" w:before="80"/>
        <w:jc w:val="left"/>
      </w:pPr>
      <w:r>
        <w:rPr>
          <w:rFonts w:ascii="Arial" w:cs="Arial" w:eastAsia="Arial" w:hAnsi="Arial"/>
          <w:sz w:val="20"/>
          <w:szCs w:val="20"/>
        </w:rPr>
        <w:t xml:space="preserve">LockerGoga ransomware forced the world's third-largest aluminium producer to halt automated production operations globally and revert to manual processes. Unlike most breach victims, Norsk Hydro refused to pay the ransom, chose radical transparency — publishing daily live-streamed press briefings and real-time website updates — and became a global benchmark for responsible cyber crisis communications and recovery.</w:t>
      </w:r>
    </w:p>
    <w:p>
      <w:pPr>
        <w:spacing w:after="80" w:before="80"/>
        <w:jc w:val="left"/>
      </w:pPr>
      <w:r>
        <w:rPr>
          <w:rFonts w:ascii="Arial" w:cs="Arial" w:eastAsia="Arial" w:hAnsi="Arial"/>
          <w:b w:val="false"/>
          <w:bCs w:val="false"/>
          <w:sz w:val="20"/>
          <w:szCs w:val="20"/>
        </w:rPr>
        <w:t xml:space="preserve">Root Cause: Lack of OT-specific recovery procedures meant plant operations could not be restored automatically. IT and OT recovery were not planned as separate workstreams with separate RTO/RPO targets.</w:t>
      </w:r>
    </w:p>
    <w:p>
      <w:pPr>
        <w:spacing w:after="0" w:before="8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Impact Metric</w:t>
            </w:r>
          </w:p>
        </w:tc>
        <w:tc>
          <w:tcPr>
            <w:tcW w:type="dxa" w:w="6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Data</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Financial Cost</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$71 million total impact (partially covered by cyber insurance)</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Scope</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Global automated production operations halted; manual fallback invoked across all plants</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Detection Time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Rapid — LockerGoga is not a stealth attack</w:t>
            </w:r>
          </w:p>
        </w:tc>
      </w:tr>
      <w:tr>
        <w:tc>
          <w:tcPr>
            <w:tcW w:type="dxa" w:w="3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Recovery Duration</w:t>
            </w:r>
          </w:p>
        </w:tc>
        <w:tc>
          <w:tcPr>
            <w:tcW w:type="dxa" w:w="63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Several weeks for full production restoration; partial manual ops within days</w:t>
            </w:r>
          </w:p>
        </w:tc>
      </w:tr>
      <w:tr>
        <w:tc>
          <w:tcPr>
            <w:tcW w:type="dxa" w:w="300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Ransom Response</w:t>
            </w:r>
          </w:p>
        </w:tc>
        <w:tc>
          <w:tcPr>
            <w:tcW w:type="dxa" w:w="6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9"/>
                <w:szCs w:val="19"/>
              </w:rPr>
              <w:t xml:space="preserve">Norsk Hydro refused to pay the ransom — a public and principled decision</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CSF Subcategory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C0392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NIST CSF Subcategory Gaps Identified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RC.RP-1 — </w:t>
            </w:r>
            <w:r>
              <w:rPr>
                <w:rFonts w:ascii="Arial" w:cs="Arial" w:eastAsia="Arial" w:hAnsi="Arial"/>
                <w:sz w:val="19"/>
                <w:szCs w:val="19"/>
              </w:rPr>
              <w:t xml:space="preserve">Recovery plan not exercised specifically for OT systems and production lines</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RC.CO-1 — </w:t>
            </w:r>
            <w:r>
              <w:rPr>
                <w:rFonts w:ascii="Arial" w:cs="Arial" w:eastAsia="Arial" w:hAnsi="Arial"/>
                <w:sz w:val="19"/>
                <w:szCs w:val="19"/>
              </w:rPr>
              <w:t xml:space="preserve">No pre-prepared public communications strategy for cyber incidents (initial gap, subsequently resolved)</w:t>
            </w:r>
          </w:p>
        </w:tc>
      </w:tr>
      <w:tr>
        <w:tc>
          <w:tcPr>
            <w:tcW w:type="dxa" w:w="9360"/>
            <w:tcBorders>
              <w:top w:val="single" w:color="D5D8DC" w:sz="4"/>
              <w:left w:val="single" w:color="D5D8DC" w:sz="4"/>
              <w:bottom w:val="single" w:color="D5D8DC" w:sz="4"/>
              <w:right w:val="single" w:color="D5D8DC" w:sz="4"/>
            </w:tcBorders>
            <w:shd w:fill="FADBD8"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RC.IM-2 — </w:t>
            </w:r>
            <w:r>
              <w:rPr>
                <w:rFonts w:ascii="Arial" w:cs="Arial" w:eastAsia="Arial" w:hAnsi="Arial"/>
                <w:sz w:val="19"/>
                <w:szCs w:val="19"/>
              </w:rPr>
              <w:t xml:space="preserve">Lessons from prior industry incidents not applied to OT recovery strategies</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9"/>
                <w:szCs w:val="19"/>
              </w:rPr>
              <w:t xml:space="preserve">RC.CO-3 — </w:t>
            </w:r>
            <w:r>
              <w:rPr>
                <w:rFonts w:ascii="Arial" w:cs="Arial" w:eastAsia="Arial" w:hAnsi="Arial"/>
                <w:sz w:val="19"/>
                <w:szCs w:val="19"/>
              </w:rPr>
              <w:t xml:space="preserve">Recovery activities not initially communicated to stakeholders and customers</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ATT&amp;CK ID</w:t>
            </w:r>
          </w:p>
        </w:tc>
        <w:tc>
          <w:tcPr>
            <w:tcW w:type="dxa" w:w="380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Technique</w:t>
            </w:r>
          </w:p>
        </w:tc>
        <w:tc>
          <w:tcPr>
            <w:tcW w:type="dxa" w:w="3560"/>
            <w:tcBorders>
              <w:top w:val="single" w:color="1B3A6B" w:sz="6"/>
              <w:left w:val="single" w:color="1B3A6B" w:sz="6"/>
              <w:bottom w:val="single" w:color="1B3A6B" w:sz="6"/>
              <w:right w:val="single" w:color="1B3A6B" w:sz="6"/>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Description</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T1486</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Encrypted for Impact</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LockerGoga ransomware encrypted files across IT and OT-adjacent systems</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T1078</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Valid Accounts</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Compromised Active Directory credentials used for lateral movement before ransomware deployment</w:t>
            </w:r>
          </w:p>
        </w:tc>
      </w:tr>
      <w:tr>
        <w:tc>
          <w:tcPr>
            <w:tcW w:type="dxa" w:w="20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T1490</w:t>
            </w:r>
          </w:p>
        </w:tc>
        <w:tc>
          <w:tcPr>
            <w:tcW w:type="dxa" w:w="380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Inhibit System Recovery</w:t>
            </w:r>
          </w:p>
        </w:tc>
        <w:tc>
          <w:tcPr>
            <w:tcW w:type="dxa" w:w="3560"/>
            <w:tcBorders>
              <w:top w:val="single" w:color="D5D8DC" w:sz="4"/>
              <w:left w:val="single" w:color="D5D8DC" w:sz="4"/>
              <w:bottom w:val="single" w:color="D5D8DC" w:sz="4"/>
              <w:right w:val="single" w:color="D5D8DC" w:sz="4"/>
            </w:tcBorders>
            <w:shd w:fill="E8DAE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System recovery mechanisms disabled before detonation to prevent rapid rollback</w:t>
            </w:r>
          </w:p>
        </w:tc>
      </w:tr>
      <w:tr>
        <w:tc>
          <w:tcPr>
            <w:tcW w:type="dxa" w:w="20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T1562.001</w:t>
            </w:r>
          </w:p>
        </w:tc>
        <w:tc>
          <w:tcPr>
            <w:tcW w:type="dxa" w:w="3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Disable or Modify Security Tools</w:t>
            </w:r>
          </w:p>
        </w:tc>
        <w:tc>
          <w:tcPr>
            <w:tcW w:type="dxa" w:w="3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Security tooling disabled in preparation for ransomware payload deployment</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CIS Controls v8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CIS Control</w:t>
            </w:r>
          </w:p>
        </w:tc>
        <w:tc>
          <w:tcPr>
            <w:tcW w:type="dxa" w:w="32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Control Name</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Application</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11</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Data Recovery</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tested OT-specific recovery procedure — production systems required manual fallback for weeks</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17</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Incident Response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IT and OT IR not planned as separate workstreams with different RTO/RPO targets</w:t>
            </w:r>
          </w:p>
        </w:tc>
      </w:tr>
      <w:tr>
        <w:tc>
          <w:tcPr>
            <w:tcW w:type="dxa" w:w="16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14</w:t>
            </w:r>
          </w:p>
        </w:tc>
        <w:tc>
          <w:tcPr>
            <w:tcW w:type="dxa" w:w="32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Security Awareness and Skills Training</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Norsk Hydro's transparent communications praised globally — communications training value demonstrated</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7A589"/>
                <w:sz w:val="18"/>
                <w:szCs w:val="18"/>
              </w:rPr>
              <w:t xml:space="preserve">CIS 6</w:t>
            </w:r>
          </w:p>
        </w:tc>
        <w:tc>
          <w:tcPr>
            <w:tcW w:type="dxa" w:w="3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sz w:val="18"/>
                <w:szCs w:val="18"/>
              </w:rPr>
              <w:t xml:space="preserve">Access Control Management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AD credentials compromised in advance of ransomware deployment — privileged access controls insufficient</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Maturity Tier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1B3A6B" w:sz="6"/>
              <w:left w:val="single" w:color="1B3A6B" w:sz="6"/>
              <w:bottom w:val="single" w:color="1B3A6B" w:sz="6"/>
              <w:right w:val="single" w:color="1B3A6B" w:sz="6"/>
            </w:tcBorders>
            <w:shd w:fill="56657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Maturity Tier Assessment</w:t>
            </w:r>
          </w:p>
        </w:tc>
      </w:tr>
      <w:tr>
        <w:tc>
          <w:tcPr>
            <w:tcW w:type="dxa" w:w="234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1</w:t>
            </w:r>
          </w:p>
          <w:p>
            <w:pPr>
              <w:spacing w:after="60" w:before="0"/>
              <w:jc w:val="center"/>
            </w:pPr>
            <w:r>
              <w:rPr>
                <w:rFonts w:ascii="Arial" w:cs="Arial" w:eastAsia="Arial" w:hAnsi="Arial"/>
                <w:color w:val="1B3A6B"/>
                <w:sz w:val="16"/>
                <w:szCs w:val="16"/>
              </w:rPr>
              <w:t xml:space="preserve">Partial</w:t>
            </w:r>
          </w:p>
        </w:tc>
        <w:tc>
          <w:tcPr>
            <w:tcW w:type="dxa" w:w="2340"/>
            <w:tcBorders>
              <w:top w:val="single" w:color="D5D8DC" w:sz="4"/>
              <w:left w:val="single" w:color="D5D8DC" w:sz="4"/>
              <w:bottom w:val="single" w:color="D5D8DC" w:sz="4"/>
              <w:right w:val="single" w:color="D5D8DC" w:sz="4"/>
            </w:tcBorders>
            <w:shd w:fill="C0392B"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2</w:t>
            </w:r>
          </w:p>
          <w:p>
            <w:pPr>
              <w:spacing w:after="60" w:before="0"/>
              <w:jc w:val="center"/>
            </w:pPr>
            <w:r>
              <w:rPr>
                <w:rFonts w:ascii="Arial" w:cs="Arial" w:eastAsia="Arial" w:hAnsi="Arial"/>
                <w:color w:val="FFFFFF"/>
                <w:sz w:val="16"/>
                <w:szCs w:val="16"/>
              </w:rPr>
              <w:t xml:space="preserve">Risk Informed</w:t>
            </w:r>
          </w:p>
        </w:tc>
        <w:tc>
          <w:tcPr>
            <w:tcW w:type="dxa" w:w="234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 w:before="60"/>
              <w:jc w:val="center"/>
            </w:pPr>
            <w:r>
              <w:rPr>
                <w:rFonts w:ascii="Arial" w:cs="Arial" w:eastAsia="Arial" w:hAnsi="Arial"/>
                <w:b/>
                <w:bCs/>
                <w:color w:val="1B3A6B"/>
                <w:sz w:val="18"/>
                <w:szCs w:val="18"/>
              </w:rPr>
              <w:t xml:space="preserve">Tier 3</w:t>
            </w:r>
          </w:p>
          <w:p>
            <w:pPr>
              <w:spacing w:after="60" w:before="0"/>
              <w:jc w:val="center"/>
            </w:pPr>
            <w:r>
              <w:rPr>
                <w:rFonts w:ascii="Arial" w:cs="Arial" w:eastAsia="Arial" w:hAnsi="Arial"/>
                <w:color w:val="1B3A6B"/>
                <w:sz w:val="16"/>
                <w:szCs w:val="16"/>
              </w:rPr>
              <w:t xml:space="preserve">Repeatable</w:t>
            </w:r>
          </w:p>
        </w:tc>
        <w:tc>
          <w:tcPr>
            <w:tcW w:type="dxa" w:w="2340"/>
            <w:tcBorders>
              <w:top w:val="single" w:color="D5D8DC" w:sz="4"/>
              <w:left w:val="single" w:color="D5D8DC" w:sz="4"/>
              <w:bottom w:val="single" w:color="D5D8DC" w:sz="4"/>
              <w:right w:val="single" w:color="D5D8DC" w:sz="4"/>
            </w:tcBorders>
            <w:shd w:fill="1E8449" w:val="clear"/>
            <w:tcMar>
              <w:top w:type="dxa" w:w="100"/>
              <w:left w:type="dxa" w:w="140"/>
              <w:bottom w:type="dxa" w:w="100"/>
              <w:right w:type="dxa" w:w="140"/>
            </w:tcMar>
            <w:vAlign w:val="top"/>
          </w:tcPr>
          <w:p>
            <w:pPr>
              <w:spacing w:after="10" w:before="60"/>
              <w:jc w:val="center"/>
            </w:pPr>
            <w:r>
              <w:rPr>
                <w:rFonts w:ascii="Arial" w:cs="Arial" w:eastAsia="Arial" w:hAnsi="Arial"/>
                <w:b/>
                <w:bCs/>
                <w:color w:val="FFFFFF"/>
                <w:sz w:val="18"/>
                <w:szCs w:val="18"/>
              </w:rPr>
              <w:t xml:space="preserve">Tier 4</w:t>
            </w:r>
          </w:p>
          <w:p>
            <w:pPr>
              <w:spacing w:after="60" w:before="0"/>
              <w:jc w:val="center"/>
            </w:pPr>
            <w:r>
              <w:rPr>
                <w:rFonts w:ascii="Arial" w:cs="Arial" w:eastAsia="Arial" w:hAnsi="Arial"/>
                <w:color w:val="FFFFFF"/>
                <w:sz w:val="16"/>
                <w:szCs w:val="16"/>
              </w:rPr>
              <w:t xml:space="preserve">Adaptive</w:t>
            </w:r>
          </w:p>
        </w:tc>
      </w:tr>
      <w:tr>
        <w:tc>
          <w:tcPr>
            <w:tcW w:type="dxa" w:w="9360"/>
            <w:gridSpan w:val="4"/>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center"/>
            </w:pPr>
            <w:r>
              <w:rPr>
                <w:rFonts w:ascii="Arial" w:cs="Arial" w:eastAsia="Arial" w:hAnsi="Arial"/>
                <w:b/>
                <w:bCs/>
                <w:color w:val="C0392B"/>
                <w:sz w:val="18"/>
                <w:szCs w:val="18"/>
              </w:rPr>
              <w:t xml:space="preserve">Current: Tier 2 (Risk Informed)  |  </w:t>
            </w:r>
            <w:r>
              <w:rPr>
                <w:rFonts w:ascii="Arial" w:cs="Arial" w:eastAsia="Arial" w:hAnsi="Arial"/>
                <w:b/>
                <w:bCs/>
                <w:color w:val="1E8449"/>
                <w:sz w:val="18"/>
                <w:szCs w:val="18"/>
              </w:rPr>
              <w:t xml:space="preserve">Target: Tier 4 (Adaptive)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CSF 2.0 Govern (GV) Function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CSF 2.0 Govern (GV) Function Linkage</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GV.OC-01 — </w:t>
            </w:r>
            <w:r>
              <w:rPr>
                <w:rFonts w:ascii="Arial" w:cs="Arial" w:eastAsia="Arial" w:hAnsi="Arial"/>
                <w:sz w:val="19"/>
                <w:szCs w:val="19"/>
              </w:rPr>
              <w:t xml:space="preserve">Organisational objectives — Norsk Hydro's decision to refuse ransom and publish transparently reflects mature governance values</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GV.RM-01 — </w:t>
            </w:r>
            <w:r>
              <w:rPr>
                <w:rFonts w:ascii="Arial" w:cs="Arial" w:eastAsia="Arial" w:hAnsi="Arial"/>
                <w:sz w:val="19"/>
                <w:szCs w:val="19"/>
              </w:rPr>
              <w:t xml:space="preserve">Risk management strategy did not account for OT-specific recovery scenarios with different tolerance thresholds</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9"/>
                <w:szCs w:val="19"/>
              </w:rPr>
              <w:t xml:space="preserve">GV.RR-03 — </w:t>
            </w:r>
            <w:r>
              <w:rPr>
                <w:rFonts w:ascii="Arial" w:cs="Arial" w:eastAsia="Arial" w:hAnsi="Arial"/>
                <w:sz w:val="19"/>
                <w:szCs w:val="19"/>
              </w:rPr>
              <w:t xml:space="preserve">Crisis communications responsibilities pre-assigned and executed — a model for RC.CO-1 governance</w:t>
            </w:r>
          </w:p>
        </w:tc>
      </w:tr>
    </w:tbl>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Root Cause Analysis — What Failed</w:t>
      </w:r>
    </w:p>
    <w:p>
      <w:pPr>
        <w:pStyle w:val="ListParagraph"/>
        <w:numPr>
          <w:ilvl w:val="0"/>
          <w:numId w:val="2"/>
        </w:numPr>
        <w:spacing w:after="40" w:before="40"/>
      </w:pPr>
      <w:r>
        <w:rPr>
          <w:rFonts w:ascii="Arial" w:cs="Arial" w:eastAsia="Arial" w:hAnsi="Arial"/>
          <w:sz w:val="20"/>
          <w:szCs w:val="20"/>
        </w:rPr>
        <w:t xml:space="preserve">No tested OT recovery procedure — production plant operations reverted to manual processes for weeks</w:t>
      </w:r>
    </w:p>
    <w:p>
      <w:pPr>
        <w:pStyle w:val="ListParagraph"/>
        <w:numPr>
          <w:ilvl w:val="0"/>
          <w:numId w:val="2"/>
        </w:numPr>
        <w:spacing w:after="40" w:before="40"/>
      </w:pPr>
      <w:r>
        <w:rPr>
          <w:rFonts w:ascii="Arial" w:cs="Arial" w:eastAsia="Arial" w:hAnsi="Arial"/>
          <w:sz w:val="20"/>
          <w:szCs w:val="20"/>
        </w:rPr>
        <w:t xml:space="preserve">Backup restoration took significantly longer than RTO targets because OT RTOs had never been formally defined</w:t>
      </w:r>
    </w:p>
    <w:p>
      <w:pPr>
        <w:pStyle w:val="ListParagraph"/>
        <w:numPr>
          <w:ilvl w:val="0"/>
          <w:numId w:val="2"/>
        </w:numPr>
        <w:spacing w:after="40" w:before="40"/>
      </w:pPr>
      <w:r>
        <w:rPr>
          <w:rFonts w:ascii="Arial" w:cs="Arial" w:eastAsia="Arial" w:hAnsi="Arial"/>
          <w:sz w:val="20"/>
          <w:szCs w:val="20"/>
        </w:rPr>
        <w:t xml:space="preserve">IT and OT recovery were not planned as separate workstreams — OT systems have fundamentally different recovery requirements</w:t>
      </w:r>
    </w:p>
    <w:p>
      <w:pPr>
        <w:pStyle w:val="ListParagraph"/>
        <w:numPr>
          <w:ilvl w:val="0"/>
          <w:numId w:val="2"/>
        </w:numPr>
        <w:spacing w:after="40" w:before="40"/>
      </w:pPr>
      <w:r>
        <w:rPr>
          <w:rFonts w:ascii="Arial" w:cs="Arial" w:eastAsia="Arial" w:hAnsi="Arial"/>
          <w:sz w:val="20"/>
          <w:szCs w:val="20"/>
        </w:rPr>
        <w:t xml:space="preserve">Initial communications were ad-hoc before the crisis communications team established the transparent daily briefing model</w:t>
      </w:r>
    </w:p>
    <w:p>
      <w:pPr>
        <w:pStyle w:val="ListParagraph"/>
        <w:numPr>
          <w:ilvl w:val="0"/>
          <w:numId w:val="2"/>
        </w:numPr>
        <w:spacing w:after="40" w:before="40"/>
      </w:pPr>
      <w:r>
        <w:rPr>
          <w:rFonts w:ascii="Arial" w:cs="Arial" w:eastAsia="Arial" w:hAnsi="Arial"/>
          <w:sz w:val="20"/>
          <w:szCs w:val="20"/>
        </w:rPr>
        <w:t xml:space="preserve">Active Directory credentials had been compromised in the days prior to ransomware detonation — a pre-attack phase that was not detected</w:t>
      </w:r>
    </w:p>
    <w:p>
      <w:pPr>
        <w:spacing w:after="0" w:before="120"/>
        <w:jc w:val="left"/>
      </w:pPr>
      <w:r>
        <w:rPr>
          <w:rFonts w:ascii="Arial" w:cs="Arial" w:eastAsia="Arial" w:hAnsi="Arial"/>
          <w:sz w:val="20"/>
          <w:szCs w:val="20"/>
        </w:rPr>
        <w:t xml:space="preserve"/>
      </w:r>
    </w:p>
    <w:p>
      <w:pPr>
        <w:pStyle w:val="Heading3"/>
        <w:spacing w:after="80" w:before="200"/>
      </w:pPr>
      <w:r>
        <w:rPr>
          <w:rFonts w:ascii="Arial" w:cs="Arial" w:eastAsia="Arial" w:hAnsi="Arial"/>
          <w:b/>
          <w:bCs/>
          <w:color w:val="1B3A6B"/>
          <w:sz w:val="24"/>
          <w:szCs w:val="24"/>
        </w:rPr>
        <w:t xml:space="preserve">NIST Control Recommendations</w:t>
      </w:r>
    </w:p>
    <w:p>
      <w:pPr>
        <w:pStyle w:val="ListParagraph"/>
        <w:numPr>
          <w:ilvl w:val="0"/>
          <w:numId w:val="2"/>
        </w:numPr>
        <w:spacing w:after="40" w:before="40"/>
      </w:pPr>
      <w:r>
        <w:rPr>
          <w:rFonts w:ascii="Arial" w:cs="Arial" w:eastAsia="Arial" w:hAnsi="Arial"/>
          <w:sz w:val="20"/>
          <w:szCs w:val="20"/>
        </w:rPr>
        <w:t xml:space="preserve">Define separate RTO and RPO targets for IT and OT systems — production lines have materially different downtime tolerances than email servers</w:t>
      </w:r>
    </w:p>
    <w:p>
      <w:pPr>
        <w:pStyle w:val="ListParagraph"/>
        <w:numPr>
          <w:ilvl w:val="0"/>
          <w:numId w:val="2"/>
        </w:numPr>
        <w:spacing w:after="40" w:before="40"/>
      </w:pPr>
      <w:r>
        <w:rPr>
          <w:rFonts w:ascii="Arial" w:cs="Arial" w:eastAsia="Arial" w:hAnsi="Arial"/>
          <w:sz w:val="20"/>
          <w:szCs w:val="20"/>
        </w:rPr>
        <w:t xml:space="preserve">Maintain manual operating procedures for all automated production processes as a documented, tested fallback</w:t>
      </w:r>
    </w:p>
    <w:p>
      <w:pPr>
        <w:pStyle w:val="ListParagraph"/>
        <w:numPr>
          <w:ilvl w:val="0"/>
          <w:numId w:val="2"/>
        </w:numPr>
        <w:spacing w:after="40" w:before="40"/>
      </w:pPr>
      <w:r>
        <w:rPr>
          <w:rFonts w:ascii="Arial" w:cs="Arial" w:eastAsia="Arial" w:hAnsi="Arial"/>
          <w:sz w:val="20"/>
          <w:szCs w:val="20"/>
        </w:rPr>
        <w:t xml:space="preserve">Conduct OT-specific tabletop exercises separate from IT disaster recovery — they have different stakeholders and recovery paths</w:t>
      </w:r>
    </w:p>
    <w:p>
      <w:pPr>
        <w:pStyle w:val="ListParagraph"/>
        <w:numPr>
          <w:ilvl w:val="0"/>
          <w:numId w:val="2"/>
        </w:numPr>
        <w:spacing w:after="40" w:before="40"/>
      </w:pPr>
      <w:r>
        <w:rPr>
          <w:rFonts w:ascii="Arial" w:cs="Arial" w:eastAsia="Arial" w:hAnsi="Arial"/>
          <w:sz w:val="20"/>
          <w:szCs w:val="20"/>
        </w:rPr>
        <w:t xml:space="preserve">Engage cyber insurance and external forensics firms under retainer before an incident — Norsk Hydro's insurance coverage significantly offset the $71M impact</w:t>
      </w:r>
    </w:p>
    <w:p>
      <w:pPr>
        <w:pStyle w:val="ListParagraph"/>
        <w:numPr>
          <w:ilvl w:val="0"/>
          <w:numId w:val="2"/>
        </w:numPr>
        <w:spacing w:after="40" w:before="40"/>
      </w:pPr>
      <w:r>
        <w:rPr>
          <w:rFonts w:ascii="Arial" w:cs="Arial" w:eastAsia="Arial" w:hAnsi="Arial"/>
          <w:sz w:val="20"/>
          <w:szCs w:val="20"/>
        </w:rPr>
        <w:t xml:space="preserve">Adopt Norsk Hydro's RC.CO-1 model: daily transparent communications with customers, investors, and the public during recovery</w:t>
      </w:r>
    </w:p>
    <w:p>
      <w:pPr>
        <w:pStyle w:val="ListParagraph"/>
        <w:numPr>
          <w:ilvl w:val="0"/>
          <w:numId w:val="2"/>
        </w:numPr>
        <w:spacing w:after="40" w:before="40"/>
      </w:pPr>
      <w:r>
        <w:rPr>
          <w:rFonts w:ascii="Arial" w:cs="Arial" w:eastAsia="Arial" w:hAnsi="Arial"/>
          <w:sz w:val="20"/>
          <w:szCs w:val="20"/>
        </w:rPr>
        <w:t xml:space="preserve">Monitor for pre-attack AD credential compromise: UEBA alerts on unusual privileged account activity can detect the preparation phase before detonation</w:t>
      </w:r>
    </w:p>
    <w:p>
      <w:pPr>
        <w:spacing w:after="0" w:before="12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Capstone Analysis</w:t>
            </w:r>
          </w:p>
        </w:tc>
      </w:tr>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vAlign w:val="top"/>
          </w:tcPr>
          <w:p>
            <w:pPr>
              <w:spacing w:after="80" w:before="80"/>
              <w:jc w:val="left"/>
            </w:pPr>
            <w:r>
              <w:rPr>
                <w:rFonts w:ascii="Arial" w:cs="Arial" w:eastAsia="Arial" w:hAnsi="Arial"/>
                <w:b/>
                <w:bCs/>
                <w:color w:val="1B3A6B"/>
                <w:sz w:val="19"/>
                <w:szCs w:val="19"/>
              </w:rPr>
              <w:t xml:space="preserve">Q: What made Norsk Hydro's response a gold standard for NIST CSF RC.CO communications?</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sz w:val="19"/>
                <w:szCs w:val="19"/>
              </w:rPr>
              <w:t xml:space="preserve">RC.CO-1 requires that public relations and reputation be managed during recovery. Norsk Hydro's approach was radical transparency: daily live-streamed press briefings, a real-time incident status website, direct CEO engagement with media, and refusal to pay the ransom publicly announced. This built enormous public trust, protected brand equity among aluminium customers, and is now studied in business schools as the benchmark for responsible cyber crisis management. The contrast with Uber — which concealed a smaller breach for 12 months and faced criminal prosecution — is stark. Transparency is not just ethical; it is strategically optimal.</w:t>
            </w:r>
          </w:p>
        </w:tc>
      </w:tr>
    </w:tbl>
    <w:p>
      <w:pPr>
        <w:spacing w:after="0" w:before="1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E67E22"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Analyst Assessment</w:t>
            </w:r>
          </w:p>
        </w:tc>
      </w:tr>
      <w:tr>
        <w:tc>
          <w:tcPr>
            <w:tcW w:type="dxa" w:w="9360"/>
            <w:tcBorders>
              <w:top w:val="single" w:color="E67E22" w:sz="6"/>
              <w:left w:val="single" w:color="E67E22" w:sz="6"/>
              <w:bottom w:val="single" w:color="E67E22" w:sz="6"/>
              <w:right w:val="single" w:color="E67E22" w:sz="6"/>
            </w:tcBorders>
            <w:shd w:fill="FDEBD0" w:val="clear"/>
            <w:tcMar>
              <w:top w:type="dxa" w:w="100"/>
              <w:left w:type="dxa" w:w="140"/>
              <w:bottom w:type="dxa" w:w="100"/>
              <w:right w:type="dxa" w:w="140"/>
            </w:tcMar>
            <w:vAlign w:val="top"/>
          </w:tcPr>
          <w:p>
            <w:pPr>
              <w:spacing w:after="80" w:before="80"/>
              <w:jc w:val="left"/>
            </w:pPr>
            <w:r>
              <w:rPr>
                <w:rFonts w:ascii="Arial" w:cs="Arial" w:eastAsia="Arial" w:hAnsi="Arial"/>
                <w:color w:val="1B3A6B"/>
                <w:sz w:val="19"/>
                <w:szCs w:val="19"/>
              </w:rPr>
              <w:t xml:space="preserve">Norsk Hydro is the only case study in this capstone where the response is the lesson, not just the failure. It demonstrates that RC.CO-1 is not soft PR management — it is a strategic asset. By refusing to pay the ransom and communicating transparently, Norsk Hydro preserved customer relationships, avoided the regulatory and criminal liability of concealment, and created a durable competitive advantage in corporate reputation. Mid-level analysts should study the Norsk Hydro communications playbook as a template and advocate for pre-drafted crisis communications as a first-class IR deliverable.</w:t>
            </w:r>
          </w:p>
        </w:tc>
      </w:tr>
    </w:tbl>
    <w:p>
      <w:pPr>
        <w:spacing w:after="80" w:before="80"/>
        <w:jc w:val="left"/>
      </w:pPr>
      <w:r>
        <w:br w:type="page"/>
      </w:r>
    </w:p>
    <w:p>
      <w:pPr>
        <w:pStyle w:val="Heading1"/>
        <w:pBdr>
          <w:bottom w:val="single" w:color="2E75B6" w:sz="8" w:space="4"/>
        </w:pBdr>
        <w:spacing w:after="160" w:before="360"/>
      </w:pPr>
      <w:r>
        <w:rPr>
          <w:rFonts w:ascii="Arial" w:cs="Arial" w:eastAsia="Arial" w:hAnsi="Arial"/>
          <w:b/>
          <w:bCs/>
          <w:color w:val="1B3A6B"/>
          <w:sz w:val="36"/>
          <w:szCs w:val="36"/>
        </w:rPr>
        <w:t xml:space="preserve">Operational Risk Register</w:t>
      </w:r>
    </w:p>
    <w:p>
      <w:pPr>
        <w:spacing w:after="80" w:before="80"/>
        <w:jc w:val="left"/>
      </w:pPr>
      <w:r>
        <w:rPr>
          <w:rFonts w:ascii="Arial" w:cs="Arial" w:eastAsia="Arial" w:hAnsi="Arial"/>
          <w:sz w:val="20"/>
          <w:szCs w:val="20"/>
        </w:rPr>
        <w:t xml:space="preserve">The following risk register translates all identified NIST CSF gaps into actionable, prioritised control items. P1 items represent immediate critical exposure; P2 items are high-priority within 90 days; P3 items should be scheduled within the next planning cycle.</w:t>
      </w:r>
    </w:p>
    <w:p>
      <w:pPr>
        <w:spacing w:after="0" w:before="8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800"/>
        <w:gridCol w:w="1400"/>
        <w:gridCol w:w="960"/>
      </w:tblGrid>
      <w:tr>
        <w:tc>
          <w:tcPr>
            <w:tcW w:type="dxa" w:w="16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Control Gap</w:t>
            </w:r>
          </w:p>
        </w:tc>
        <w:tc>
          <w:tcPr>
            <w:tcW w:type="dxa" w:w="22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Recommended Control</w:t>
            </w:r>
          </w:p>
        </w:tc>
        <w:tc>
          <w:tcPr>
            <w:tcW w:type="dxa" w:w="14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Risk Rating</w:t>
            </w:r>
          </w:p>
        </w:tc>
        <w:tc>
          <w:tcPr>
            <w:tcW w:type="dxa" w:w="18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Owner</w:t>
            </w:r>
          </w:p>
        </w:tc>
        <w:tc>
          <w:tcPr>
            <w:tcW w:type="dxa" w:w="14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Timeline</w:t>
            </w:r>
          </w:p>
        </w:tc>
        <w:tc>
          <w:tcPr>
            <w:tcW w:type="dxa" w:w="9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Priority</w:t>
            </w:r>
          </w:p>
        </w:tc>
      </w:tr>
      <w:tr>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enterprise asset inventory</w:t>
            </w:r>
          </w:p>
        </w:tc>
        <w:tc>
          <w:tcPr>
            <w:tcW w:type="dxa" w:w="2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Deploy automated asset discovery (Qualys / Tenable)</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8"/>
                <w:szCs w:val="18"/>
              </w:rPr>
              <w:t xml:space="preserve">Critical</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IT Operations</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30 days</w:t>
            </w:r>
          </w:p>
        </w:tc>
        <w:tc>
          <w:tcPr>
            <w:tcW w:type="dxa" w:w="9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P1</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MFA absent on remote access</w:t>
            </w:r>
          </w:p>
        </w:tc>
        <w:tc>
          <w:tcPr>
            <w:tcW w:type="dxa" w:w="2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Enforce MFA on all VPN, RDP, and cloud console access</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8"/>
                <w:szCs w:val="18"/>
              </w:rPr>
              <w:t xml:space="preserve">Critical</w:t>
            </w:r>
          </w:p>
        </w:tc>
        <w:tc>
          <w:tcPr>
            <w:tcW w:type="dxa" w:w="1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IAM Team</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30 days</w:t>
            </w:r>
          </w:p>
        </w:tc>
        <w:tc>
          <w:tcPr>
            <w:tcW w:type="dxa" w:w="9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P1</w:t>
            </w:r>
          </w:p>
        </w:tc>
      </w:tr>
      <w:tr>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network segmentation</w:t>
            </w:r>
          </w:p>
        </w:tc>
        <w:tc>
          <w:tcPr>
            <w:tcW w:type="dxa" w:w="2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Implement VLAN micro-segmentation for PCI/OT environments</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bCs/>
                <w:color w:val="C0392B"/>
                <w:sz w:val="18"/>
                <w:szCs w:val="18"/>
              </w:rPr>
              <w:t xml:space="preserve">Critical</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Network Security</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60 days</w:t>
            </w:r>
          </w:p>
        </w:tc>
        <w:tc>
          <w:tcPr>
            <w:tcW w:type="dxa" w:w="9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P1</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secrets management programme</w:t>
            </w:r>
          </w:p>
        </w:tc>
        <w:tc>
          <w:tcPr>
            <w:tcW w:type="dxa" w:w="2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Deploy HashiCorp Vault; implement Gitleaks pre-commit hooks</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E67E22"/>
                <w:sz w:val="18"/>
                <w:szCs w:val="18"/>
              </w:rPr>
              <w:t xml:space="preserve">High</w:t>
            </w:r>
          </w:p>
        </w:tc>
        <w:tc>
          <w:tcPr>
            <w:tcW w:type="dxa" w:w="1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DevSecOps</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45 days</w:t>
            </w:r>
          </w:p>
        </w:tc>
        <w:tc>
          <w:tcPr>
            <w:tcW w:type="dxa" w:w="9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P2</w:t>
            </w:r>
          </w:p>
        </w:tc>
      </w:tr>
      <w:tr>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OT-specific IR playbook</w:t>
            </w:r>
          </w:p>
        </w:tc>
        <w:tc>
          <w:tcPr>
            <w:tcW w:type="dxa" w:w="2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Develop and tabletop-test ransomware + OT shutdown scenarios</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bCs/>
                <w:color w:val="E67E22"/>
                <w:sz w:val="18"/>
                <w:szCs w:val="18"/>
              </w:rPr>
              <w:t xml:space="preserve">High</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SOC / CISO</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60 days</w:t>
            </w:r>
          </w:p>
        </w:tc>
        <w:tc>
          <w:tcPr>
            <w:tcW w:type="dxa" w:w="9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P2</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offline AD backup</w:t>
            </w:r>
          </w:p>
        </w:tc>
        <w:tc>
          <w:tcPr>
            <w:tcW w:type="dxa" w:w="2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Implement air-gapped AD backup with quarterly restore test</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E67E22"/>
                <w:sz w:val="18"/>
                <w:szCs w:val="18"/>
              </w:rPr>
              <w:t xml:space="preserve">High</w:t>
            </w:r>
          </w:p>
        </w:tc>
        <w:tc>
          <w:tcPr>
            <w:tcW w:type="dxa" w:w="1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IT Operations</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45 days</w:t>
            </w:r>
          </w:p>
        </w:tc>
        <w:tc>
          <w:tcPr>
            <w:tcW w:type="dxa" w:w="9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P2</w:t>
            </w:r>
          </w:p>
        </w:tc>
      </w:tr>
      <w:tr>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UEBA / behavioural monitoring</w:t>
            </w:r>
          </w:p>
        </w:tc>
        <w:tc>
          <w:tcPr>
            <w:tcW w:type="dxa" w:w="2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Deploy Microsoft Sentinel UEBA or Splunk UBA</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bCs/>
                <w:color w:val="E67E22"/>
                <w:sz w:val="18"/>
                <w:szCs w:val="18"/>
              </w:rPr>
              <w:t xml:space="preserve">High</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SOC</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90 days</w:t>
            </w:r>
          </w:p>
        </w:tc>
        <w:tc>
          <w:tcPr>
            <w:tcW w:type="dxa" w:w="9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P2</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GDPR 72-hr notification workflow</w:t>
            </w:r>
          </w:p>
        </w:tc>
        <w:tc>
          <w:tcPr>
            <w:tcW w:type="dxa" w:w="2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Build timestamped notification runbook into IR process</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E67E22"/>
                <w:sz w:val="18"/>
                <w:szCs w:val="18"/>
              </w:rPr>
              <w:t xml:space="preserve">High</w:t>
            </w:r>
          </w:p>
        </w:tc>
        <w:tc>
          <w:tcPr>
            <w:tcW w:type="dxa" w:w="1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Legal / CISO</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30 days</w:t>
            </w:r>
          </w:p>
        </w:tc>
        <w:tc>
          <w:tcPr>
            <w:tcW w:type="dxa" w:w="9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P2</w:t>
            </w:r>
          </w:p>
        </w:tc>
      </w:tr>
      <w:tr>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supply chain risk programme</w:t>
            </w:r>
          </w:p>
        </w:tc>
        <w:tc>
          <w:tcPr>
            <w:tcW w:type="dxa" w:w="2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Implement SBOM for all third-party software; adopt SLSA</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bCs/>
                <w:color w:val="E67E22"/>
                <w:sz w:val="18"/>
                <w:szCs w:val="18"/>
              </w:rPr>
              <w:t xml:space="preserve">High</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Procurement / Dev</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90 days</w:t>
            </w:r>
          </w:p>
        </w:tc>
        <w:tc>
          <w:tcPr>
            <w:tcW w:type="dxa" w:w="9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P3</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M&amp;A cyber due diligence process</w:t>
            </w:r>
          </w:p>
        </w:tc>
        <w:tc>
          <w:tcPr>
            <w:tcW w:type="dxa" w:w="2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Commission pre-integration compromise assessment for all M&amp;A</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2E75B6"/>
                <w:sz w:val="18"/>
                <w:szCs w:val="18"/>
              </w:rPr>
              <w:t xml:space="preserve">Medium</w:t>
            </w:r>
          </w:p>
        </w:tc>
        <w:tc>
          <w:tcPr>
            <w:tcW w:type="dxa" w:w="1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CISO</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60 days</w:t>
            </w:r>
          </w:p>
        </w:tc>
        <w:tc>
          <w:tcPr>
            <w:tcW w:type="dxa" w:w="9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P3</w:t>
            </w:r>
          </w:p>
        </w:tc>
      </w:tr>
      <w:tr>
        <w:tc>
          <w:tcPr>
            <w:tcW w:type="dxa" w:w="16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CSP/SRI on payment pages</w:t>
            </w:r>
          </w:p>
        </w:tc>
        <w:tc>
          <w:tcPr>
            <w:tcW w:type="dxa" w:w="22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Implement Content Security Policy and subresource integrity</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b/>
                <w:bCs/>
                <w:color w:val="2E75B6"/>
                <w:sz w:val="18"/>
                <w:szCs w:val="18"/>
              </w:rPr>
              <w:t xml:space="preserve">Medium</w:t>
            </w:r>
          </w:p>
        </w:tc>
        <w:tc>
          <w:tcPr>
            <w:tcW w:type="dxa" w:w="18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Web Security</w:t>
            </w:r>
          </w:p>
        </w:tc>
        <w:tc>
          <w:tcPr>
            <w:tcW w:type="dxa" w:w="140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30 days</w:t>
            </w:r>
          </w:p>
        </w:tc>
        <w:tc>
          <w:tcPr>
            <w:tcW w:type="dxa" w:w="960"/>
            <w:tcBorders>
              <w:top w:val="single" w:color="D5D8DC" w:sz="4"/>
              <w:left w:val="single" w:color="D5D8DC" w:sz="4"/>
              <w:bottom w:val="single" w:color="D5D8DC" w:sz="4"/>
              <w:right w:val="single" w:color="D5D8DC" w:sz="4"/>
            </w:tcBorders>
            <w:shd w:fill="F2F3F4"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P3</w:t>
            </w:r>
          </w:p>
        </w:tc>
      </w:tr>
      <w:tr>
        <w:tc>
          <w:tcPr>
            <w:tcW w:type="dxa" w:w="16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 tested recovery procedure</w:t>
            </w:r>
          </w:p>
        </w:tc>
        <w:tc>
          <w:tcPr>
            <w:tcW w:type="dxa" w:w="22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Annual tabletop simulating total infrastructure loss</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E67E22"/>
                <w:sz w:val="18"/>
                <w:szCs w:val="18"/>
              </w:rPr>
              <w:t xml:space="preserve">High</w:t>
            </w:r>
          </w:p>
        </w:tc>
        <w:tc>
          <w:tcPr>
            <w:tcW w:type="dxa" w:w="18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IT Operations</w:t>
            </w:r>
          </w:p>
        </w:tc>
        <w:tc>
          <w:tcPr>
            <w:tcW w:type="dxa" w:w="1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90 days</w:t>
            </w:r>
          </w:p>
        </w:tc>
        <w:tc>
          <w:tcPr>
            <w:tcW w:type="dxa" w:w="9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P2</w:t>
            </w:r>
          </w:p>
        </w:tc>
      </w:tr>
    </w:tbl>
    <w:p>
      <w:pPr>
        <w:spacing w:after="0" w:before="200"/>
        <w:jc w:val="left"/>
      </w:pPr>
      <w:r>
        <w:rPr>
          <w:rFonts w:ascii="Arial" w:cs="Arial" w:eastAsia="Arial" w:hAnsi="Arial"/>
          <w:sz w:val="20"/>
          <w:szCs w:val="2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Security Metrics &amp; KPI Framework</w:t>
      </w:r>
    </w:p>
    <w:p>
      <w:pPr>
        <w:spacing w:after="80" w:before="80"/>
        <w:jc w:val="left"/>
      </w:pPr>
      <w:r>
        <w:rPr>
          <w:rFonts w:ascii="Arial" w:cs="Arial" w:eastAsia="Arial" w:hAnsi="Arial"/>
          <w:sz w:val="20"/>
          <w:szCs w:val="20"/>
        </w:rPr>
        <w:t xml:space="preserve">The following KPIs define measurable success criteria for each NIST CSF function. Each metric is grounded in one of the nine case studies to ensure they reflect real-world failure modes, not theoretical benchmarks.</w:t>
      </w:r>
    </w:p>
    <w:p>
      <w:pPr>
        <w:spacing w:after="0" w:before="80"/>
        <w:jc w:val="left"/>
      </w:pPr>
      <w:r>
        <w:rPr>
          <w:rFonts w:ascii="Arial" w:cs="Arial" w:eastAsia="Arial" w:hAnsi="Arial"/>
          <w:sz w:val="20"/>
          <w:szCs w:val="20"/>
        </w:rPr>
        <w:t xml:space="preserve"/>
      </w:r>
    </w:p>
    <w:p>
      <w:pPr>
        <w:pStyle w:val="Heading2"/>
        <w:spacing w:after="120" w:before="280"/>
      </w:pPr>
      <w:r>
        <w:rPr>
          <w:rFonts w:ascii="Arial" w:cs="Arial" w:eastAsia="Arial" w:hAnsi="Arial"/>
          <w:b/>
          <w:bCs/>
          <w:color w:val="E67E22"/>
          <w:sz w:val="28"/>
          <w:szCs w:val="28"/>
        </w:rPr>
        <w:t xml:space="preserve">Identify —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KPI / Metric</w:t>
            </w:r>
          </w:p>
        </w:tc>
        <w:tc>
          <w:tcPr>
            <w:tcW w:type="dxa" w:w="24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Target Threshold</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Rationale</w:t>
            </w:r>
          </w:p>
        </w:tc>
      </w:tr>
      <w:tr>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Asset coverage rate</w:t>
            </w:r>
          </w:p>
        </w:tc>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100% of production assets inventoried</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You cannot patch what you do not know exists (Equifax)</w:t>
            </w:r>
          </w:p>
        </w:tc>
      </w:tr>
      <w:tr>
        <w:tc>
          <w:tcPr>
            <w:tcW w:type="dxa" w:w="2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Patch SLA compliance — Critical CVEs</w:t>
            </w:r>
          </w:p>
        </w:tc>
        <w:tc>
          <w:tcPr>
            <w:tcW w:type="dxa" w:w="2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&gt;=95% patched within 72 hours</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Equifax had a 78-day gap on a known critical CVE</w:t>
            </w:r>
          </w:p>
        </w:tc>
      </w:tr>
      <w:tr>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Third-party risk assessments completed</w:t>
            </w:r>
          </w:p>
        </w:tc>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100% of Tier 1 suppliers assessed annually</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SolarWinds supply chain lacked any independent assessment</w:t>
            </w:r>
          </w:p>
        </w:tc>
      </w:tr>
    </w:tbl>
    <w:p>
      <w:pPr>
        <w:spacing w:after="0" w:before="120"/>
        <w:jc w:val="left"/>
      </w:pPr>
      <w:r>
        <w:rPr>
          <w:rFonts w:ascii="Arial" w:cs="Arial" w:eastAsia="Arial" w:hAnsi="Arial"/>
          <w:sz w:val="20"/>
          <w:szCs w:val="20"/>
        </w:rPr>
        <w:t xml:space="preserve"/>
      </w:r>
    </w:p>
    <w:p>
      <w:pPr>
        <w:pStyle w:val="Heading2"/>
        <w:spacing w:after="120" w:before="280"/>
      </w:pPr>
      <w:r>
        <w:rPr>
          <w:rFonts w:ascii="Arial" w:cs="Arial" w:eastAsia="Arial" w:hAnsi="Arial"/>
          <w:b/>
          <w:bCs/>
          <w:color w:val="17A589"/>
          <w:sz w:val="28"/>
          <w:szCs w:val="28"/>
        </w:rPr>
        <w:t xml:space="preserve">Protect —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KPI / Metric</w:t>
            </w:r>
          </w:p>
        </w:tc>
        <w:tc>
          <w:tcPr>
            <w:tcW w:type="dxa" w:w="24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Target Threshold</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Rationale</w:t>
            </w:r>
          </w:p>
        </w:tc>
      </w:tr>
      <w:tr>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MFA adoption rate — remote access</w:t>
            </w:r>
          </w:p>
        </w:tc>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100% (no exceptions)</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Colonial Pipeline breached via single password on legacy VPN</w:t>
            </w:r>
          </w:p>
        </w:tc>
      </w:tr>
      <w:tr>
        <w:tc>
          <w:tcPr>
            <w:tcW w:type="dxa" w:w="2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Secrets scanning pass rate</w:t>
            </w:r>
          </w:p>
        </w:tc>
        <w:tc>
          <w:tcPr>
            <w:tcW w:type="dxa" w:w="2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Zero hard-coded credentials in CI/CD pipelines</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Uber breach originated from credentials in GitHub</w:t>
            </w:r>
          </w:p>
        </w:tc>
      </w:tr>
      <w:tr>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Network segmentation coverage</w:t>
            </w:r>
          </w:p>
        </w:tc>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100% of PCI and OT environments segmented</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Target: flat network enabled full lateral movement from HVAC</w:t>
            </w:r>
          </w:p>
        </w:tc>
      </w:tr>
    </w:tbl>
    <w:p>
      <w:pPr>
        <w:spacing w:after="0" w:before="120"/>
        <w:jc w:val="left"/>
      </w:pPr>
      <w:r>
        <w:rPr>
          <w:rFonts w:ascii="Arial" w:cs="Arial" w:eastAsia="Arial" w:hAnsi="Arial"/>
          <w:sz w:val="20"/>
          <w:szCs w:val="20"/>
        </w:rPr>
        <w:t xml:space="preserve"/>
      </w:r>
    </w:p>
    <w:p>
      <w:pPr>
        <w:pStyle w:val="Heading2"/>
        <w:spacing w:after="120" w:before="280"/>
      </w:pPr>
      <w:r>
        <w:rPr>
          <w:rFonts w:ascii="Arial" w:cs="Arial" w:eastAsia="Arial" w:hAnsi="Arial"/>
          <w:b/>
          <w:bCs/>
          <w:color w:val="6C3483"/>
          <w:sz w:val="28"/>
          <w:szCs w:val="28"/>
        </w:rPr>
        <w:t xml:space="preserve">Detect —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KPI / Metric</w:t>
            </w:r>
          </w:p>
        </w:tc>
        <w:tc>
          <w:tcPr>
            <w:tcW w:type="dxa" w:w="24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Target Threshold</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Rationale</w:t>
            </w:r>
          </w:p>
        </w:tc>
      </w:tr>
      <w:tr>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Mean Time to Detect (MTTD)</w:t>
            </w:r>
          </w:p>
        </w:tc>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&lt;24 hours for critical events</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Marriott went 4 years undetected; Equifax 78 days</w:t>
            </w:r>
          </w:p>
        </w:tc>
      </w:tr>
      <w:tr>
        <w:tc>
          <w:tcPr>
            <w:tcW w:type="dxa" w:w="2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SIEM alert coverage</w:t>
            </w:r>
          </w:p>
        </w:tc>
        <w:tc>
          <w:tcPr>
            <w:tcW w:type="dxa" w:w="2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&gt;=90% of production assets generating telemetry</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Gaps in telemetry are gaps in visibility</w:t>
            </w:r>
          </w:p>
        </w:tc>
      </w:tr>
      <w:tr>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UEBA deployment coverage</w:t>
            </w:r>
          </w:p>
        </w:tc>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100% of privileged accounts under behavioural monitoring</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Marriott attackers used legitimate admin credentials</w:t>
            </w:r>
          </w:p>
        </w:tc>
      </w:tr>
    </w:tbl>
    <w:p>
      <w:pPr>
        <w:spacing w:after="0" w:before="120"/>
        <w:jc w:val="left"/>
      </w:pPr>
      <w:r>
        <w:rPr>
          <w:rFonts w:ascii="Arial" w:cs="Arial" w:eastAsia="Arial" w:hAnsi="Arial"/>
          <w:sz w:val="20"/>
          <w:szCs w:val="20"/>
        </w:rPr>
        <w:t xml:space="preserve"/>
      </w:r>
    </w:p>
    <w:p>
      <w:pPr>
        <w:pStyle w:val="Heading2"/>
        <w:spacing w:after="120" w:before="280"/>
      </w:pPr>
      <w:r>
        <w:rPr>
          <w:rFonts w:ascii="Arial" w:cs="Arial" w:eastAsia="Arial" w:hAnsi="Arial"/>
          <w:b/>
          <w:bCs/>
          <w:color w:val="C0392B"/>
          <w:sz w:val="28"/>
          <w:szCs w:val="28"/>
        </w:rPr>
        <w:t xml:space="preserve">Respond —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KPI / Metric</w:t>
            </w:r>
          </w:p>
        </w:tc>
        <w:tc>
          <w:tcPr>
            <w:tcW w:type="dxa" w:w="24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Target Threshold</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Rationale</w:t>
            </w:r>
          </w:p>
        </w:tc>
      </w:tr>
      <w:tr>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Mean Time to Respond (MTTR)</w:t>
            </w:r>
          </w:p>
        </w:tc>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&lt;4 hours for P1 incidents</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Slow containment amplifies breach scope and regulatory exposure</w:t>
            </w:r>
          </w:p>
        </w:tc>
      </w:tr>
      <w:tr>
        <w:tc>
          <w:tcPr>
            <w:tcW w:type="dxa" w:w="2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IR playbook coverage</w:t>
            </w:r>
          </w:p>
        </w:tc>
        <w:tc>
          <w:tcPr>
            <w:tcW w:type="dxa" w:w="2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100% of threat scenarios have a documented playbook</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Colonial had no tested OT ransomware playbook</w:t>
            </w:r>
          </w:p>
        </w:tc>
      </w:tr>
      <w:tr>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Regulatory notification timeliness</w:t>
            </w:r>
          </w:p>
        </w:tc>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100% of GDPR notifications within 72 hours</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British Airways exceeded the legal notification window</w:t>
            </w:r>
          </w:p>
        </w:tc>
      </w:tr>
    </w:tbl>
    <w:p>
      <w:pPr>
        <w:spacing w:after="0" w:before="120"/>
        <w:jc w:val="left"/>
      </w:pPr>
      <w:r>
        <w:rPr>
          <w:rFonts w:ascii="Arial" w:cs="Arial" w:eastAsia="Arial" w:hAnsi="Arial"/>
          <w:sz w:val="20"/>
          <w:szCs w:val="20"/>
        </w:rPr>
        <w:t xml:space="preserve"/>
      </w:r>
    </w:p>
    <w:p>
      <w:pPr>
        <w:pStyle w:val="Heading2"/>
        <w:spacing w:after="120" w:before="280"/>
      </w:pPr>
      <w:r>
        <w:rPr>
          <w:rFonts w:ascii="Arial" w:cs="Arial" w:eastAsia="Arial" w:hAnsi="Arial"/>
          <w:b/>
          <w:bCs/>
          <w:color w:val="1E8449"/>
          <w:sz w:val="28"/>
          <w:szCs w:val="28"/>
        </w:rPr>
        <w:t xml:space="preserve">Recover —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KPI / Metric</w:t>
            </w:r>
          </w:p>
        </w:tc>
        <w:tc>
          <w:tcPr>
            <w:tcW w:type="dxa" w:w="240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Target Threshold</w:t>
            </w:r>
          </w:p>
        </w:tc>
        <w:tc>
          <w:tcPr>
            <w:tcW w:type="dxa" w:w="4560"/>
            <w:tcBorders>
              <w:top w:val="single" w:color="1B3A6B" w:sz="6"/>
              <w:left w:val="single" w:color="1B3A6B" w:sz="6"/>
              <w:bottom w:val="single" w:color="1B3A6B" w:sz="6"/>
              <w:right w:val="single" w:color="1B3A6B" w:sz="6"/>
            </w:tcBorders>
            <w:shd w:fill="17A58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8"/>
                <w:szCs w:val="18"/>
              </w:rPr>
              <w:t xml:space="preserve">Rationale</w:t>
            </w:r>
          </w:p>
        </w:tc>
      </w:tr>
      <w:tr>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RTO compliance rate</w:t>
            </w:r>
          </w:p>
        </w:tc>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&gt;=95% of critical systems restored within defined RTO</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Maersk had no tested recovery — 10 days of downtime</w:t>
            </w:r>
          </w:p>
        </w:tc>
      </w:tr>
      <w:tr>
        <w:tc>
          <w:tcPr>
            <w:tcW w:type="dxa" w:w="2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Backup restore test success rate</w:t>
            </w:r>
          </w:p>
        </w:tc>
        <w:tc>
          <w:tcPr>
            <w:tcW w:type="dxa" w:w="240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100% quarterly successful restore test</w:t>
            </w:r>
          </w:p>
        </w:tc>
        <w:tc>
          <w:tcPr>
            <w:tcW w:type="dxa" w:w="45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Backup without tested restore is not a backup</w:t>
            </w:r>
          </w:p>
        </w:tc>
      </w:tr>
      <w:tr>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18"/>
                <w:szCs w:val="18"/>
              </w:rPr>
              <w:t xml:space="preserve">Tabletop exercise frequency</w:t>
            </w:r>
          </w:p>
        </w:tc>
        <w:tc>
          <w:tcPr>
            <w:tcW w:type="dxa" w:w="240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Annual full infrastructure loss simulation</w:t>
            </w:r>
          </w:p>
        </w:tc>
        <w:tc>
          <w:tcPr>
            <w:tcW w:type="dxa" w:w="4560"/>
            <w:tcBorders>
              <w:top w:val="single" w:color="D5D8DC" w:sz="4"/>
              <w:left w:val="single" w:color="D5D8DC" w:sz="4"/>
              <w:bottom w:val="single" w:color="D5D8DC" w:sz="4"/>
              <w:right w:val="single" w:color="D5D8DC" w:sz="4"/>
            </w:tcBorders>
            <w:shd w:fill="D1F2EB" w:val="clear"/>
            <w:tcMar>
              <w:top w:type="dxa" w:w="100"/>
              <w:left w:type="dxa" w:w="140"/>
              <w:bottom w:type="dxa" w:w="100"/>
              <w:right w:type="dxa" w:w="140"/>
            </w:tcMar>
            <w:vAlign w:val="top"/>
          </w:tcPr>
          <w:p>
            <w:pPr>
              <w:spacing w:after="60" w:before="60"/>
              <w:jc w:val="left"/>
            </w:pPr>
            <w:r>
              <w:rPr>
                <w:rFonts w:ascii="Arial" w:cs="Arial" w:eastAsia="Arial" w:hAnsi="Arial"/>
                <w:sz w:val="18"/>
                <w:szCs w:val="18"/>
              </w:rPr>
              <w:t xml:space="preserve">Norsk Hydro and Maersk lacked tested OT recovery procedures</w:t>
            </w:r>
          </w:p>
        </w:tc>
      </w:tr>
    </w:tbl>
    <w:p>
      <w:pPr>
        <w:spacing w:after="0" w:before="120"/>
        <w:jc w:val="left"/>
      </w:pPr>
      <w:r>
        <w:rPr>
          <w:rFonts w:ascii="Arial" w:cs="Arial" w:eastAsia="Arial" w:hAnsi="Arial"/>
          <w:sz w:val="20"/>
          <w:szCs w:val="20"/>
        </w:rPr>
        <w:t xml:space="preserve"/>
      </w:r>
    </w:p>
    <w:p>
      <w:pPr>
        <w:spacing w:after="80" w:before="80"/>
        <w:jc w:val="left"/>
      </w:pPr>
      <w:r>
        <w:br w:type="page"/>
      </w:r>
    </w:p>
    <w:p>
      <w:pPr>
        <w:pStyle w:val="Heading1"/>
        <w:pBdr>
          <w:bottom w:val="single" w:color="2E75B6" w:sz="8" w:space="4"/>
        </w:pBdr>
        <w:spacing w:after="160" w:before="360"/>
      </w:pPr>
      <w:r>
        <w:rPr>
          <w:rFonts w:ascii="Arial" w:cs="Arial" w:eastAsia="Arial" w:hAnsi="Arial"/>
          <w:b/>
          <w:bCs/>
          <w:color w:val="1B3A6B"/>
          <w:sz w:val="36"/>
          <w:szCs w:val="36"/>
        </w:rPr>
        <w:t xml:space="preserve">Conclusion &amp; Strategic Recommendations</w:t>
      </w:r>
    </w:p>
    <w:p>
      <w:pPr>
        <w:pStyle w:val="Heading2"/>
        <w:spacing w:after="120" w:before="280"/>
      </w:pPr>
      <w:r>
        <w:rPr>
          <w:rFonts w:ascii="Arial" w:cs="Arial" w:eastAsia="Arial" w:hAnsi="Arial"/>
          <w:b/>
          <w:bCs/>
          <w:color w:val="2E75B6"/>
          <w:sz w:val="28"/>
          <w:szCs w:val="28"/>
        </w:rPr>
        <w:t xml:space="preserve">Key Themes Across All Five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0" w:before="100"/>
              <w:jc w:val="left"/>
            </w:pPr>
            <w:r>
              <w:rPr>
                <w:rFonts w:ascii="Arial" w:cs="Arial" w:eastAsia="Arial" w:hAnsi="Arial"/>
                <w:b/>
                <w:bCs/>
                <w:color w:val="1B3A6B"/>
                <w:sz w:val="20"/>
                <w:szCs w:val="20"/>
              </w:rPr>
              <w:t xml:space="preserve">Asset blindness is breach blindness.  </w:t>
            </w:r>
            <w:r>
              <w:rPr>
                <w:rFonts w:ascii="Arial" w:cs="Arial" w:eastAsia="Arial" w:hAnsi="Arial"/>
                <w:sz w:val="20"/>
                <w:szCs w:val="20"/>
              </w:rPr>
              <w:t xml:space="preserve">Both Equifax and SolarWinds demonstrate that the Identify function is not administrative overhead — it is the prerequisite for every other control. If an asset is not inventoried, it will not be patched, monitored, or recovered.</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100" w:before="100"/>
              <w:jc w:val="left"/>
            </w:pPr>
            <w:r>
              <w:rPr>
                <w:rFonts w:ascii="Arial" w:cs="Arial" w:eastAsia="Arial" w:hAnsi="Arial"/>
                <w:b/>
                <w:bCs/>
                <w:color w:val="1B3A6B"/>
                <w:sz w:val="20"/>
                <w:szCs w:val="20"/>
              </w:rPr>
              <w:t xml:space="preserve">One control failure is rarely the whole story.  </w:t>
            </w:r>
            <w:r>
              <w:rPr>
                <w:rFonts w:ascii="Arial" w:cs="Arial" w:eastAsia="Arial" w:hAnsi="Arial"/>
                <w:sz w:val="20"/>
                <w:szCs w:val="20"/>
              </w:rPr>
              <w:t xml:space="preserve">Every case study involves multiple overlapping NIST gaps. Target required both a PR.AC vendor access failure and a PR.PT segmentation failure. Defence-in-depth is not optional.</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0" w:before="100"/>
              <w:jc w:val="left"/>
            </w:pPr>
            <w:r>
              <w:rPr>
                <w:rFonts w:ascii="Arial" w:cs="Arial" w:eastAsia="Arial" w:hAnsi="Arial"/>
                <w:b/>
                <w:bCs/>
                <w:color w:val="1B3A6B"/>
                <w:sz w:val="20"/>
                <w:szCs w:val="20"/>
              </w:rPr>
              <w:t xml:space="preserve">Detection speed is the most powerful variable.  </w:t>
            </w:r>
            <w:r>
              <w:rPr>
                <w:rFonts w:ascii="Arial" w:cs="Arial" w:eastAsia="Arial" w:hAnsi="Arial"/>
                <w:sz w:val="20"/>
                <w:szCs w:val="20"/>
              </w:rPr>
              <w:t xml:space="preserve">Marriott's 4-year dwell versus British Airways's 14-day skimmer illustrates how DE.CM maturity determines whether a breach becomes a footnote or a $500M liability.</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100" w:before="100"/>
              <w:jc w:val="left"/>
            </w:pPr>
            <w:r>
              <w:rPr>
                <w:rFonts w:ascii="Arial" w:cs="Arial" w:eastAsia="Arial" w:hAnsi="Arial"/>
                <w:b/>
                <w:bCs/>
                <w:color w:val="1B3A6B"/>
                <w:sz w:val="20"/>
                <w:szCs w:val="20"/>
              </w:rPr>
              <w:t xml:space="preserve">Response plans must be rehearsed, not just written.  </w:t>
            </w:r>
            <w:r>
              <w:rPr>
                <w:rFonts w:ascii="Arial" w:cs="Arial" w:eastAsia="Arial" w:hAnsi="Arial"/>
                <w:sz w:val="20"/>
                <w:szCs w:val="20"/>
              </w:rPr>
              <w:t xml:space="preserve">Colonial Pipeline had documentation. Maersk had backups. Neither had tested their procedures. RS.RP-1 and RC.RP-1 require execution, not documentation.</w:t>
            </w:r>
          </w:p>
        </w:tc>
      </w:tr>
      <w:tr>
        <w:tc>
          <w:tcPr>
            <w:tcW w:type="dxa" w:w="9360"/>
            <w:tcBorders>
              <w:top w:val="single" w:color="D5D8DC" w:sz="4"/>
              <w:left w:val="single" w:color="D5D8DC" w:sz="4"/>
              <w:bottom w:val="single" w:color="D5D8DC" w:sz="4"/>
              <w:right w:val="single" w:color="D5D8DC" w:sz="4"/>
            </w:tcBorders>
            <w:shd w:fill="D6E4F0" w:val="clear"/>
            <w:tcMar>
              <w:top w:type="dxa" w:w="100"/>
              <w:left w:type="dxa" w:w="140"/>
              <w:bottom w:type="dxa" w:w="100"/>
              <w:right w:type="dxa" w:w="140"/>
            </w:tcMar>
            <w:vAlign w:val="top"/>
          </w:tcPr>
          <w:p>
            <w:pPr>
              <w:spacing w:after="100" w:before="100"/>
              <w:jc w:val="left"/>
            </w:pPr>
            <w:r>
              <w:rPr>
                <w:rFonts w:ascii="Arial" w:cs="Arial" w:eastAsia="Arial" w:hAnsi="Arial"/>
                <w:b/>
                <w:bCs/>
                <w:color w:val="1B3A6B"/>
                <w:sz w:val="20"/>
                <w:szCs w:val="20"/>
              </w:rPr>
              <w:t xml:space="preserve">Communications is a security control.  </w:t>
            </w:r>
            <w:r>
              <w:rPr>
                <w:rFonts w:ascii="Arial" w:cs="Arial" w:eastAsia="Arial" w:hAnsi="Arial"/>
                <w:sz w:val="20"/>
                <w:szCs w:val="20"/>
              </w:rPr>
              <w:t xml:space="preserve">Norsk Hydro's radical transparency protected brand equity. RC.CO-1 is not soft — it is strategically material and measurable.</w:t>
            </w:r>
          </w:p>
        </w:tc>
      </w:tr>
      <w:tr>
        <w:tc>
          <w:tcPr>
            <w:tcW w:type="dxa" w:w="9360"/>
            <w:tcBorders>
              <w:top w:val="single" w:color="D5D8DC" w:sz="4"/>
              <w:left w:val="single" w:color="D5D8DC" w:sz="4"/>
              <w:bottom w:val="single" w:color="D5D8DC" w:sz="4"/>
              <w:right w:val="single" w:color="D5D8DC" w:sz="4"/>
            </w:tcBorders>
            <w:shd w:fill="FFFFFF" w:val="clear"/>
            <w:tcMar>
              <w:top w:type="dxa" w:w="100"/>
              <w:left w:type="dxa" w:w="140"/>
              <w:bottom w:type="dxa" w:w="100"/>
              <w:right w:type="dxa" w:w="140"/>
            </w:tcMar>
            <w:vAlign w:val="top"/>
          </w:tcPr>
          <w:p>
            <w:pPr>
              <w:spacing w:after="100" w:before="100"/>
              <w:jc w:val="left"/>
            </w:pPr>
            <w:r>
              <w:rPr>
                <w:rFonts w:ascii="Arial" w:cs="Arial" w:eastAsia="Arial" w:hAnsi="Arial"/>
                <w:b/>
                <w:bCs/>
                <w:color w:val="1B3A6B"/>
                <w:sz w:val="20"/>
                <w:szCs w:val="20"/>
              </w:rPr>
              <w:t xml:space="preserve">CSF 2.0 Govern underpins all five functions.  </w:t>
            </w:r>
            <w:r>
              <w:rPr>
                <w:rFonts w:ascii="Arial" w:cs="Arial" w:eastAsia="Arial" w:hAnsi="Arial"/>
                <w:sz w:val="20"/>
                <w:szCs w:val="20"/>
              </w:rPr>
              <w:t xml:space="preserve">Every failure in this capstone traces back to a governance gap: missing policy, unclear ownership, absent accountability. GV is not an add-on — it is the foundation.</w:t>
            </w:r>
          </w:p>
        </w:tc>
      </w:tr>
    </w:tbl>
    <w:p>
      <w:pPr>
        <w:spacing w:after="0" w:before="160"/>
        <w:jc w:val="left"/>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8"/>
          <w:szCs w:val="28"/>
        </w:rPr>
        <w:t xml:space="preserve">Priority Recommendations</w:t>
      </w:r>
    </w:p>
    <w:p>
      <w:pPr>
        <w:pStyle w:val="ListParagraph"/>
        <w:numPr>
          <w:ilvl w:val="0"/>
          <w:numId w:val="2"/>
        </w:numPr>
        <w:spacing w:after="40" w:before="40"/>
      </w:pPr>
      <w:r>
        <w:rPr>
          <w:rFonts w:ascii="Arial" w:cs="Arial" w:eastAsia="Arial" w:hAnsi="Arial"/>
          <w:sz w:val="20"/>
          <w:szCs w:val="20"/>
        </w:rPr>
        <w:t xml:space="preserve">Conduct an annual NIST CSF self-assessment using the CSF 2.0 Organisational Profile template — establish a documented Tier for each function and track improvement year-on-year</w:t>
      </w:r>
    </w:p>
    <w:p>
      <w:pPr>
        <w:pStyle w:val="ListParagraph"/>
        <w:numPr>
          <w:ilvl w:val="0"/>
          <w:numId w:val="2"/>
        </w:numPr>
        <w:spacing w:after="40" w:before="40"/>
      </w:pPr>
      <w:r>
        <w:rPr>
          <w:rFonts w:ascii="Arial" w:cs="Arial" w:eastAsia="Arial" w:hAnsi="Arial"/>
          <w:sz w:val="20"/>
          <w:szCs w:val="20"/>
        </w:rPr>
        <w:t xml:space="preserve">Prioritise Identify function maturity first — without a complete asset inventory, all other controls are guesswork</w:t>
      </w:r>
    </w:p>
    <w:p>
      <w:pPr>
        <w:pStyle w:val="ListParagraph"/>
        <w:numPr>
          <w:ilvl w:val="0"/>
          <w:numId w:val="2"/>
        </w:numPr>
        <w:spacing w:after="40" w:before="40"/>
      </w:pPr>
      <w:r>
        <w:rPr>
          <w:rFonts w:ascii="Arial" w:cs="Arial" w:eastAsia="Arial" w:hAnsi="Arial"/>
          <w:sz w:val="20"/>
          <w:szCs w:val="20"/>
        </w:rPr>
        <w:t xml:space="preserve">Enforce MFA on all remote access within 30 days — every credential-based breach in this capstone exploited the absence of MFA</w:t>
      </w:r>
    </w:p>
    <w:p>
      <w:pPr>
        <w:pStyle w:val="ListParagraph"/>
        <w:numPr>
          <w:ilvl w:val="0"/>
          <w:numId w:val="2"/>
        </w:numPr>
        <w:spacing w:after="40" w:before="40"/>
      </w:pPr>
      <w:r>
        <w:rPr>
          <w:rFonts w:ascii="Arial" w:cs="Arial" w:eastAsia="Arial" w:hAnsi="Arial"/>
          <w:sz w:val="20"/>
          <w:szCs w:val="20"/>
        </w:rPr>
        <w:t xml:space="preserve">Segment networks before a breach, not after — network segmentation has the highest single ROI of any protective control in this dataset</w:t>
      </w:r>
    </w:p>
    <w:p>
      <w:pPr>
        <w:pStyle w:val="ListParagraph"/>
        <w:numPr>
          <w:ilvl w:val="0"/>
          <w:numId w:val="2"/>
        </w:numPr>
        <w:spacing w:after="40" w:before="40"/>
      </w:pPr>
      <w:r>
        <w:rPr>
          <w:rFonts w:ascii="Arial" w:cs="Arial" w:eastAsia="Arial" w:hAnsi="Arial"/>
          <w:sz w:val="20"/>
          <w:szCs w:val="20"/>
        </w:rPr>
        <w:t xml:space="preserve">Run a tabletop exercise annually simulating total infrastructure loss — Maersk and Colonial paid $300M+ for skipping this step</w:t>
      </w:r>
    </w:p>
    <w:p>
      <w:pPr>
        <w:pStyle w:val="ListParagraph"/>
        <w:numPr>
          <w:ilvl w:val="0"/>
          <w:numId w:val="2"/>
        </w:numPr>
        <w:spacing w:after="40" w:before="40"/>
      </w:pPr>
      <w:r>
        <w:rPr>
          <w:rFonts w:ascii="Arial" w:cs="Arial" w:eastAsia="Arial" w:hAnsi="Arial"/>
          <w:sz w:val="20"/>
          <w:szCs w:val="20"/>
        </w:rPr>
        <w:t xml:space="preserve">Build GDPR and regulatory breach notification into your IR runbook as a standing, timestamped obligation — not an afterthought</w:t>
      </w:r>
    </w:p>
    <w:p>
      <w:pPr>
        <w:pStyle w:val="ListParagraph"/>
        <w:numPr>
          <w:ilvl w:val="0"/>
          <w:numId w:val="2"/>
        </w:numPr>
        <w:spacing w:after="40" w:before="40"/>
      </w:pPr>
      <w:r>
        <w:rPr>
          <w:rFonts w:ascii="Arial" w:cs="Arial" w:eastAsia="Arial" w:hAnsi="Arial"/>
          <w:sz w:val="20"/>
          <w:szCs w:val="20"/>
        </w:rPr>
        <w:t xml:space="preserve">Treat M&amp;A due diligence as a cyber risk event — commission a compromise assessment before network integration; do not acquire the attacker along with the company</w:t>
      </w:r>
    </w:p>
    <w:p>
      <w:pPr>
        <w:pStyle w:val="ListParagraph"/>
        <w:numPr>
          <w:ilvl w:val="0"/>
          <w:numId w:val="2"/>
        </w:numPr>
        <w:spacing w:after="40" w:before="40"/>
      </w:pPr>
      <w:r>
        <w:rPr>
          <w:rFonts w:ascii="Arial" w:cs="Arial" w:eastAsia="Arial" w:hAnsi="Arial"/>
          <w:sz w:val="20"/>
          <w:szCs w:val="20"/>
        </w:rPr>
        <w:t xml:space="preserve">Adopt radical transparency in crisis communications — Norsk Hydro's model is now the industry benchmark for RC.CO-1</w:t>
      </w:r>
    </w:p>
    <w:p>
      <w:pPr>
        <w:pStyle w:val="ListParagraph"/>
        <w:numPr>
          <w:ilvl w:val="0"/>
          <w:numId w:val="2"/>
        </w:numPr>
        <w:spacing w:after="40" w:before="40"/>
      </w:pPr>
      <w:r>
        <w:rPr>
          <w:rFonts w:ascii="Arial" w:cs="Arial" w:eastAsia="Arial" w:hAnsi="Arial"/>
          <w:sz w:val="20"/>
          <w:szCs w:val="20"/>
        </w:rPr>
        <w:t xml:space="preserve">Implement SBOM for all third-party software and adopt SLSA for your build pipeline — post-SolarWinds, this is now a federal procurement requirement under EO 14028</w:t>
      </w:r>
    </w:p>
    <w:p>
      <w:pPr>
        <w:pStyle w:val="ListParagraph"/>
        <w:numPr>
          <w:ilvl w:val="0"/>
          <w:numId w:val="2"/>
        </w:numPr>
        <w:spacing w:after="40" w:before="40"/>
      </w:pPr>
      <w:r>
        <w:rPr>
          <w:rFonts w:ascii="Arial" w:cs="Arial" w:eastAsia="Arial" w:hAnsi="Arial"/>
          <w:sz w:val="20"/>
          <w:szCs w:val="20"/>
        </w:rPr>
        <w:t xml:space="preserve">Assign a named accountable owner to every NIST CSF gap in the risk register — unowned gaps do not get fixed</w:t>
      </w:r>
    </w:p>
    <w:p>
      <w:pPr>
        <w:spacing w:after="0" w:before="200"/>
        <w:jc w:val="left"/>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top"/>
          </w:tcPr>
          <w:p>
            <w:pPr>
              <w:spacing w:after="120" w:before="120"/>
              <w:jc w:val="center"/>
            </w:pPr>
            <w:r>
              <w:rPr>
                <w:rFonts w:ascii="Arial" w:cs="Arial" w:eastAsia="Arial" w:hAnsi="Arial"/>
                <w:color w:val="FFFFFF"/>
                <w:sz w:val="22"/>
                <w:szCs w:val="22"/>
              </w:rPr>
              <w:t xml:space="preserve">"The question is not whether your organisation will face a cybersecurity incident. The question is whether you will be Maersk — or Norsk Hydro."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566573"/>
        <w:sz w:val="16"/>
        <w:szCs w:val="16"/>
      </w:rPr>
      <w:t xml:space="preserve">Confidential — GRC Capstone Project  |  Page </w:t>
    </w:r>
    <w:r>
      <w:rPr>
        <w:rFonts w:ascii="Arial" w:cs="Arial" w:eastAsia="Arial" w:hAnsi="Arial"/>
        <w:color w:val="566573"/>
        <w:sz w:val="16"/>
        <w:szCs w:val="16"/>
      </w:rPr>
      <w:fldChar w:fldCharType="begin"/>
      <w:instrText xml:space="preserve">PAGE</w:instrText>
      <w:fldChar w:fldCharType="separate"/>
      <w:fldChar w:fldCharType="end"/>
    </w:r>
    <w:r>
      <w:rPr>
        <w:rFonts w:ascii="Arial" w:cs="Arial" w:eastAsia="Arial" w:hAnsi="Arial"/>
        <w:color w:val="566573"/>
        <w:sz w:val="16"/>
        <w:szCs w:val="16"/>
      </w:rPr>
      <w:t xml:space="preserve">  of  </w:t>
    </w:r>
    <w:r>
      <w:rPr>
        <w:rFonts w:ascii="Arial" w:cs="Arial" w:eastAsia="Arial" w:hAnsi="Arial"/>
        <w:color w:val="56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566573"/>
        <w:sz w:val="16"/>
        <w:szCs w:val="16"/>
      </w:rPr>
      <w:t xml:space="preserve">NIST CSF Capstone Project — Enhanced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2026-05-17T18:15:52.372Z</dcterms:created>
  <dcterms:modified xsi:type="dcterms:W3CDTF">2026-05-17T18:15:52.386Z</dcterms:modified>
</cp:coreProperties>
</file>

<file path=docProps/custom.xml><?xml version="1.0" encoding="utf-8"?>
<Properties xmlns="http://schemas.openxmlformats.org/officeDocument/2006/custom-properties" xmlns:vt="http://schemas.openxmlformats.org/officeDocument/2006/docPropsVTypes"/>
</file>