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val="false"/>
          <w:bCs w:val="false"/>
          <w:i w:val="false"/>
          <w:iCs w:val="false"/>
          <w:color w:val="1A202C"/>
          <w:sz w:val="22"/>
          <w:szCs w:val="22"/>
        </w:rPr>
        <w:t xml:space="preserve"/>
      </w:r>
    </w:p>
    <w:p>
      <w:pPr>
        <w:spacing w:after="0" w:before="0"/>
        <w:jc w:val="center"/>
      </w:pPr>
      <w:r>
        <w:rPr>
          <w:rFonts w:ascii="Arial" w:cs="Arial" w:eastAsia="Arial" w:hAnsi="Arial"/>
          <w:b/>
          <w:bCs/>
          <w:color w:val="B0B8C4"/>
          <w:sz w:val="28"/>
          <w:szCs w:val="28"/>
        </w:rPr>
        <w:t xml:space="preserve">NIST CYBERSECURITY FRAMEWORK</w:t>
      </w:r>
    </w:p>
    <w:p>
      <w:pPr>
        <w:spacing w:after="0" w:before="60"/>
        <w:jc w:val="center"/>
      </w:pPr>
      <w:r>
        <w:rPr>
          <w:rFonts w:ascii="Arial" w:cs="Arial" w:eastAsia="Arial" w:hAnsi="Arial"/>
          <w:b/>
          <w:bCs/>
          <w:color w:val="1B3A5C"/>
          <w:sz w:val="52"/>
          <w:szCs w:val="52"/>
        </w:rPr>
        <w:t xml:space="preserve">Capstone Project</w:t>
      </w:r>
    </w:p>
    <w:p>
      <w:pPr>
        <w:spacing w:after="0" w:before="40"/>
        <w:jc w:val="center"/>
      </w:pPr>
      <w:r>
        <w:rPr>
          <w:rFonts w:ascii="Arial" w:cs="Arial" w:eastAsia="Arial" w:hAnsi="Arial"/>
          <w:i/>
          <w:iCs/>
          <w:color w:val="2E6DA4"/>
          <w:sz w:val="28"/>
          <w:szCs w:val="28"/>
        </w:rPr>
        <w:t xml:space="preserve">Real-World Case Studies Across All Five CSF Functions</w:t>
      </w:r>
    </w:p>
    <w:p>
      <w:pPr>
        <w:pBdr>
          <w:bottom w:val="single" w:color="2E6DA4" w:sz="8"/>
        </w:pBdr>
        <w:spacing w:after="400" w:before="400"/>
      </w:pPr>
      <w:r>
        <w:rPr>
          <w:rFonts w:ascii="Arial" w:cs="Arial" w:eastAsia="Arial" w:hAnsi="Arial"/>
          <w:b w:val="false"/>
          <w:bCs w:val="false"/>
          <w:i w:val="false"/>
          <w:iCs w:val="false"/>
          <w:color w:val="1A202C"/>
          <w:sz w:val="22"/>
          <w:szCs w:val="22"/>
        </w:rPr>
        <w:t xml:space="preserve"/>
      </w:r>
    </w:p>
    <w:p>
      <w:pPr>
        <w:spacing w:after="60" w:before="240"/>
        <w:jc w:val="center"/>
      </w:pPr>
      <w:r>
        <w:rPr>
          <w:rFonts w:ascii="Arial" w:cs="Arial" w:eastAsia="Arial" w:hAnsi="Arial"/>
          <w:color w:val="4A5568"/>
          <w:sz w:val="22"/>
          <w:szCs w:val="22"/>
        </w:rPr>
        <w:t xml:space="preserve">Nine real company incidents · Five NIST CSF functions · Deep-dive control analysis</w:t>
      </w:r>
    </w:p>
    <w:p>
      <w:pPr>
        <w:spacing w:after="1440" w:before="0"/>
        <w:jc w:val="center"/>
      </w:pPr>
      <w:r>
        <w:rPr>
          <w:rFonts w:ascii="Arial" w:cs="Arial" w:eastAsia="Arial" w:hAnsi="Arial"/>
          <w:color w:val="B0B8C4"/>
          <w:sz w:val="20"/>
          <w:szCs w:val="20"/>
        </w:rPr>
        <w:t xml:space="preserve">Equifax · SolarWinds · Uber · Target · Marriott · Colonial Pipeline · British Airways · Maersk · Norsk Hydro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6DA4" w:sz="4"/>
              <w:left w:val="single" w:color="2E6DA4" w:sz="4"/>
              <w:bottom w:val="single" w:color="2E6DA4" w:sz="4"/>
              <w:right w:val="single" w:color="2E6DA4" w:sz="4"/>
            </w:tcBorders>
            <w:shd w:fill="EBF4FF" w:val="clear"/>
            <w:tcMar>
              <w:top w:type="dxa" w:w="100"/>
              <w:left w:type="dxa" w:w="60"/>
              <w:bottom w:type="dxa" w:w="100"/>
              <w:right w:type="dxa" w:w="60"/>
            </w:tcMar>
            <w:vAlign w:val="center"/>
          </w:tcPr>
          <w:p>
            <w:pPr>
              <w:spacing w:after="20" w:before="0"/>
              <w:jc w:val="center"/>
            </w:pPr>
            <w:r>
              <w:rPr>
                <w:rFonts w:ascii="Arial" w:cs="Arial" w:eastAsia="Arial" w:hAnsi="Arial"/>
                <w:b/>
                <w:bCs/>
                <w:color w:val="1B3A5C"/>
                <w:sz w:val="28"/>
                <w:szCs w:val="28"/>
              </w:rPr>
              <w:t xml:space="preserve">ID</w:t>
            </w:r>
          </w:p>
          <w:p>
            <w:pPr>
              <w:spacing w:after="0" w:before="0"/>
              <w:jc w:val="center"/>
            </w:pPr>
            <w:r>
              <w:rPr>
                <w:rFonts w:ascii="Arial" w:cs="Arial" w:eastAsia="Arial" w:hAnsi="Arial"/>
                <w:color w:val="2E6DA4"/>
                <w:sz w:val="18"/>
                <w:szCs w:val="18"/>
              </w:rPr>
              <w:t xml:space="preserve">Identify</w:t>
            </w:r>
          </w:p>
        </w:tc>
        <w:tc>
          <w:tcPr>
            <w:tcW w:type="dxa" w:w="1872"/>
            <w:tcBorders>
              <w:top w:val="single" w:color="1D7874" w:sz="4"/>
              <w:left w:val="single" w:color="1D7874" w:sz="4"/>
              <w:bottom w:val="single" w:color="1D7874" w:sz="4"/>
              <w:right w:val="single" w:color="1D7874" w:sz="4"/>
            </w:tcBorders>
            <w:shd w:fill="E6F7F4" w:val="clear"/>
            <w:tcMar>
              <w:top w:type="dxa" w:w="100"/>
              <w:left w:type="dxa" w:w="60"/>
              <w:bottom w:type="dxa" w:w="100"/>
              <w:right w:type="dxa" w:w="60"/>
            </w:tcMar>
            <w:vAlign w:val="center"/>
          </w:tcPr>
          <w:p>
            <w:pPr>
              <w:spacing w:after="20" w:before="0"/>
              <w:jc w:val="center"/>
            </w:pPr>
            <w:r>
              <w:rPr>
                <w:rFonts w:ascii="Arial" w:cs="Arial" w:eastAsia="Arial" w:hAnsi="Arial"/>
                <w:b/>
                <w:bCs/>
                <w:color w:val="0D4A47"/>
                <w:sz w:val="28"/>
                <w:szCs w:val="28"/>
              </w:rPr>
              <w:t xml:space="preserve">PR</w:t>
            </w:r>
          </w:p>
          <w:p>
            <w:pPr>
              <w:spacing w:after="0" w:before="0"/>
              <w:jc w:val="center"/>
            </w:pPr>
            <w:r>
              <w:rPr>
                <w:rFonts w:ascii="Arial" w:cs="Arial" w:eastAsia="Arial" w:hAnsi="Arial"/>
                <w:color w:val="1D7874"/>
                <w:sz w:val="18"/>
                <w:szCs w:val="18"/>
              </w:rPr>
              <w:t xml:space="preserve">Protect</w:t>
            </w:r>
          </w:p>
        </w:tc>
        <w:tc>
          <w:tcPr>
            <w:tcW w:type="dxa" w:w="1872"/>
            <w:tcBorders>
              <w:top w:val="single" w:color="D46B27" w:sz="4"/>
              <w:left w:val="single" w:color="D46B27" w:sz="4"/>
              <w:bottom w:val="single" w:color="D46B27" w:sz="4"/>
              <w:right w:val="single" w:color="D46B27" w:sz="4"/>
            </w:tcBorders>
            <w:shd w:fill="FFF8ED" w:val="clear"/>
            <w:tcMar>
              <w:top w:type="dxa" w:w="100"/>
              <w:left w:type="dxa" w:w="60"/>
              <w:bottom w:type="dxa" w:w="100"/>
              <w:right w:type="dxa" w:w="60"/>
            </w:tcMar>
            <w:vAlign w:val="center"/>
          </w:tcPr>
          <w:p>
            <w:pPr>
              <w:spacing w:after="20" w:before="0"/>
              <w:jc w:val="center"/>
            </w:pPr>
            <w:r>
              <w:rPr>
                <w:rFonts w:ascii="Arial" w:cs="Arial" w:eastAsia="Arial" w:hAnsi="Arial"/>
                <w:b/>
                <w:bCs/>
                <w:color w:val="7A3D12"/>
                <w:sz w:val="28"/>
                <w:szCs w:val="28"/>
              </w:rPr>
              <w:t xml:space="preserve">DE</w:t>
            </w:r>
          </w:p>
          <w:p>
            <w:pPr>
              <w:spacing w:after="0" w:before="0"/>
              <w:jc w:val="center"/>
            </w:pPr>
            <w:r>
              <w:rPr>
                <w:rFonts w:ascii="Arial" w:cs="Arial" w:eastAsia="Arial" w:hAnsi="Arial"/>
                <w:color w:val="D46B27"/>
                <w:sz w:val="18"/>
                <w:szCs w:val="18"/>
              </w:rPr>
              <w:t xml:space="preserve">Detect</w:t>
            </w:r>
          </w:p>
        </w:tc>
        <w:tc>
          <w:tcPr>
            <w:tcW w:type="dxa" w:w="1872"/>
            <w:tcBorders>
              <w:top w:val="single" w:color="C0392B" w:sz="4"/>
              <w:left w:val="single" w:color="C0392B" w:sz="4"/>
              <w:bottom w:val="single" w:color="C0392B" w:sz="4"/>
              <w:right w:val="single" w:color="C0392B" w:sz="4"/>
            </w:tcBorders>
            <w:shd w:fill="FDECEA" w:val="clear"/>
            <w:tcMar>
              <w:top w:type="dxa" w:w="100"/>
              <w:left w:type="dxa" w:w="60"/>
              <w:bottom w:type="dxa" w:w="100"/>
              <w:right w:type="dxa" w:w="60"/>
            </w:tcMar>
            <w:vAlign w:val="center"/>
          </w:tcPr>
          <w:p>
            <w:pPr>
              <w:spacing w:after="20" w:before="0"/>
              <w:jc w:val="center"/>
            </w:pPr>
            <w:r>
              <w:rPr>
                <w:rFonts w:ascii="Arial" w:cs="Arial" w:eastAsia="Arial" w:hAnsi="Arial"/>
                <w:b/>
                <w:bCs/>
                <w:color w:val="7B1A12"/>
                <w:sz w:val="28"/>
                <w:szCs w:val="28"/>
              </w:rPr>
              <w:t xml:space="preserve">RS</w:t>
            </w:r>
          </w:p>
          <w:p>
            <w:pPr>
              <w:spacing w:after="0" w:before="0"/>
              <w:jc w:val="center"/>
            </w:pPr>
            <w:r>
              <w:rPr>
                <w:rFonts w:ascii="Arial" w:cs="Arial" w:eastAsia="Arial" w:hAnsi="Arial"/>
                <w:color w:val="C0392B"/>
                <w:sz w:val="18"/>
                <w:szCs w:val="18"/>
              </w:rPr>
              <w:t xml:space="preserve">Respond</w:t>
            </w:r>
          </w:p>
        </w:tc>
        <w:tc>
          <w:tcPr>
            <w:tcW w:type="dxa" w:w="1872"/>
            <w:tcBorders>
              <w:top w:val="single" w:color="5B4A8A" w:sz="4"/>
              <w:left w:val="single" w:color="5B4A8A" w:sz="4"/>
              <w:bottom w:val="single" w:color="5B4A8A" w:sz="4"/>
              <w:right w:val="single" w:color="5B4A8A" w:sz="4"/>
            </w:tcBorders>
            <w:shd w:fill="F0EDFB" w:val="clear"/>
            <w:tcMar>
              <w:top w:type="dxa" w:w="100"/>
              <w:left w:type="dxa" w:w="60"/>
              <w:bottom w:type="dxa" w:w="100"/>
              <w:right w:type="dxa" w:w="60"/>
            </w:tcMar>
            <w:vAlign w:val="center"/>
          </w:tcPr>
          <w:p>
            <w:pPr>
              <w:spacing w:after="20" w:before="0"/>
              <w:jc w:val="center"/>
            </w:pPr>
            <w:r>
              <w:rPr>
                <w:rFonts w:ascii="Arial" w:cs="Arial" w:eastAsia="Arial" w:hAnsi="Arial"/>
                <w:b/>
                <w:bCs/>
                <w:color w:val="3A2F66"/>
                <w:sz w:val="28"/>
                <w:szCs w:val="28"/>
              </w:rPr>
              <w:t xml:space="preserve">RC</w:t>
            </w:r>
          </w:p>
          <w:p>
            <w:pPr>
              <w:spacing w:after="0" w:before="0"/>
              <w:jc w:val="center"/>
            </w:pPr>
            <w:r>
              <w:rPr>
                <w:rFonts w:ascii="Arial" w:cs="Arial" w:eastAsia="Arial" w:hAnsi="Arial"/>
                <w:color w:val="5B4A8A"/>
                <w:sz w:val="18"/>
                <w:szCs w:val="18"/>
              </w:rPr>
              <w:t xml:space="preserve">Recover</w:t>
            </w:r>
          </w:p>
        </w:tc>
      </w:tr>
    </w:tbl>
    <w:p>
      <w:r>
        <w:br w:type="page"/>
      </w:r>
    </w:p>
    <w:p>
      <w:pPr>
        <w:pStyle w:val="Heading1"/>
      </w:pPr>
      <w:r>
        <w:rPr>
          <w:rFonts w:ascii="Arial" w:cs="Arial" w:eastAsia="Arial" w:hAnsi="Arial"/>
          <w:b/>
          <w:bCs/>
          <w:color w:val="1B3A5C"/>
          <w:sz w:val="36"/>
          <w:szCs w:val="36"/>
        </w:rPr>
        <w:t xml:space="preserve">Executive summary</w:t>
      </w:r>
    </w:p>
    <w:p>
      <w:pPr>
        <w:pBdr>
          <w:bottom w:val="single" w:color="2E6DA4" w:sz="4"/>
        </w:pBdr>
        <w:spacing w:after="120" w:before="120"/>
      </w:pPr>
      <w:r>
        <w:t xml:space="preserve"/>
      </w:r>
    </w:p>
    <w:p>
      <w:pPr>
        <w:spacing w:after="120" w:before="120"/>
        <w:jc w:val="left"/>
      </w:pPr>
      <w:r>
        <w:rPr>
          <w:rFonts w:ascii="Arial" w:cs="Arial" w:eastAsia="Arial" w:hAnsi="Arial"/>
          <w:b w:val="false"/>
          <w:bCs w:val="false"/>
          <w:i w:val="false"/>
          <w:iCs w:val="false"/>
          <w:color w:val="1A202C"/>
          <w:sz w:val="22"/>
          <w:szCs w:val="22"/>
        </w:rPr>
        <w:t xml:space="preserve">This capstone project applies the NIST Cybersecurity Framework (CSF) Version 2.0 to nine real-world security incidents drawn from organisations across financial services, technology, retail, aviation, energy, shipping, and manufacturing. Each case is mapped to one of the five NIST CSF core functions — </w:t>
      </w:r>
      <w:r>
        <w:rPr>
          <w:rFonts w:ascii="Arial" w:cs="Arial" w:eastAsia="Arial" w:hAnsi="Arial"/>
          <w:b/>
          <w:bCs/>
          <w:i w:val="false"/>
          <w:iCs w:val="false"/>
          <w:color w:val="1A202C"/>
          <w:sz w:val="22"/>
          <w:szCs w:val="22"/>
        </w:rPr>
        <w:t xml:space="preserve">Identify, Protect, Detect, Respond,</w:t>
      </w:r>
      <w:r>
        <w:rPr>
          <w:rFonts w:ascii="Arial" w:cs="Arial" w:eastAsia="Arial" w:hAnsi="Arial"/>
          <w:b w:val="false"/>
          <w:bCs w:val="false"/>
          <w:i w:val="false"/>
          <w:iCs w:val="false"/>
          <w:color w:val="1A202C"/>
          <w:sz w:val="22"/>
          <w:szCs w:val="22"/>
        </w:rPr>
        <w:t xml:space="preserve"> and </w:t>
      </w:r>
      <w:r>
        <w:rPr>
          <w:rFonts w:ascii="Arial" w:cs="Arial" w:eastAsia="Arial" w:hAnsi="Arial"/>
          <w:b/>
          <w:bCs/>
          <w:i w:val="false"/>
          <w:iCs w:val="false"/>
          <w:color w:val="1A202C"/>
          <w:sz w:val="22"/>
          <w:szCs w:val="22"/>
        </w:rPr>
        <w:t xml:space="preserve">Recover</w:t>
      </w:r>
      <w:r>
        <w:rPr>
          <w:rFonts w:ascii="Arial" w:cs="Arial" w:eastAsia="Arial" w:hAnsi="Arial"/>
          <w:b w:val="false"/>
          <w:bCs w:val="false"/>
          <w:i w:val="false"/>
          <w:iCs w:val="false"/>
          <w:color w:val="1A202C"/>
          <w:sz w:val="22"/>
          <w:szCs w:val="22"/>
        </w:rPr>
        <w:t xml:space="preserve"> — to demonstrate how the framework applies in practice and what controls, had they been implemented, would have materially changed each outcome.</w:t>
      </w:r>
    </w:p>
    <w:p>
      <w:pPr>
        <w:spacing w:after="200" w:before="0"/>
        <w:jc w:val="left"/>
      </w:pPr>
      <w:r>
        <w:rPr>
          <w:rFonts w:ascii="Arial" w:cs="Arial" w:eastAsia="Arial" w:hAnsi="Arial"/>
          <w:b w:val="false"/>
          <w:bCs w:val="false"/>
          <w:i w:val="false"/>
          <w:iCs w:val="false"/>
          <w:color w:val="4A5568"/>
          <w:sz w:val="22"/>
          <w:szCs w:val="22"/>
        </w:rPr>
        <w:t xml:space="preserve">The nine incidents collectively represent over $2 billion in fines, settlements, and direct costs, and exposed data belonging to nearly one billion individuals. Every breach has a clear NIST CSF failure at its root — and a clear NIST CSF control that would have prevented or contained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8ECF0" w:sz="4"/>
              <w:left w:val="single" w:color="E8ECF0" w:sz="4"/>
              <w:bottom w:val="single" w:color="E8ECF0" w:sz="4"/>
              <w:right w:val="single" w:color="E8ECF0" w:sz="4"/>
            </w:tcBorders>
            <w:shd w:fill="F5F7FA" w:val="clear"/>
            <w:tcMar>
              <w:top w:type="dxa" w:w="100"/>
              <w:left w:type="dxa" w:w="60"/>
              <w:bottom w:type="dxa" w:w="100"/>
              <w:right w:type="dxa" w:w="60"/>
            </w:tcMar>
            <w:vAlign w:val="center"/>
          </w:tcPr>
          <w:p>
            <w:pPr>
              <w:spacing w:after="20" w:before="0"/>
              <w:jc w:val="center"/>
            </w:pPr>
            <w:r>
              <w:rPr>
                <w:rFonts w:ascii="Arial" w:cs="Arial" w:eastAsia="Arial" w:hAnsi="Arial"/>
                <w:b/>
                <w:bCs/>
                <w:color w:val="1B3A5C"/>
                <w:sz w:val="32"/>
                <w:szCs w:val="32"/>
              </w:rPr>
              <w:t xml:space="preserve">9</w:t>
            </w:r>
          </w:p>
          <w:p>
            <w:pPr>
              <w:spacing w:after="0" w:before="0"/>
              <w:jc w:val="center"/>
            </w:pPr>
            <w:r>
              <w:rPr>
                <w:rFonts w:ascii="Arial" w:cs="Arial" w:eastAsia="Arial" w:hAnsi="Arial"/>
                <w:color w:val="4A5568"/>
                <w:sz w:val="16"/>
                <w:szCs w:val="16"/>
              </w:rPr>
              <w:t xml:space="preserve">Case studies</w:t>
            </w:r>
          </w:p>
        </w:tc>
        <w:tc>
          <w:tcPr>
            <w:tcW w:type="dxa" w:w="1560"/>
            <w:tcBorders>
              <w:top w:val="single" w:color="E8ECF0" w:sz="4"/>
              <w:left w:val="single" w:color="E8ECF0" w:sz="4"/>
              <w:bottom w:val="single" w:color="E8ECF0" w:sz="4"/>
              <w:right w:val="single" w:color="E8ECF0" w:sz="4"/>
            </w:tcBorders>
            <w:shd w:fill="F5F7FA" w:val="clear"/>
            <w:tcMar>
              <w:top w:type="dxa" w:w="100"/>
              <w:left w:type="dxa" w:w="60"/>
              <w:bottom w:type="dxa" w:w="100"/>
              <w:right w:type="dxa" w:w="60"/>
            </w:tcMar>
            <w:vAlign w:val="center"/>
          </w:tcPr>
          <w:p>
            <w:pPr>
              <w:spacing w:after="20" w:before="0"/>
              <w:jc w:val="center"/>
            </w:pPr>
            <w:r>
              <w:rPr>
                <w:rFonts w:ascii="Arial" w:cs="Arial" w:eastAsia="Arial" w:hAnsi="Arial"/>
                <w:b/>
                <w:bCs/>
                <w:color w:val="1B3A5C"/>
                <w:sz w:val="32"/>
                <w:szCs w:val="32"/>
              </w:rPr>
              <w:t xml:space="preserve">5</w:t>
            </w:r>
          </w:p>
          <w:p>
            <w:pPr>
              <w:spacing w:after="0" w:before="0"/>
              <w:jc w:val="center"/>
            </w:pPr>
            <w:r>
              <w:rPr>
                <w:rFonts w:ascii="Arial" w:cs="Arial" w:eastAsia="Arial" w:hAnsi="Arial"/>
                <w:color w:val="4A5568"/>
                <w:sz w:val="16"/>
                <w:szCs w:val="16"/>
              </w:rPr>
              <w:t xml:space="preserve">CSF functions</w:t>
            </w:r>
          </w:p>
        </w:tc>
        <w:tc>
          <w:tcPr>
            <w:tcW w:type="dxa" w:w="1560"/>
            <w:tcBorders>
              <w:top w:val="single" w:color="E8ECF0" w:sz="4"/>
              <w:left w:val="single" w:color="E8ECF0" w:sz="4"/>
              <w:bottom w:val="single" w:color="E8ECF0" w:sz="4"/>
              <w:right w:val="single" w:color="E8ECF0" w:sz="4"/>
            </w:tcBorders>
            <w:shd w:fill="F5F7FA" w:val="clear"/>
            <w:tcMar>
              <w:top w:type="dxa" w:w="100"/>
              <w:left w:type="dxa" w:w="60"/>
              <w:bottom w:type="dxa" w:w="100"/>
              <w:right w:type="dxa" w:w="60"/>
            </w:tcMar>
            <w:vAlign w:val="center"/>
          </w:tcPr>
          <w:p>
            <w:pPr>
              <w:spacing w:after="20" w:before="0"/>
              <w:jc w:val="center"/>
            </w:pPr>
            <w:r>
              <w:rPr>
                <w:rFonts w:ascii="Arial" w:cs="Arial" w:eastAsia="Arial" w:hAnsi="Arial"/>
                <w:b/>
                <w:bCs/>
                <w:color w:val="1B3A5C"/>
                <w:sz w:val="32"/>
                <w:szCs w:val="32"/>
              </w:rPr>
              <w:t xml:space="preserve">$2B+</w:t>
            </w:r>
          </w:p>
          <w:p>
            <w:pPr>
              <w:spacing w:after="0" w:before="0"/>
              <w:jc w:val="center"/>
            </w:pPr>
            <w:r>
              <w:rPr>
                <w:rFonts w:ascii="Arial" w:cs="Arial" w:eastAsia="Arial" w:hAnsi="Arial"/>
                <w:color w:val="4A5568"/>
                <w:sz w:val="16"/>
                <w:szCs w:val="16"/>
              </w:rPr>
              <w:t xml:space="preserve">Total fines</w:t>
            </w:r>
          </w:p>
        </w:tc>
        <w:tc>
          <w:tcPr>
            <w:tcW w:type="dxa" w:w="1560"/>
            <w:tcBorders>
              <w:top w:val="single" w:color="E8ECF0" w:sz="4"/>
              <w:left w:val="single" w:color="E8ECF0" w:sz="4"/>
              <w:bottom w:val="single" w:color="E8ECF0" w:sz="4"/>
              <w:right w:val="single" w:color="E8ECF0" w:sz="4"/>
            </w:tcBorders>
            <w:shd w:fill="F5F7FA" w:val="clear"/>
            <w:tcMar>
              <w:top w:type="dxa" w:w="100"/>
              <w:left w:type="dxa" w:w="60"/>
              <w:bottom w:type="dxa" w:w="100"/>
              <w:right w:type="dxa" w:w="60"/>
            </w:tcMar>
            <w:vAlign w:val="center"/>
          </w:tcPr>
          <w:p>
            <w:pPr>
              <w:spacing w:after="20" w:before="0"/>
              <w:jc w:val="center"/>
            </w:pPr>
            <w:r>
              <w:rPr>
                <w:rFonts w:ascii="Arial" w:cs="Arial" w:eastAsia="Arial" w:hAnsi="Arial"/>
                <w:b/>
                <w:bCs/>
                <w:color w:val="1B3A5C"/>
                <w:sz w:val="32"/>
                <w:szCs w:val="32"/>
              </w:rPr>
              <w:t xml:space="preserve">~1B</w:t>
            </w:r>
          </w:p>
          <w:p>
            <w:pPr>
              <w:spacing w:after="0" w:before="0"/>
              <w:jc w:val="center"/>
            </w:pPr>
            <w:r>
              <w:rPr>
                <w:rFonts w:ascii="Arial" w:cs="Arial" w:eastAsia="Arial" w:hAnsi="Arial"/>
                <w:color w:val="4A5568"/>
                <w:sz w:val="16"/>
                <w:szCs w:val="16"/>
              </w:rPr>
              <w:t xml:space="preserve">Records exposed</w:t>
            </w:r>
          </w:p>
        </w:tc>
        <w:tc>
          <w:tcPr>
            <w:tcW w:type="dxa" w:w="1560"/>
            <w:tcBorders>
              <w:top w:val="single" w:color="E8ECF0" w:sz="4"/>
              <w:left w:val="single" w:color="E8ECF0" w:sz="4"/>
              <w:bottom w:val="single" w:color="E8ECF0" w:sz="4"/>
              <w:right w:val="single" w:color="E8ECF0" w:sz="4"/>
            </w:tcBorders>
            <w:shd w:fill="F5F7FA" w:val="clear"/>
            <w:tcMar>
              <w:top w:type="dxa" w:w="100"/>
              <w:left w:type="dxa" w:w="60"/>
              <w:bottom w:type="dxa" w:w="100"/>
              <w:right w:type="dxa" w:w="60"/>
            </w:tcMar>
            <w:vAlign w:val="center"/>
          </w:tcPr>
          <w:p>
            <w:pPr>
              <w:spacing w:after="20" w:before="0"/>
              <w:jc w:val="center"/>
            </w:pPr>
            <w:r>
              <w:rPr>
                <w:rFonts w:ascii="Arial" w:cs="Arial" w:eastAsia="Arial" w:hAnsi="Arial"/>
                <w:b/>
                <w:bCs/>
                <w:color w:val="1B3A5C"/>
                <w:sz w:val="32"/>
                <w:szCs w:val="32"/>
              </w:rPr>
              <w:t xml:space="preserve">4 yrs</w:t>
            </w:r>
          </w:p>
          <w:p>
            <w:pPr>
              <w:spacing w:after="0" w:before="0"/>
              <w:jc w:val="center"/>
            </w:pPr>
            <w:r>
              <w:rPr>
                <w:rFonts w:ascii="Arial" w:cs="Arial" w:eastAsia="Arial" w:hAnsi="Arial"/>
                <w:color w:val="4A5568"/>
                <w:sz w:val="16"/>
                <w:szCs w:val="16"/>
              </w:rPr>
              <w:t xml:space="preserve">Longest dwell</w:t>
            </w:r>
          </w:p>
        </w:tc>
        <w:tc>
          <w:tcPr>
            <w:tcW w:type="dxa" w:w="1560"/>
            <w:tcBorders>
              <w:top w:val="single" w:color="E8ECF0" w:sz="4"/>
              <w:left w:val="single" w:color="E8ECF0" w:sz="4"/>
              <w:bottom w:val="single" w:color="E8ECF0" w:sz="4"/>
              <w:right w:val="single" w:color="E8ECF0" w:sz="4"/>
            </w:tcBorders>
            <w:shd w:fill="F5F7FA" w:val="clear"/>
            <w:tcMar>
              <w:top w:type="dxa" w:w="100"/>
              <w:left w:type="dxa" w:w="60"/>
              <w:bottom w:type="dxa" w:w="100"/>
              <w:right w:type="dxa" w:w="60"/>
            </w:tcMar>
            <w:vAlign w:val="center"/>
          </w:tcPr>
          <w:p>
            <w:pPr>
              <w:spacing w:after="20" w:before="0"/>
              <w:jc w:val="center"/>
            </w:pPr>
            <w:r>
              <w:rPr>
                <w:rFonts w:ascii="Arial" w:cs="Arial" w:eastAsia="Arial" w:hAnsi="Arial"/>
                <w:b/>
                <w:bCs/>
                <w:color w:val="1B3A5C"/>
                <w:sz w:val="32"/>
                <w:szCs w:val="32"/>
              </w:rPr>
              <w:t xml:space="preserve">78 days</w:t>
            </w:r>
          </w:p>
          <w:p>
            <w:pPr>
              <w:spacing w:after="0" w:before="0"/>
              <w:jc w:val="center"/>
            </w:pPr>
            <w:r>
              <w:rPr>
                <w:rFonts w:ascii="Arial" w:cs="Arial" w:eastAsia="Arial" w:hAnsi="Arial"/>
                <w:color w:val="4A5568"/>
                <w:sz w:val="16"/>
                <w:szCs w:val="16"/>
              </w:rPr>
              <w:t xml:space="preserve">Equifax patch delay</w:t>
            </w:r>
          </w:p>
        </w:tc>
      </w:tr>
    </w:tbl>
    <w:p>
      <w:r>
        <w:br w:type="page"/>
      </w:r>
    </w:p>
    <w:p>
      <w:pPr>
        <w:pStyle w:val="Heading1"/>
      </w:pPr>
      <w:r>
        <w:rPr>
          <w:rFonts w:ascii="Arial" w:cs="Arial" w:eastAsia="Arial" w:hAnsi="Arial"/>
          <w:b/>
          <w:bCs/>
          <w:color w:val="1B3A5C"/>
          <w:sz w:val="36"/>
          <w:szCs w:val="36"/>
        </w:rPr>
        <w:t xml:space="preserve">NIST Cybersecurity Framework overview</w:t>
      </w:r>
    </w:p>
    <w:p>
      <w:pPr>
        <w:pBdr>
          <w:bottom w:val="single" w:color="2E6DA4" w:sz="4"/>
        </w:pBdr>
        <w:spacing w:after="120" w:before="120"/>
      </w:pPr>
      <w:r>
        <w:t xml:space="preserve"/>
      </w:r>
    </w:p>
    <w:p>
      <w:pPr>
        <w:spacing w:after="200" w:before="120"/>
        <w:jc w:val="left"/>
      </w:pPr>
      <w:r>
        <w:rPr>
          <w:rFonts w:ascii="Arial" w:cs="Arial" w:eastAsia="Arial" w:hAnsi="Arial"/>
          <w:b w:val="false"/>
          <w:bCs w:val="false"/>
          <w:i w:val="false"/>
          <w:iCs w:val="false"/>
          <w:color w:val="1A202C"/>
          <w:sz w:val="22"/>
          <w:szCs w:val="22"/>
        </w:rPr>
        <w:t xml:space="preserve">The NIST CSF is a voluntary framework for managing cybersecurity risk, developed by the National Institute of Standards and Technology. Version 2.0 (February 2024) expanded the original five functions to add Govern (GV) as an overarching function. This capstone focuses on the five operational functions that directly map to the incident case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960"/>
        <w:gridCol w:w="3600"/>
      </w:tblGrid>
      <w:tr>
        <w:tc>
          <w:tcPr>
            <w:tcW w:type="dxa" w:w="600"/>
            <w:tcBorders>
              <w:top w:val="single" w:color="2E6DA4" w:sz="4"/>
              <w:left w:val="single" w:color="2E6DA4" w:sz="4"/>
              <w:bottom w:val="single" w:color="2E6DA4" w:sz="4"/>
              <w:right w:val="single" w:color="2E6DA4"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200"/>
            <w:tcBorders>
              <w:top w:val="single" w:color="2E6DA4" w:sz="4"/>
              <w:left w:val="single" w:color="2E6DA4" w:sz="4"/>
              <w:bottom w:val="single" w:color="2E6DA4" w:sz="4"/>
              <w:right w:val="single" w:color="2E6DA4"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3960"/>
            <w:tcBorders>
              <w:top w:val="single" w:color="2E6DA4" w:sz="4"/>
              <w:left w:val="single" w:color="2E6DA4" w:sz="4"/>
              <w:bottom w:val="single" w:color="2E6DA4" w:sz="4"/>
              <w:right w:val="single" w:color="2E6DA4"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600"/>
            <w:tcBorders>
              <w:top w:val="single" w:color="2E6DA4" w:sz="4"/>
              <w:left w:val="single" w:color="2E6DA4" w:sz="4"/>
              <w:bottom w:val="single" w:color="2E6DA4" w:sz="4"/>
              <w:right w:val="single" w:color="2E6DA4"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 studies</w:t>
            </w:r>
          </w:p>
        </w:tc>
      </w:tr>
      <w:tr>
        <w:tc>
          <w:tcPr>
            <w:tcW w:type="dxa" w:w="600"/>
            <w:tcBorders>
              <w:top w:val="single" w:color="E8ECF0" w:sz="4"/>
              <w:left w:val="single" w:color="E8ECF0" w:sz="4"/>
              <w:bottom w:val="single" w:color="E8ECF0" w:sz="4"/>
              <w:right w:val="single" w:color="E8ECF0" w:sz="4"/>
            </w:tcBorders>
            <w:shd w:fill="EBF4FF" w:val="clear"/>
            <w:tcMar>
              <w:top w:type="dxa" w:w="80"/>
              <w:left w:type="dxa" w:w="80"/>
              <w:bottom w:type="dxa" w:w="80"/>
              <w:right w:type="dxa" w:w="80"/>
            </w:tcMar>
            <w:vAlign w:val="center"/>
          </w:tcPr>
          <w:p>
            <w:pPr>
              <w:jc w:val="center"/>
            </w:pPr>
            <w:r>
              <w:rPr>
                <w:rFonts w:ascii="Arial" w:cs="Arial" w:eastAsia="Arial" w:hAnsi="Arial"/>
                <w:b/>
                <w:bCs/>
                <w:color w:val="1B3A5C"/>
                <w:sz w:val="22"/>
                <w:szCs w:val="22"/>
              </w:rPr>
              <w:t xml:space="preserve">ID</w:t>
            </w:r>
          </w:p>
        </w:tc>
        <w:tc>
          <w:tcPr>
            <w:tcW w:type="dxa" w:w="120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b/>
                <w:bCs/>
                <w:color w:val="2E6DA4"/>
                <w:sz w:val="20"/>
                <w:szCs w:val="20"/>
              </w:rPr>
              <w:t xml:space="preserve">Identify</w:t>
            </w:r>
          </w:p>
        </w:tc>
        <w:tc>
          <w:tcPr>
            <w:tcW w:type="dxa" w:w="396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color w:val="1A202C"/>
                <w:sz w:val="20"/>
                <w:szCs w:val="20"/>
              </w:rPr>
              <w:t xml:space="preserve">Know your assets, risks, and supply chain</w:t>
            </w:r>
          </w:p>
        </w:tc>
        <w:tc>
          <w:tcPr>
            <w:tcW w:type="dxa" w:w="360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i/>
                <w:iCs/>
                <w:color w:val="4A5568"/>
                <w:sz w:val="19"/>
                <w:szCs w:val="19"/>
              </w:rPr>
              <w:t xml:space="preserve">Equifax, SolarWinds</w:t>
            </w:r>
          </w:p>
        </w:tc>
      </w:tr>
      <w:tr>
        <w:tc>
          <w:tcPr>
            <w:tcW w:type="dxa" w:w="600"/>
            <w:tcBorders>
              <w:top w:val="single" w:color="E8ECF0" w:sz="4"/>
              <w:left w:val="single" w:color="E8ECF0" w:sz="4"/>
              <w:bottom w:val="single" w:color="E8ECF0" w:sz="4"/>
              <w:right w:val="single" w:color="E8ECF0" w:sz="4"/>
            </w:tcBorders>
            <w:shd w:fill="E6F7F4" w:val="clear"/>
            <w:tcMar>
              <w:top w:type="dxa" w:w="80"/>
              <w:left w:type="dxa" w:w="80"/>
              <w:bottom w:type="dxa" w:w="80"/>
              <w:right w:type="dxa" w:w="80"/>
            </w:tcMar>
            <w:vAlign w:val="center"/>
          </w:tcPr>
          <w:p>
            <w:pPr>
              <w:jc w:val="center"/>
            </w:pPr>
            <w:r>
              <w:rPr>
                <w:rFonts w:ascii="Arial" w:cs="Arial" w:eastAsia="Arial" w:hAnsi="Arial"/>
                <w:b/>
                <w:bCs/>
                <w:color w:val="0D4A47"/>
                <w:sz w:val="22"/>
                <w:szCs w:val="22"/>
              </w:rPr>
              <w:t xml:space="preserve">PR</w:t>
            </w:r>
          </w:p>
        </w:tc>
        <w:tc>
          <w:tcPr>
            <w:tcW w:type="dxa" w:w="120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b/>
                <w:bCs/>
                <w:color w:val="1D7874"/>
                <w:sz w:val="20"/>
                <w:szCs w:val="20"/>
              </w:rPr>
              <w:t xml:space="preserve">Protect</w:t>
            </w:r>
          </w:p>
        </w:tc>
        <w:tc>
          <w:tcPr>
            <w:tcW w:type="dxa" w:w="396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color w:val="1A202C"/>
                <w:sz w:val="20"/>
                <w:szCs w:val="20"/>
              </w:rPr>
              <w:t xml:space="preserve">Implement safeguards — access, encryption, segmentation</w:t>
            </w:r>
          </w:p>
        </w:tc>
        <w:tc>
          <w:tcPr>
            <w:tcW w:type="dxa" w:w="360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i/>
                <w:iCs/>
                <w:color w:val="4A5568"/>
                <w:sz w:val="19"/>
                <w:szCs w:val="19"/>
              </w:rPr>
              <w:t xml:space="preserve">Uber, Target</w:t>
            </w:r>
          </w:p>
        </w:tc>
      </w:tr>
      <w:tr>
        <w:tc>
          <w:tcPr>
            <w:tcW w:type="dxa" w:w="600"/>
            <w:tcBorders>
              <w:top w:val="single" w:color="E8ECF0" w:sz="4"/>
              <w:left w:val="single" w:color="E8ECF0" w:sz="4"/>
              <w:bottom w:val="single" w:color="E8ECF0" w:sz="4"/>
              <w:right w:val="single" w:color="E8ECF0" w:sz="4"/>
            </w:tcBorders>
            <w:shd w:fill="FFF8ED" w:val="clear"/>
            <w:tcMar>
              <w:top w:type="dxa" w:w="80"/>
              <w:left w:type="dxa" w:w="80"/>
              <w:bottom w:type="dxa" w:w="80"/>
              <w:right w:type="dxa" w:w="80"/>
            </w:tcMar>
            <w:vAlign w:val="center"/>
          </w:tcPr>
          <w:p>
            <w:pPr>
              <w:jc w:val="center"/>
            </w:pPr>
            <w:r>
              <w:rPr>
                <w:rFonts w:ascii="Arial" w:cs="Arial" w:eastAsia="Arial" w:hAnsi="Arial"/>
                <w:b/>
                <w:bCs/>
                <w:color w:val="7A3D12"/>
                <w:sz w:val="22"/>
                <w:szCs w:val="22"/>
              </w:rPr>
              <w:t xml:space="preserve">DE</w:t>
            </w:r>
          </w:p>
        </w:tc>
        <w:tc>
          <w:tcPr>
            <w:tcW w:type="dxa" w:w="120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b/>
                <w:bCs/>
                <w:color w:val="D46B27"/>
                <w:sz w:val="20"/>
                <w:szCs w:val="20"/>
              </w:rPr>
              <w:t xml:space="preserve">Detect</w:t>
            </w:r>
          </w:p>
        </w:tc>
        <w:tc>
          <w:tcPr>
            <w:tcW w:type="dxa" w:w="396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color w:val="1A202C"/>
                <w:sz w:val="20"/>
                <w:szCs w:val="20"/>
              </w:rPr>
              <w:t xml:space="preserve">Find anomalies through continuous monitoring</w:t>
            </w:r>
          </w:p>
        </w:tc>
        <w:tc>
          <w:tcPr>
            <w:tcW w:type="dxa" w:w="360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i/>
                <w:iCs/>
                <w:color w:val="4A5568"/>
                <w:sz w:val="19"/>
                <w:szCs w:val="19"/>
              </w:rPr>
              <w:t xml:space="preserve">Marriott / Starwood</w:t>
            </w:r>
          </w:p>
        </w:tc>
      </w:tr>
      <w:tr>
        <w:tc>
          <w:tcPr>
            <w:tcW w:type="dxa" w:w="600"/>
            <w:tcBorders>
              <w:top w:val="single" w:color="E8ECF0" w:sz="4"/>
              <w:left w:val="single" w:color="E8ECF0" w:sz="4"/>
              <w:bottom w:val="single" w:color="E8ECF0" w:sz="4"/>
              <w:right w:val="single" w:color="E8ECF0" w:sz="4"/>
            </w:tcBorders>
            <w:shd w:fill="FDECEA" w:val="clear"/>
            <w:tcMar>
              <w:top w:type="dxa" w:w="80"/>
              <w:left w:type="dxa" w:w="80"/>
              <w:bottom w:type="dxa" w:w="80"/>
              <w:right w:type="dxa" w:w="80"/>
            </w:tcMar>
            <w:vAlign w:val="center"/>
          </w:tcPr>
          <w:p>
            <w:pPr>
              <w:jc w:val="center"/>
            </w:pPr>
            <w:r>
              <w:rPr>
                <w:rFonts w:ascii="Arial" w:cs="Arial" w:eastAsia="Arial" w:hAnsi="Arial"/>
                <w:b/>
                <w:bCs/>
                <w:color w:val="7B1A12"/>
                <w:sz w:val="22"/>
                <w:szCs w:val="22"/>
              </w:rPr>
              <w:t xml:space="preserve">RS</w:t>
            </w:r>
          </w:p>
        </w:tc>
        <w:tc>
          <w:tcPr>
            <w:tcW w:type="dxa" w:w="120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b/>
                <w:bCs/>
                <w:color w:val="C0392B"/>
                <w:sz w:val="20"/>
                <w:szCs w:val="20"/>
              </w:rPr>
              <w:t xml:space="preserve">Respond</w:t>
            </w:r>
          </w:p>
        </w:tc>
        <w:tc>
          <w:tcPr>
            <w:tcW w:type="dxa" w:w="396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color w:val="1A202C"/>
                <w:sz w:val="20"/>
                <w:szCs w:val="20"/>
              </w:rPr>
              <w:t xml:space="preserve">Act on incidents — comms, containment, analysis</w:t>
            </w:r>
          </w:p>
        </w:tc>
        <w:tc>
          <w:tcPr>
            <w:tcW w:type="dxa" w:w="360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i/>
                <w:iCs/>
                <w:color w:val="4A5568"/>
                <w:sz w:val="19"/>
                <w:szCs w:val="19"/>
              </w:rPr>
              <w:t xml:space="preserve">Colonial Pipeline, British Airways</w:t>
            </w:r>
          </w:p>
        </w:tc>
      </w:tr>
      <w:tr>
        <w:tc>
          <w:tcPr>
            <w:tcW w:type="dxa" w:w="600"/>
            <w:tcBorders>
              <w:top w:val="single" w:color="E8ECF0" w:sz="4"/>
              <w:left w:val="single" w:color="E8ECF0" w:sz="4"/>
              <w:bottom w:val="single" w:color="E8ECF0" w:sz="4"/>
              <w:right w:val="single" w:color="E8ECF0" w:sz="4"/>
            </w:tcBorders>
            <w:shd w:fill="F0EDFB" w:val="clear"/>
            <w:tcMar>
              <w:top w:type="dxa" w:w="80"/>
              <w:left w:type="dxa" w:w="80"/>
              <w:bottom w:type="dxa" w:w="80"/>
              <w:right w:type="dxa" w:w="80"/>
            </w:tcMar>
            <w:vAlign w:val="center"/>
          </w:tcPr>
          <w:p>
            <w:pPr>
              <w:jc w:val="center"/>
            </w:pPr>
            <w:r>
              <w:rPr>
                <w:rFonts w:ascii="Arial" w:cs="Arial" w:eastAsia="Arial" w:hAnsi="Arial"/>
                <w:b/>
                <w:bCs/>
                <w:color w:val="3A2F66"/>
                <w:sz w:val="22"/>
                <w:szCs w:val="22"/>
              </w:rPr>
              <w:t xml:space="preserve">RC</w:t>
            </w:r>
          </w:p>
        </w:tc>
        <w:tc>
          <w:tcPr>
            <w:tcW w:type="dxa" w:w="120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b/>
                <w:bCs/>
                <w:color w:val="5B4A8A"/>
                <w:sz w:val="20"/>
                <w:szCs w:val="20"/>
              </w:rPr>
              <w:t xml:space="preserve">Recover</w:t>
            </w:r>
          </w:p>
        </w:tc>
        <w:tc>
          <w:tcPr>
            <w:tcW w:type="dxa" w:w="396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color w:val="1A202C"/>
                <w:sz w:val="20"/>
                <w:szCs w:val="20"/>
              </w:rPr>
              <w:t xml:space="preserve">Restore operations and learn from incidents</w:t>
            </w:r>
          </w:p>
        </w:tc>
        <w:tc>
          <w:tcPr>
            <w:tcW w:type="dxa" w:w="3600"/>
            <w:tcBorders>
              <w:top w:val="single" w:color="E8ECF0" w:sz="4"/>
              <w:left w:val="single" w:color="E8ECF0" w:sz="4"/>
              <w:bottom w:val="single" w:color="E8ECF0" w:sz="4"/>
              <w:right w:val="single" w:color="E8ECF0" w:sz="4"/>
            </w:tcBorders>
            <w:tcMar>
              <w:top w:type="dxa" w:w="80"/>
              <w:left w:type="dxa" w:w="120"/>
              <w:bottom w:type="dxa" w:w="80"/>
              <w:right w:type="dxa" w:w="120"/>
            </w:tcMar>
          </w:tcPr>
          <w:p>
            <w:r>
              <w:rPr>
                <w:rFonts w:ascii="Arial" w:cs="Arial" w:eastAsia="Arial" w:hAnsi="Arial"/>
                <w:i/>
                <w:iCs/>
                <w:color w:val="4A5568"/>
                <w:sz w:val="19"/>
                <w:szCs w:val="19"/>
              </w:rPr>
              <w:t xml:space="preserve">Maersk, Norsk Hydro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2E6DA4" w:sz="6"/>
              <w:right w:val="single" w:color="2E6DA4" w:sz="6"/>
            </w:tcBorders>
            <w:shd w:fill="EBF4FF" w:val="clear"/>
            <w:tcMar>
              <w:top w:type="dxa" w:w="200"/>
              <w:left w:type="dxa" w:w="240"/>
              <w:bottom w:type="dxa" w:w="200"/>
              <w:right w:type="dxa" w:w="240"/>
            </w:tcMar>
          </w:tcPr>
          <w:p>
            <w:pPr>
              <w:spacing w:after="80" w:before="0"/>
            </w:pPr>
            <w:r>
              <w:rPr>
                <w:rFonts w:ascii="Arial" w:cs="Arial" w:eastAsia="Arial" w:hAnsi="Arial"/>
                <w:b/>
                <w:bCs/>
                <w:color w:val="1B3A5C"/>
                <w:sz w:val="32"/>
                <w:szCs w:val="32"/>
              </w:rPr>
              <w:t xml:space="preserve">Function 1: Identify (ID)</w:t>
            </w:r>
          </w:p>
          <w:p>
            <w:pPr>
              <w:spacing w:after="0" w:before="0"/>
            </w:pPr>
            <w:r>
              <w:rPr>
                <w:rFonts w:ascii="Arial" w:cs="Arial" w:eastAsia="Arial" w:hAnsi="Arial"/>
                <w:i/>
                <w:iCs/>
                <w:color w:val="1B3A5C"/>
                <w:sz w:val="20"/>
                <w:szCs w:val="20"/>
              </w:rPr>
              <w:t xml:space="preserve">Develop organisational understanding to manage cybersecurity risk to systems, people, assets, data, and capabilities.</w:t>
            </w:r>
          </w:p>
        </w:tc>
      </w:tr>
    </w:tbl>
    <w:p>
      <w:pPr>
        <w:spacing w:after="0" w:before="120"/>
      </w:pPr>
    </w:p>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E6DA4" w:sz="8"/>
              <w:left w:val="single" w:color="2E6DA4" w:sz="8"/>
              <w:bottom w:val="single" w:color="2E6DA4" w:sz="8"/>
              <w:right w:val="none" w:color="FFFFFF" w:sz="0"/>
            </w:tcBorders>
            <w:shd w:fill="EBF4FF" w:val="clear"/>
            <w:tcMar>
              <w:top w:type="dxa" w:w="120"/>
              <w:left w:type="dxa" w:w="180"/>
              <w:bottom w:type="dxa" w:w="120"/>
              <w:right w:type="dxa" w:w="120"/>
            </w:tcMar>
          </w:tcPr>
          <w:p>
            <w:pPr>
              <w:spacing w:after="40" w:before="0"/>
            </w:pPr>
            <w:r>
              <w:rPr>
                <w:rFonts w:ascii="Arial" w:cs="Arial" w:eastAsia="Arial" w:hAnsi="Arial"/>
                <w:b/>
                <w:bCs/>
                <w:color w:val="1B3A5C"/>
                <w:sz w:val="28"/>
                <w:szCs w:val="28"/>
              </w:rPr>
              <w:t xml:space="preserve">Case Study 1: Equifax</w:t>
            </w:r>
          </w:p>
          <w:p>
            <w:pPr>
              <w:spacing w:after="0" w:before="0"/>
            </w:pPr>
            <w:r>
              <w:rPr>
                <w:rFonts w:ascii="Arial" w:cs="Arial" w:eastAsia="Arial" w:hAnsi="Arial"/>
                <w:color w:val="2E6DA4"/>
                <w:sz w:val="18"/>
                <w:szCs w:val="18"/>
              </w:rPr>
              <w:t xml:space="preserve">Financial services · 2017</w:t>
            </w:r>
          </w:p>
        </w:tc>
        <w:tc>
          <w:tcPr>
            <w:tcW w:type="dxa" w:w="2160"/>
            <w:tcBorders>
              <w:top w:val="single" w:color="2E6DA4" w:sz="8"/>
              <w:left w:val="none" w:color="FFFFFF" w:sz="0"/>
              <w:bottom w:val="single" w:color="2E6DA4" w:sz="8"/>
              <w:right w:val="single" w:color="2E6DA4" w:sz="8"/>
            </w:tcBorders>
            <w:shd w:fill="2E6DA4" w:val="clear"/>
            <w:tcMar>
              <w:top w:type="dxa" w:w="60"/>
              <w:left w:type="dxa" w:w="60"/>
              <w:bottom w:type="dxa" w:w="60"/>
              <w:right w:type="dxa" w:w="60"/>
            </w:tcMar>
            <w:vAlign w:val="center"/>
          </w:tcPr>
          <w:p>
            <w:pPr>
              <w:spacing w:after="20" w:before="0"/>
              <w:jc w:val="center"/>
            </w:pPr>
            <w:r>
              <w:rPr>
                <w:rFonts w:ascii="Arial" w:cs="Arial" w:eastAsia="Arial" w:hAnsi="Arial"/>
                <w:color w:val="FFFFFF"/>
                <w:sz w:val="16"/>
                <w:szCs w:val="16"/>
              </w:rPr>
              <w:t xml:space="preserve">NIST CSF</w:t>
            </w:r>
          </w:p>
          <w:p>
            <w:pPr>
              <w:spacing w:after="0" w:before="0"/>
              <w:jc w:val="center"/>
            </w:pPr>
            <w:r>
              <w:rPr>
                <w:rFonts w:ascii="Arial" w:cs="Arial" w:eastAsia="Arial" w:hAnsi="Arial"/>
                <w:b/>
                <w:bCs/>
                <w:color w:val="FFFFFF"/>
                <w:sz w:val="24"/>
                <w:szCs w:val="24"/>
              </w:rPr>
              <w:t xml:space="preserve">Identify</w:t>
            </w:r>
          </w:p>
        </w:tc>
      </w:tr>
    </w:tbl>
    <w:p>
      <w:pPr>
        <w:spacing w:after="60" w:before="160"/>
      </w:pPr>
      <w:r>
        <w:rPr>
          <w:rFonts w:ascii="Arial" w:cs="Arial" w:eastAsia="Arial" w:hAnsi="Arial"/>
          <w:b/>
          <w:bCs/>
          <w:i w:val="false"/>
          <w:iCs w:val="false"/>
          <w:color w:val="4A5568"/>
          <w:sz w:val="20"/>
          <w:szCs w:val="20"/>
        </w:rPr>
        <w:t xml:space="preserve">Incident summary</w:t>
      </w:r>
    </w:p>
    <w:p>
      <w:pPr>
        <w:pBdr>
          <w:left w:val="single" w:color="2E6DA4" w:sz="12"/>
        </w:pBdr>
        <w:spacing w:after="120" w:before="0"/>
        <w:ind w:left="200"/>
      </w:pPr>
      <w:r>
        <w:rPr>
          <w:rFonts w:ascii="Arial" w:cs="Arial" w:eastAsia="Arial" w:hAnsi="Arial"/>
          <w:b w:val="false"/>
          <w:bCs w:val="false"/>
          <w:i/>
          <w:iCs/>
          <w:color w:val="1A202C"/>
          <w:sz w:val="21"/>
          <w:szCs w:val="21"/>
        </w:rPr>
        <w:t xml:space="preserve">Apache Struts vulnerability (CVE-2017-5638) left unpatched for 78 days — 147 million consumer records exposed.</w:t>
      </w:r>
    </w:p>
    <w:p>
      <w:pPr>
        <w:spacing w:after="40" w:before="60"/>
      </w:pPr>
      <w:r>
        <w:rPr>
          <w:rFonts w:ascii="Arial" w:cs="Arial" w:eastAsia="Arial" w:hAnsi="Arial"/>
          <w:b/>
          <w:bCs/>
          <w:i w:val="false"/>
          <w:iCs w:val="false"/>
          <w:color w:val="1A202C"/>
          <w:sz w:val="20"/>
          <w:szCs w:val="20"/>
        </w:rPr>
        <w:t xml:space="preserve">Root cause: </w:t>
      </w:r>
      <w:r>
        <w:rPr>
          <w:rFonts w:ascii="Arial" w:cs="Arial" w:eastAsia="Arial" w:hAnsi="Arial"/>
          <w:b w:val="false"/>
          <w:bCs w:val="false"/>
          <w:i w:val="false"/>
          <w:iCs w:val="false"/>
          <w:color w:val="4A5568"/>
          <w:sz w:val="20"/>
          <w:szCs w:val="20"/>
        </w:rPr>
        <w:t xml:space="preserve">No enterprise-wide IT asset inventory. The vulnerable server was unknown to the security team and therefore excluded from the patch management programme.</w:t>
      </w:r>
    </w:p>
    <w:p>
      <w:pPr>
        <w:spacing w:after="60" w:before="160"/>
      </w:pPr>
      <w:r>
        <w:rPr>
          <w:rFonts w:ascii="Arial" w:cs="Arial" w:eastAsia="Arial" w:hAnsi="Arial"/>
          <w:b/>
          <w:bCs/>
          <w:i w:val="false"/>
          <w:iCs w:val="false"/>
          <w:color w:val="4A5568"/>
          <w:sz w:val="20"/>
          <w:szCs w:val="20"/>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Financial cost</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$1.38 billion total</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Records / scope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147 million consumers</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Detection time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78 days undetected</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Regulatory fine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$575 million FTC settlement</w:t>
            </w:r>
          </w:p>
        </w:tc>
      </w:tr>
    </w:tbl>
    <w:p>
      <w:pPr>
        <w:spacing w:after="60" w:before="160"/>
      </w:pPr>
      <w:r>
        <w:rPr>
          <w:rFonts w:ascii="Arial" w:cs="Arial" w:eastAsia="Arial" w:hAnsi="Arial"/>
          <w:b/>
          <w:bCs/>
          <w:i w:val="false"/>
          <w:iCs w:val="false"/>
          <w:color w:val="4A5568"/>
          <w:sz w:val="20"/>
          <w:szCs w:val="20"/>
        </w:rPr>
        <w:t xml:space="preserve">NIST CSF subcategory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ID.AM-1 — Physical devices and systems not inventoried</w:t>
            </w:r>
          </w:p>
        </w:tc>
      </w:tr>
      <w:tr>
        <w:tc>
          <w:tcPr>
            <w:tcW w:type="dxa" w:w="9360"/>
            <w:tcBorders>
              <w:top w:val="none" w:color="FFFFFF" w:sz="0"/>
              <w:left w:val="single" w:color="2E6DA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ID.AM-2 — Software platforms and applications not inventoried</w:t>
            </w:r>
          </w:p>
        </w:tc>
      </w:tr>
      <w:tr>
        <w:tc>
          <w:tcPr>
            <w:tcW w:type="dxa" w:w="9360"/>
            <w:tcBorders>
              <w:top w:val="none" w:color="FFFFFF" w:sz="0"/>
              <w:left w:val="single" w:color="2E6DA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ID.RA-1 — Asset vulnerabilities not identified and documented</w:t>
            </w:r>
          </w:p>
        </w:tc>
      </w:tr>
      <w:tr>
        <w:tc>
          <w:tcPr>
            <w:tcW w:type="dxa" w:w="9360"/>
            <w:tcBorders>
              <w:top w:val="none" w:color="FFFFFF" w:sz="0"/>
              <w:left w:val="single" w:color="2E6DA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ID.SC-4 — Suppliers not assessed for adequate security controls</w:t>
            </w:r>
          </w:p>
        </w:tc>
      </w:tr>
    </w:tbl>
    <w:p>
      <w:pPr>
        <w:spacing w:after="60" w:before="160"/>
      </w:pPr>
      <w:r>
        <w:rPr>
          <w:rFonts w:ascii="Arial" w:cs="Arial" w:eastAsia="Arial" w:hAnsi="Arial"/>
          <w:b/>
          <w:bCs/>
          <w:i w:val="false"/>
          <w:iCs w:val="false"/>
          <w:color w:val="4A5568"/>
          <w:sz w:val="20"/>
          <w:szCs w:val="20"/>
        </w:rPr>
        <w:t xml:space="preserve">What failed — root cause analysis</w:t>
      </w:r>
    </w:p>
    <w:p>
      <w:pPr>
        <w:pStyle w:val="ListParagraph"/>
        <w:numPr>
          <w:ilvl w:val="0"/>
          <w:numId w:val="2"/>
        </w:numPr>
        <w:spacing w:after="40" w:before="40"/>
      </w:pPr>
      <w:r>
        <w:rPr>
          <w:rFonts w:ascii="Arial" w:cs="Arial" w:eastAsia="Arial" w:hAnsi="Arial"/>
          <w:color w:val="1A202C"/>
          <w:sz w:val="22"/>
          <w:szCs w:val="22"/>
        </w:rPr>
        <w:t xml:space="preserve">No comprehensive IT asset inventory — the vulnerable Apache Struts component was not tracked</w:t>
      </w:r>
    </w:p>
    <w:p>
      <w:pPr>
        <w:pStyle w:val="ListParagraph"/>
        <w:numPr>
          <w:ilvl w:val="0"/>
          <w:numId w:val="2"/>
        </w:numPr>
        <w:spacing w:after="40" w:before="40"/>
      </w:pPr>
      <w:r>
        <w:rPr>
          <w:rFonts w:ascii="Arial" w:cs="Arial" w:eastAsia="Arial" w:hAnsi="Arial"/>
          <w:color w:val="1A202C"/>
          <w:sz w:val="22"/>
          <w:szCs w:val="22"/>
        </w:rPr>
        <w:t xml:space="preserve">Known CVE-2017-5638 left unpatched for over two months after public disclosure</w:t>
      </w:r>
    </w:p>
    <w:p>
      <w:pPr>
        <w:pStyle w:val="ListParagraph"/>
        <w:numPr>
          <w:ilvl w:val="0"/>
          <w:numId w:val="2"/>
        </w:numPr>
        <w:spacing w:after="40" w:before="40"/>
      </w:pPr>
      <w:r>
        <w:rPr>
          <w:rFonts w:ascii="Arial" w:cs="Arial" w:eastAsia="Arial" w:hAnsi="Arial"/>
          <w:color w:val="1A202C"/>
          <w:sz w:val="22"/>
          <w:szCs w:val="22"/>
        </w:rPr>
        <w:t xml:space="preserve">No data flow mapping to identify which systems held sensitive PII</w:t>
      </w:r>
    </w:p>
    <w:p>
      <w:pPr>
        <w:pStyle w:val="ListParagraph"/>
        <w:numPr>
          <w:ilvl w:val="0"/>
          <w:numId w:val="2"/>
        </w:numPr>
        <w:spacing w:after="40" w:before="40"/>
      </w:pPr>
      <w:r>
        <w:rPr>
          <w:rFonts w:ascii="Arial" w:cs="Arial" w:eastAsia="Arial" w:hAnsi="Arial"/>
          <w:color w:val="1A202C"/>
          <w:sz w:val="22"/>
          <w:szCs w:val="22"/>
        </w:rPr>
        <w:t xml:space="preserve">Supply chain risk management absent for open-source components</w:t>
      </w:r>
    </w:p>
    <w:p>
      <w:pPr>
        <w:pStyle w:val="ListParagraph"/>
        <w:numPr>
          <w:ilvl w:val="0"/>
          <w:numId w:val="2"/>
        </w:numPr>
        <w:spacing w:after="40" w:before="40"/>
      </w:pPr>
      <w:r>
        <w:rPr>
          <w:rFonts w:ascii="Arial" w:cs="Arial" w:eastAsia="Arial" w:hAnsi="Arial"/>
          <w:color w:val="1A202C"/>
          <w:sz w:val="22"/>
          <w:szCs w:val="22"/>
        </w:rPr>
        <w:t xml:space="preserve">Expired SSL certificate prevented detection of exfiltration traffic for months</w:t>
      </w:r>
    </w:p>
    <w:p>
      <w:pPr>
        <w:spacing w:after="60" w:before="160"/>
      </w:pPr>
      <w:r>
        <w:rPr>
          <w:rFonts w:ascii="Arial" w:cs="Arial" w:eastAsia="Arial" w:hAnsi="Arial"/>
          <w:b/>
          <w:bCs/>
          <w:i w:val="false"/>
          <w:iCs w:val="false"/>
          <w:color w:val="4A5568"/>
          <w:sz w:val="20"/>
          <w:szCs w:val="20"/>
        </w:rPr>
        <w:t xml:space="preserve">Lessons learned &amp; NIST control recommendations</w:t>
      </w:r>
    </w:p>
    <w:p>
      <w:pPr>
        <w:pStyle w:val="ListParagraph"/>
        <w:numPr>
          <w:ilvl w:val="0"/>
          <w:numId w:val="3"/>
        </w:numPr>
        <w:spacing w:after="40" w:before="40"/>
      </w:pPr>
      <w:r>
        <w:rPr>
          <w:rFonts w:ascii="Arial" w:cs="Arial" w:eastAsia="Arial" w:hAnsi="Arial"/>
          <w:color w:val="1A202C"/>
          <w:sz w:val="22"/>
          <w:szCs w:val="22"/>
        </w:rPr>
        <w:t xml:space="preserve">Implement automated asset discovery tools (e.g. Qualys, Tenable) — you cannot patch what you do not know exists</w:t>
      </w:r>
    </w:p>
    <w:p>
      <w:pPr>
        <w:pStyle w:val="ListParagraph"/>
        <w:numPr>
          <w:ilvl w:val="0"/>
          <w:numId w:val="3"/>
        </w:numPr>
        <w:spacing w:after="40" w:before="40"/>
      </w:pPr>
      <w:r>
        <w:rPr>
          <w:rFonts w:ascii="Arial" w:cs="Arial" w:eastAsia="Arial" w:hAnsi="Arial"/>
          <w:color w:val="1A202C"/>
          <w:sz w:val="22"/>
          <w:szCs w:val="22"/>
        </w:rPr>
        <w:t xml:space="preserve">Map all data flows before a breach to understand PII exposure scope</w:t>
      </w:r>
    </w:p>
    <w:p>
      <w:pPr>
        <w:pStyle w:val="ListParagraph"/>
        <w:numPr>
          <w:ilvl w:val="0"/>
          <w:numId w:val="3"/>
        </w:numPr>
        <w:spacing w:after="40" w:before="40"/>
      </w:pPr>
      <w:r>
        <w:rPr>
          <w:rFonts w:ascii="Arial" w:cs="Arial" w:eastAsia="Arial" w:hAnsi="Arial"/>
          <w:color w:val="1A202C"/>
          <w:sz w:val="22"/>
          <w:szCs w:val="22"/>
        </w:rPr>
        <w:t xml:space="preserve">Assign an accountable owner for every asset and its patch compliance status</w:t>
      </w:r>
    </w:p>
    <w:p>
      <w:pPr>
        <w:pStyle w:val="ListParagraph"/>
        <w:numPr>
          <w:ilvl w:val="0"/>
          <w:numId w:val="3"/>
        </w:numPr>
        <w:spacing w:after="40" w:before="40"/>
      </w:pPr>
      <w:r>
        <w:rPr>
          <w:rFonts w:ascii="Arial" w:cs="Arial" w:eastAsia="Arial" w:hAnsi="Arial"/>
          <w:color w:val="1A202C"/>
          <w:sz w:val="22"/>
          <w:szCs w:val="22"/>
        </w:rPr>
        <w:t xml:space="preserve">Adopt a Software Bill of Materials (SBOM) for all third-party and open-source dependencies</w:t>
      </w:r>
    </w:p>
    <w:p>
      <w:pPr>
        <w:pStyle w:val="ListParagraph"/>
        <w:numPr>
          <w:ilvl w:val="0"/>
          <w:numId w:val="3"/>
        </w:numPr>
        <w:spacing w:after="40" w:before="40"/>
      </w:pPr>
      <w:r>
        <w:rPr>
          <w:rFonts w:ascii="Arial" w:cs="Arial" w:eastAsia="Arial" w:hAnsi="Arial"/>
          <w:color w:val="1A202C"/>
          <w:sz w:val="22"/>
          <w:szCs w:val="22"/>
        </w:rPr>
        <w:t xml:space="preserve">Establish a vulnerability SLA policy (e.g. critical CVEs patched within 72 hours)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4FF" w:val="clear"/>
            <w:tcMar>
              <w:top w:type="dxa" w:w="160"/>
              <w:left w:type="dxa" w:w="200"/>
              <w:bottom w:type="dxa" w:w="160"/>
              <w:right w:type="dxa" w:w="200"/>
            </w:tcMar>
          </w:tcPr>
          <w:p>
            <w:pPr>
              <w:spacing w:after="80" w:before="0"/>
            </w:pPr>
            <w:r>
              <w:rPr>
                <w:rFonts w:ascii="Arial" w:cs="Arial" w:eastAsia="Arial" w:hAnsi="Arial"/>
                <w:b/>
                <w:bCs/>
                <w:i w:val="false"/>
                <w:iCs w:val="false"/>
                <w:color w:val="1B3A5C"/>
                <w:sz w:val="20"/>
                <w:szCs w:val="20"/>
              </w:rPr>
              <w:t xml:space="preserve">Capstone analysis question</w:t>
            </w:r>
          </w:p>
          <w:p>
            <w:pPr>
              <w:spacing w:after="120" w:before="0"/>
            </w:pPr>
            <w:r>
              <w:rPr>
                <w:rFonts w:ascii="Arial" w:cs="Arial" w:eastAsia="Arial" w:hAnsi="Arial"/>
                <w:b w:val="false"/>
                <w:bCs w:val="false"/>
                <w:i/>
                <w:iCs/>
                <w:color w:val="1B3A5C"/>
                <w:sz w:val="20"/>
                <w:szCs w:val="20"/>
              </w:rPr>
              <w:t xml:space="preserve">How would a mature ID.AM programme have changed Equifax's exposure?</w:t>
            </w:r>
          </w:p>
          <w:p>
            <w:pPr>
              <w:spacing w:after="0" w:before="0"/>
            </w:pPr>
            <w:r>
              <w:rPr>
                <w:rFonts w:ascii="Arial" w:cs="Arial" w:eastAsia="Arial" w:hAnsi="Arial"/>
                <w:b w:val="false"/>
                <w:bCs w:val="false"/>
                <w:i w:val="false"/>
                <w:iCs w:val="false"/>
                <w:color w:val="4A5568"/>
                <w:sz w:val="20"/>
                <w:szCs w:val="20"/>
              </w:rPr>
              <w:t xml:space="preserve">A complete software asset inventory would have identified the Apache Struts component as in scope for the emergency patch. The 78-day window collapses to days. Data flow mapping would further have allowed Equifax to scope and contain the breach immediately upon discovery.</w:t>
            </w:r>
          </w:p>
        </w:tc>
      </w:tr>
    </w:tbl>
    <w:p>
      <w:pPr>
        <w:pBdr>
          <w:bottom w:val="single" w:color="E8ECF0" w:sz="4"/>
        </w:pBdr>
        <w:spacing w:after="120" w:before="120"/>
      </w:pPr>
      <w:r>
        <w:t xml:space="preserve"/>
      </w:r>
    </w:p>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E6DA4" w:sz="8"/>
              <w:left w:val="single" w:color="2E6DA4" w:sz="8"/>
              <w:bottom w:val="single" w:color="2E6DA4" w:sz="8"/>
              <w:right w:val="none" w:color="FFFFFF" w:sz="0"/>
            </w:tcBorders>
            <w:shd w:fill="EBF4FF" w:val="clear"/>
            <w:tcMar>
              <w:top w:type="dxa" w:w="120"/>
              <w:left w:type="dxa" w:w="180"/>
              <w:bottom w:type="dxa" w:w="120"/>
              <w:right w:type="dxa" w:w="120"/>
            </w:tcMar>
          </w:tcPr>
          <w:p>
            <w:pPr>
              <w:spacing w:after="40" w:before="0"/>
            </w:pPr>
            <w:r>
              <w:rPr>
                <w:rFonts w:ascii="Arial" w:cs="Arial" w:eastAsia="Arial" w:hAnsi="Arial"/>
                <w:b/>
                <w:bCs/>
                <w:color w:val="1B3A5C"/>
                <w:sz w:val="28"/>
                <w:szCs w:val="28"/>
              </w:rPr>
              <w:t xml:space="preserve">Case Study 2: SolarWinds</w:t>
            </w:r>
          </w:p>
          <w:p>
            <w:pPr>
              <w:spacing w:after="0" w:before="0"/>
            </w:pPr>
            <w:r>
              <w:rPr>
                <w:rFonts w:ascii="Arial" w:cs="Arial" w:eastAsia="Arial" w:hAnsi="Arial"/>
                <w:color w:val="2E6DA4"/>
                <w:sz w:val="18"/>
                <w:szCs w:val="18"/>
              </w:rPr>
              <w:t xml:space="preserve">Technology / Government supply chain · 2020</w:t>
            </w:r>
          </w:p>
        </w:tc>
        <w:tc>
          <w:tcPr>
            <w:tcW w:type="dxa" w:w="2160"/>
            <w:tcBorders>
              <w:top w:val="single" w:color="2E6DA4" w:sz="8"/>
              <w:left w:val="none" w:color="FFFFFF" w:sz="0"/>
              <w:bottom w:val="single" w:color="2E6DA4" w:sz="8"/>
              <w:right w:val="single" w:color="2E6DA4" w:sz="8"/>
            </w:tcBorders>
            <w:shd w:fill="2E6DA4" w:val="clear"/>
            <w:tcMar>
              <w:top w:type="dxa" w:w="60"/>
              <w:left w:type="dxa" w:w="60"/>
              <w:bottom w:type="dxa" w:w="60"/>
              <w:right w:type="dxa" w:w="60"/>
            </w:tcMar>
            <w:vAlign w:val="center"/>
          </w:tcPr>
          <w:p>
            <w:pPr>
              <w:spacing w:after="20" w:before="0"/>
              <w:jc w:val="center"/>
            </w:pPr>
            <w:r>
              <w:rPr>
                <w:rFonts w:ascii="Arial" w:cs="Arial" w:eastAsia="Arial" w:hAnsi="Arial"/>
                <w:color w:val="FFFFFF"/>
                <w:sz w:val="16"/>
                <w:szCs w:val="16"/>
              </w:rPr>
              <w:t xml:space="preserve">NIST CSF</w:t>
            </w:r>
          </w:p>
          <w:p>
            <w:pPr>
              <w:spacing w:after="0" w:before="0"/>
              <w:jc w:val="center"/>
            </w:pPr>
            <w:r>
              <w:rPr>
                <w:rFonts w:ascii="Arial" w:cs="Arial" w:eastAsia="Arial" w:hAnsi="Arial"/>
                <w:b/>
                <w:bCs/>
                <w:color w:val="FFFFFF"/>
                <w:sz w:val="24"/>
                <w:szCs w:val="24"/>
              </w:rPr>
              <w:t xml:space="preserve">Identify</w:t>
            </w:r>
          </w:p>
        </w:tc>
      </w:tr>
    </w:tbl>
    <w:p>
      <w:pPr>
        <w:spacing w:after="60" w:before="160"/>
      </w:pPr>
      <w:r>
        <w:rPr>
          <w:rFonts w:ascii="Arial" w:cs="Arial" w:eastAsia="Arial" w:hAnsi="Arial"/>
          <w:b/>
          <w:bCs/>
          <w:i w:val="false"/>
          <w:iCs w:val="false"/>
          <w:color w:val="4A5568"/>
          <w:sz w:val="20"/>
          <w:szCs w:val="20"/>
        </w:rPr>
        <w:t xml:space="preserve">Incident summary</w:t>
      </w:r>
    </w:p>
    <w:p>
      <w:pPr>
        <w:pBdr>
          <w:left w:val="single" w:color="2E6DA4" w:sz="12"/>
        </w:pBdr>
        <w:spacing w:after="120" w:before="0"/>
        <w:ind w:left="200"/>
      </w:pPr>
      <w:r>
        <w:rPr>
          <w:rFonts w:ascii="Arial" w:cs="Arial" w:eastAsia="Arial" w:hAnsi="Arial"/>
          <w:b w:val="false"/>
          <w:bCs w:val="false"/>
          <w:i/>
          <w:iCs/>
          <w:color w:val="1A202C"/>
          <w:sz w:val="21"/>
          <w:szCs w:val="21"/>
        </w:rPr>
        <w:t xml:space="preserve">Nation-state actor (Cozy Bear) trojanised the Orion software build pipeline, delivering malicious updates to 18,000 organisations including US federal agencies.</w:t>
      </w:r>
    </w:p>
    <w:p>
      <w:pPr>
        <w:spacing w:after="40" w:before="60"/>
      </w:pPr>
      <w:r>
        <w:rPr>
          <w:rFonts w:ascii="Arial" w:cs="Arial" w:eastAsia="Arial" w:hAnsi="Arial"/>
          <w:b/>
          <w:bCs/>
          <w:i w:val="false"/>
          <w:iCs w:val="false"/>
          <w:color w:val="1A202C"/>
          <w:sz w:val="20"/>
          <w:szCs w:val="20"/>
        </w:rPr>
        <w:t xml:space="preserve">Root cause: </w:t>
      </w:r>
      <w:r>
        <w:rPr>
          <w:rFonts w:ascii="Arial" w:cs="Arial" w:eastAsia="Arial" w:hAnsi="Arial"/>
          <w:b w:val="false"/>
          <w:bCs w:val="false"/>
          <w:i w:val="false"/>
          <w:iCs w:val="false"/>
          <w:color w:val="4A5568"/>
          <w:sz w:val="20"/>
          <w:szCs w:val="20"/>
        </w:rPr>
        <w:t xml:space="preserve">No supply chain risk management programme. The build pipeline was not treated as a critical asset requiring integrity controls.</w:t>
      </w:r>
    </w:p>
    <w:p>
      <w:pPr>
        <w:spacing w:after="60" w:before="160"/>
      </w:pPr>
      <w:r>
        <w:rPr>
          <w:rFonts w:ascii="Arial" w:cs="Arial" w:eastAsia="Arial" w:hAnsi="Arial"/>
          <w:b/>
          <w:bCs/>
          <w:i w:val="false"/>
          <w:iCs w:val="false"/>
          <w:color w:val="4A5568"/>
          <w:sz w:val="20"/>
          <w:szCs w:val="20"/>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Financial cost</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$40M+ direct costs</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Records / scope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18,000 organisations compromised</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Detection time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9 months undetected</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Regulatory fine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SEC enforcement action 2023</w:t>
            </w:r>
          </w:p>
        </w:tc>
      </w:tr>
    </w:tbl>
    <w:p>
      <w:pPr>
        <w:spacing w:after="60" w:before="160"/>
      </w:pPr>
      <w:r>
        <w:rPr>
          <w:rFonts w:ascii="Arial" w:cs="Arial" w:eastAsia="Arial" w:hAnsi="Arial"/>
          <w:b/>
          <w:bCs/>
          <w:i w:val="false"/>
          <w:iCs w:val="false"/>
          <w:color w:val="4A5568"/>
          <w:sz w:val="20"/>
          <w:szCs w:val="20"/>
        </w:rPr>
        <w:t xml:space="preserve">NIST CSF subcategory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ID.SC-1 — No cyber supply chain risk management plan</w:t>
            </w:r>
          </w:p>
        </w:tc>
      </w:tr>
      <w:tr>
        <w:tc>
          <w:tcPr>
            <w:tcW w:type="dxa" w:w="9360"/>
            <w:tcBorders>
              <w:top w:val="none" w:color="FFFFFF" w:sz="0"/>
              <w:left w:val="single" w:color="2E6DA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ID.SC-3 — Suppliers not assessed against security requirements</w:t>
            </w:r>
          </w:p>
        </w:tc>
      </w:tr>
      <w:tr>
        <w:tc>
          <w:tcPr>
            <w:tcW w:type="dxa" w:w="9360"/>
            <w:tcBorders>
              <w:top w:val="none" w:color="FFFFFF" w:sz="0"/>
              <w:left w:val="single" w:color="2E6DA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ID.AM-2 — Software inventory did not include build toolchain</w:t>
            </w:r>
          </w:p>
        </w:tc>
      </w:tr>
      <w:tr>
        <w:tc>
          <w:tcPr>
            <w:tcW w:type="dxa" w:w="9360"/>
            <w:tcBorders>
              <w:top w:val="none" w:color="FFFFFF" w:sz="0"/>
              <w:left w:val="single" w:color="2E6DA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ID.SC-4 — No independent assessment of build pipeline integrity</w:t>
            </w:r>
          </w:p>
        </w:tc>
      </w:tr>
    </w:tbl>
    <w:p>
      <w:pPr>
        <w:spacing w:after="60" w:before="160"/>
      </w:pPr>
      <w:r>
        <w:rPr>
          <w:rFonts w:ascii="Arial" w:cs="Arial" w:eastAsia="Arial" w:hAnsi="Arial"/>
          <w:b/>
          <w:bCs/>
          <w:i w:val="false"/>
          <w:iCs w:val="false"/>
          <w:color w:val="4A5568"/>
          <w:sz w:val="20"/>
          <w:szCs w:val="20"/>
        </w:rPr>
        <w:t xml:space="preserve">What failed — root cause analysis</w:t>
      </w:r>
    </w:p>
    <w:p>
      <w:pPr>
        <w:pStyle w:val="ListParagraph"/>
        <w:numPr>
          <w:ilvl w:val="0"/>
          <w:numId w:val="2"/>
        </w:numPr>
        <w:spacing w:after="40" w:before="40"/>
      </w:pPr>
      <w:r>
        <w:rPr>
          <w:rFonts w:ascii="Arial" w:cs="Arial" w:eastAsia="Arial" w:hAnsi="Arial"/>
          <w:color w:val="1A202C"/>
          <w:sz w:val="22"/>
          <w:szCs w:val="22"/>
        </w:rPr>
        <w:t xml:space="preserve">Build pipeline lacked cryptographic code signing and integrity verification</w:t>
      </w:r>
    </w:p>
    <w:p>
      <w:pPr>
        <w:pStyle w:val="ListParagraph"/>
        <w:numPr>
          <w:ilvl w:val="0"/>
          <w:numId w:val="2"/>
        </w:numPr>
        <w:spacing w:after="40" w:before="40"/>
      </w:pPr>
      <w:r>
        <w:rPr>
          <w:rFonts w:ascii="Arial" w:cs="Arial" w:eastAsia="Arial" w:hAnsi="Arial"/>
          <w:color w:val="1A202C"/>
          <w:sz w:val="22"/>
          <w:szCs w:val="22"/>
        </w:rPr>
        <w:t xml:space="preserve">No separation of duties in the software release process</w:t>
      </w:r>
    </w:p>
    <w:p>
      <w:pPr>
        <w:pStyle w:val="ListParagraph"/>
        <w:numPr>
          <w:ilvl w:val="0"/>
          <w:numId w:val="2"/>
        </w:numPr>
        <w:spacing w:after="40" w:before="40"/>
      </w:pPr>
      <w:r>
        <w:rPr>
          <w:rFonts w:ascii="Arial" w:cs="Arial" w:eastAsia="Arial" w:hAnsi="Arial"/>
          <w:color w:val="1A202C"/>
          <w:sz w:val="22"/>
          <w:szCs w:val="22"/>
        </w:rPr>
        <w:t xml:space="preserve">Third-party risk programme did not audit SolarWinds's own internal processes</w:t>
      </w:r>
    </w:p>
    <w:p>
      <w:pPr>
        <w:pStyle w:val="ListParagraph"/>
        <w:numPr>
          <w:ilvl w:val="0"/>
          <w:numId w:val="2"/>
        </w:numPr>
        <w:spacing w:after="40" w:before="40"/>
      </w:pPr>
      <w:r>
        <w:rPr>
          <w:rFonts w:ascii="Arial" w:cs="Arial" w:eastAsia="Arial" w:hAnsi="Arial"/>
          <w:color w:val="1A202C"/>
          <w:sz w:val="22"/>
          <w:szCs w:val="22"/>
        </w:rPr>
        <w:t xml:space="preserve">Customers had no visibility into which Orion versions they were running (no SBOM)</w:t>
      </w:r>
    </w:p>
    <w:p>
      <w:pPr>
        <w:pStyle w:val="ListParagraph"/>
        <w:numPr>
          <w:ilvl w:val="0"/>
          <w:numId w:val="2"/>
        </w:numPr>
        <w:spacing w:after="40" w:before="40"/>
      </w:pPr>
      <w:r>
        <w:rPr>
          <w:rFonts w:ascii="Arial" w:cs="Arial" w:eastAsia="Arial" w:hAnsi="Arial"/>
          <w:color w:val="1A202C"/>
          <w:sz w:val="22"/>
          <w:szCs w:val="22"/>
        </w:rPr>
        <w:t xml:space="preserve">Compromise of SolarWinds.com FTP password (solarwinds123) exposed update distribution</w:t>
      </w:r>
    </w:p>
    <w:p>
      <w:pPr>
        <w:spacing w:after="60" w:before="160"/>
      </w:pPr>
      <w:r>
        <w:rPr>
          <w:rFonts w:ascii="Arial" w:cs="Arial" w:eastAsia="Arial" w:hAnsi="Arial"/>
          <w:b/>
          <w:bCs/>
          <w:i w:val="false"/>
          <w:iCs w:val="false"/>
          <w:color w:val="4A5568"/>
          <w:sz w:val="20"/>
          <w:szCs w:val="20"/>
        </w:rPr>
        <w:t xml:space="preserve">Lessons learned &amp; NIST control recommendations</w:t>
      </w:r>
    </w:p>
    <w:p>
      <w:pPr>
        <w:pStyle w:val="ListParagraph"/>
        <w:numPr>
          <w:ilvl w:val="0"/>
          <w:numId w:val="3"/>
        </w:numPr>
        <w:spacing w:after="40" w:before="40"/>
      </w:pPr>
      <w:r>
        <w:rPr>
          <w:rFonts w:ascii="Arial" w:cs="Arial" w:eastAsia="Arial" w:hAnsi="Arial"/>
          <w:color w:val="1A202C"/>
          <w:sz w:val="22"/>
          <w:szCs w:val="22"/>
        </w:rPr>
        <w:t xml:space="preserve">Treat your own build pipeline as a tier-1 critical asset requiring the same controls as production</w:t>
      </w:r>
    </w:p>
    <w:p>
      <w:pPr>
        <w:pStyle w:val="ListParagraph"/>
        <w:numPr>
          <w:ilvl w:val="0"/>
          <w:numId w:val="3"/>
        </w:numPr>
        <w:spacing w:after="40" w:before="40"/>
      </w:pPr>
      <w:r>
        <w:rPr>
          <w:rFonts w:ascii="Arial" w:cs="Arial" w:eastAsia="Arial" w:hAnsi="Arial"/>
          <w:color w:val="1A202C"/>
          <w:sz w:val="22"/>
          <w:szCs w:val="22"/>
        </w:rPr>
        <w:t xml:space="preserve">Implement SLSA (Supply chain Levels for Software Artefacts) framework — sign every build artefact</w:t>
      </w:r>
    </w:p>
    <w:p>
      <w:pPr>
        <w:pStyle w:val="ListParagraph"/>
        <w:numPr>
          <w:ilvl w:val="0"/>
          <w:numId w:val="3"/>
        </w:numPr>
        <w:spacing w:after="40" w:before="40"/>
      </w:pPr>
      <w:r>
        <w:rPr>
          <w:rFonts w:ascii="Arial" w:cs="Arial" w:eastAsia="Arial" w:hAnsi="Arial"/>
          <w:color w:val="1A202C"/>
          <w:sz w:val="22"/>
          <w:szCs w:val="22"/>
        </w:rPr>
        <w:t xml:space="preserve">Publish a Software Bill of Materials for all products to enable rapid impact assessment</w:t>
      </w:r>
    </w:p>
    <w:p>
      <w:pPr>
        <w:pStyle w:val="ListParagraph"/>
        <w:numPr>
          <w:ilvl w:val="0"/>
          <w:numId w:val="3"/>
        </w:numPr>
        <w:spacing w:after="40" w:before="40"/>
      </w:pPr>
      <w:r>
        <w:rPr>
          <w:rFonts w:ascii="Arial" w:cs="Arial" w:eastAsia="Arial" w:hAnsi="Arial"/>
          <w:color w:val="1A202C"/>
          <w:sz w:val="22"/>
          <w:szCs w:val="22"/>
        </w:rPr>
        <w:t xml:space="preserve">Apply zero-trust principles inside the development environment — no implicit trust between build systems</w:t>
      </w:r>
    </w:p>
    <w:p>
      <w:pPr>
        <w:pStyle w:val="ListParagraph"/>
        <w:numPr>
          <w:ilvl w:val="0"/>
          <w:numId w:val="3"/>
        </w:numPr>
        <w:spacing w:after="40" w:before="40"/>
      </w:pPr>
      <w:r>
        <w:rPr>
          <w:rFonts w:ascii="Arial" w:cs="Arial" w:eastAsia="Arial" w:hAnsi="Arial"/>
          <w:color w:val="1A202C"/>
          <w:sz w:val="22"/>
          <w:szCs w:val="22"/>
        </w:rPr>
        <w:t xml:space="preserve">Conduct annual red-team exercises specifically targeting the software supply chain</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4FF" w:val="clear"/>
            <w:tcMar>
              <w:top w:type="dxa" w:w="160"/>
              <w:left w:type="dxa" w:w="200"/>
              <w:bottom w:type="dxa" w:w="160"/>
              <w:right w:type="dxa" w:w="200"/>
            </w:tcMar>
          </w:tcPr>
          <w:p>
            <w:pPr>
              <w:spacing w:after="80" w:before="0"/>
            </w:pPr>
            <w:r>
              <w:rPr>
                <w:rFonts w:ascii="Arial" w:cs="Arial" w:eastAsia="Arial" w:hAnsi="Arial"/>
                <w:b/>
                <w:bCs/>
                <w:i w:val="false"/>
                <w:iCs w:val="false"/>
                <w:color w:val="1B3A5C"/>
                <w:sz w:val="20"/>
                <w:szCs w:val="20"/>
              </w:rPr>
              <w:t xml:space="preserve">Capstone analysis question</w:t>
            </w:r>
          </w:p>
          <w:p>
            <w:pPr>
              <w:spacing w:after="120" w:before="0"/>
            </w:pPr>
            <w:r>
              <w:rPr>
                <w:rFonts w:ascii="Arial" w:cs="Arial" w:eastAsia="Arial" w:hAnsi="Arial"/>
                <w:b w:val="false"/>
                <w:bCs w:val="false"/>
                <w:i/>
                <w:iCs/>
                <w:color w:val="1B3A5C"/>
                <w:sz w:val="20"/>
                <w:szCs w:val="20"/>
              </w:rPr>
              <w:t xml:space="preserve">What NIST ID.SC controls are now mandatory for federal suppliers post-SolarWinds?</w:t>
            </w:r>
          </w:p>
          <w:p>
            <w:pPr>
              <w:spacing w:after="0" w:before="0"/>
            </w:pPr>
            <w:r>
              <w:rPr>
                <w:rFonts w:ascii="Arial" w:cs="Arial" w:eastAsia="Arial" w:hAnsi="Arial"/>
                <w:b w:val="false"/>
                <w:bCs w:val="false"/>
                <w:i w:val="false"/>
                <w:iCs w:val="false"/>
                <w:color w:val="4A5568"/>
                <w:sz w:val="20"/>
                <w:szCs w:val="20"/>
              </w:rPr>
              <w:t xml:space="preserve">Executive Order 14028 (May 2021) mandated SBOM production, SLSA adoption, and supply chain risk assessments for all federal software suppliers — directly codifying NIST ID.SC-1 through ID.SC-4 into procurement requirements.</w:t>
            </w:r>
          </w:p>
        </w:tc>
      </w:tr>
    </w:tbl>
    <w:p>
      <w:pPr>
        <w:pBdr>
          <w:bottom w:val="single" w:color="E8ECF0"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7874" w:sz="6"/>
              <w:left w:val="single" w:color="1D7874" w:sz="6"/>
              <w:bottom w:val="single" w:color="1D7874" w:sz="6"/>
              <w:right w:val="single" w:color="1D7874" w:sz="6"/>
            </w:tcBorders>
            <w:shd w:fill="E6F7F4" w:val="clear"/>
            <w:tcMar>
              <w:top w:type="dxa" w:w="200"/>
              <w:left w:type="dxa" w:w="240"/>
              <w:bottom w:type="dxa" w:w="200"/>
              <w:right w:type="dxa" w:w="240"/>
            </w:tcMar>
          </w:tcPr>
          <w:p>
            <w:pPr>
              <w:spacing w:after="80" w:before="0"/>
            </w:pPr>
            <w:r>
              <w:rPr>
                <w:rFonts w:ascii="Arial" w:cs="Arial" w:eastAsia="Arial" w:hAnsi="Arial"/>
                <w:b/>
                <w:bCs/>
                <w:color w:val="0D4A47"/>
                <w:sz w:val="32"/>
                <w:szCs w:val="32"/>
              </w:rPr>
              <w:t xml:space="preserve">Function 2: Protect (PR)</w:t>
            </w:r>
          </w:p>
          <w:p>
            <w:pPr>
              <w:spacing w:after="0" w:before="0"/>
            </w:pPr>
            <w:r>
              <w:rPr>
                <w:rFonts w:ascii="Arial" w:cs="Arial" w:eastAsia="Arial" w:hAnsi="Arial"/>
                <w:i/>
                <w:iCs/>
                <w:color w:val="0D4A47"/>
                <w:sz w:val="20"/>
                <w:szCs w:val="20"/>
              </w:rPr>
              <w:t xml:space="preserve">Develop and implement appropriate safeguards to ensure delivery of critical services.</w:t>
            </w:r>
          </w:p>
        </w:tc>
      </w:tr>
    </w:tbl>
    <w:p>
      <w:pPr>
        <w:spacing w:after="0" w:before="120"/>
      </w:pPr>
    </w:p>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D7874" w:sz="8"/>
              <w:left w:val="single" w:color="1D7874" w:sz="8"/>
              <w:bottom w:val="single" w:color="1D7874" w:sz="8"/>
              <w:right w:val="none" w:color="FFFFFF" w:sz="0"/>
            </w:tcBorders>
            <w:shd w:fill="E6F7F4" w:val="clear"/>
            <w:tcMar>
              <w:top w:type="dxa" w:w="120"/>
              <w:left w:type="dxa" w:w="180"/>
              <w:bottom w:type="dxa" w:w="120"/>
              <w:right w:type="dxa" w:w="120"/>
            </w:tcMar>
          </w:tcPr>
          <w:p>
            <w:pPr>
              <w:spacing w:after="40" w:before="0"/>
            </w:pPr>
            <w:r>
              <w:rPr>
                <w:rFonts w:ascii="Arial" w:cs="Arial" w:eastAsia="Arial" w:hAnsi="Arial"/>
                <w:b/>
                <w:bCs/>
                <w:color w:val="0D4A47"/>
                <w:sz w:val="28"/>
                <w:szCs w:val="28"/>
              </w:rPr>
              <w:t xml:space="preserve">Case Study 3: Uber</w:t>
            </w:r>
          </w:p>
          <w:p>
            <w:pPr>
              <w:spacing w:after="0" w:before="0"/>
            </w:pPr>
            <w:r>
              <w:rPr>
                <w:rFonts w:ascii="Arial" w:cs="Arial" w:eastAsia="Arial" w:hAnsi="Arial"/>
                <w:color w:val="1D7874"/>
                <w:sz w:val="18"/>
                <w:szCs w:val="18"/>
              </w:rPr>
              <w:t xml:space="preserve">Technology / Ride-sharing · 2016</w:t>
            </w:r>
          </w:p>
        </w:tc>
        <w:tc>
          <w:tcPr>
            <w:tcW w:type="dxa" w:w="2160"/>
            <w:tcBorders>
              <w:top w:val="single" w:color="1D7874" w:sz="8"/>
              <w:left w:val="none" w:color="FFFFFF" w:sz="0"/>
              <w:bottom w:val="single" w:color="1D7874" w:sz="8"/>
              <w:right w:val="single" w:color="1D7874" w:sz="8"/>
            </w:tcBorders>
            <w:shd w:fill="1D7874" w:val="clear"/>
            <w:tcMar>
              <w:top w:type="dxa" w:w="60"/>
              <w:left w:type="dxa" w:w="60"/>
              <w:bottom w:type="dxa" w:w="60"/>
              <w:right w:type="dxa" w:w="60"/>
            </w:tcMar>
            <w:vAlign w:val="center"/>
          </w:tcPr>
          <w:p>
            <w:pPr>
              <w:spacing w:after="20" w:before="0"/>
              <w:jc w:val="center"/>
            </w:pPr>
            <w:r>
              <w:rPr>
                <w:rFonts w:ascii="Arial" w:cs="Arial" w:eastAsia="Arial" w:hAnsi="Arial"/>
                <w:color w:val="FFFFFF"/>
                <w:sz w:val="16"/>
                <w:szCs w:val="16"/>
              </w:rPr>
              <w:t xml:space="preserve">NIST CSF</w:t>
            </w:r>
          </w:p>
          <w:p>
            <w:pPr>
              <w:spacing w:after="0" w:before="0"/>
              <w:jc w:val="center"/>
            </w:pPr>
            <w:r>
              <w:rPr>
                <w:rFonts w:ascii="Arial" w:cs="Arial" w:eastAsia="Arial" w:hAnsi="Arial"/>
                <w:b/>
                <w:bCs/>
                <w:color w:val="FFFFFF"/>
                <w:sz w:val="24"/>
                <w:szCs w:val="24"/>
              </w:rPr>
              <w:t xml:space="preserve">Protect</w:t>
            </w:r>
          </w:p>
        </w:tc>
      </w:tr>
    </w:tbl>
    <w:p>
      <w:pPr>
        <w:spacing w:after="60" w:before="160"/>
      </w:pPr>
      <w:r>
        <w:rPr>
          <w:rFonts w:ascii="Arial" w:cs="Arial" w:eastAsia="Arial" w:hAnsi="Arial"/>
          <w:b/>
          <w:bCs/>
          <w:i w:val="false"/>
          <w:iCs w:val="false"/>
          <w:color w:val="4A5568"/>
          <w:sz w:val="20"/>
          <w:szCs w:val="20"/>
        </w:rPr>
        <w:t xml:space="preserve">Incident summary</w:t>
      </w:r>
    </w:p>
    <w:p>
      <w:pPr>
        <w:pBdr>
          <w:left w:val="single" w:color="1D7874" w:sz="12"/>
        </w:pBdr>
        <w:spacing w:after="120" w:before="0"/>
        <w:ind w:left="200"/>
      </w:pPr>
      <w:r>
        <w:rPr>
          <w:rFonts w:ascii="Arial" w:cs="Arial" w:eastAsia="Arial" w:hAnsi="Arial"/>
          <w:b w:val="false"/>
          <w:bCs w:val="false"/>
          <w:i/>
          <w:iCs/>
          <w:color w:val="1A202C"/>
          <w:sz w:val="21"/>
          <w:szCs w:val="21"/>
        </w:rPr>
        <w:t xml:space="preserve">AWS credentials stored in a public GitHub repository gave attackers access to S3 buckets containing 57 million user and driver records. Uber paid a $100K ransom and concealed the breach for 12 months.</w:t>
      </w:r>
    </w:p>
    <w:p>
      <w:pPr>
        <w:spacing w:after="40" w:before="60"/>
      </w:pPr>
      <w:r>
        <w:rPr>
          <w:rFonts w:ascii="Arial" w:cs="Arial" w:eastAsia="Arial" w:hAnsi="Arial"/>
          <w:b/>
          <w:bCs/>
          <w:i w:val="false"/>
          <w:iCs w:val="false"/>
          <w:color w:val="1A202C"/>
          <w:sz w:val="20"/>
          <w:szCs w:val="20"/>
        </w:rPr>
        <w:t xml:space="preserve">Root cause: </w:t>
      </w:r>
      <w:r>
        <w:rPr>
          <w:rFonts w:ascii="Arial" w:cs="Arial" w:eastAsia="Arial" w:hAnsi="Arial"/>
          <w:b w:val="false"/>
          <w:bCs w:val="false"/>
          <w:i w:val="false"/>
          <w:iCs w:val="false"/>
          <w:color w:val="4A5568"/>
          <w:sz w:val="20"/>
          <w:szCs w:val="20"/>
        </w:rPr>
        <w:t xml:space="preserve">No secrets management programme. Developers committed plain-text credentials to version control with no detection or remediation controls.</w:t>
      </w:r>
    </w:p>
    <w:p>
      <w:pPr>
        <w:spacing w:after="60" w:before="160"/>
      </w:pPr>
      <w:r>
        <w:rPr>
          <w:rFonts w:ascii="Arial" w:cs="Arial" w:eastAsia="Arial" w:hAnsi="Arial"/>
          <w:b/>
          <w:bCs/>
          <w:i w:val="false"/>
          <w:iCs w:val="false"/>
          <w:color w:val="4A5568"/>
          <w:sz w:val="20"/>
          <w:szCs w:val="20"/>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Financial cost</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$148 million settlement</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Records / scope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57 million users and drivers</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Detection time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Discovered by attackers via GitHub</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Regulatory fine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$148 million multi-state AG settlement</w:t>
            </w:r>
          </w:p>
        </w:tc>
      </w:tr>
    </w:tbl>
    <w:p>
      <w:pPr>
        <w:spacing w:after="60" w:before="160"/>
      </w:pPr>
      <w:r>
        <w:rPr>
          <w:rFonts w:ascii="Arial" w:cs="Arial" w:eastAsia="Arial" w:hAnsi="Arial"/>
          <w:b/>
          <w:bCs/>
          <w:i w:val="false"/>
          <w:iCs w:val="false"/>
          <w:color w:val="4A5568"/>
          <w:sz w:val="20"/>
          <w:szCs w:val="20"/>
        </w:rPr>
        <w:t xml:space="preserve">NIST CSF subcategory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87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PR.DS-1 — Data at rest not protected</w:t>
            </w:r>
          </w:p>
        </w:tc>
      </w:tr>
      <w:tr>
        <w:tc>
          <w:tcPr>
            <w:tcW w:type="dxa" w:w="9360"/>
            <w:tcBorders>
              <w:top w:val="none" w:color="FFFFFF" w:sz="0"/>
              <w:left w:val="single" w:color="1D787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PR.DS-2 — Data in transit not protected</w:t>
            </w:r>
          </w:p>
        </w:tc>
      </w:tr>
      <w:tr>
        <w:tc>
          <w:tcPr>
            <w:tcW w:type="dxa" w:w="9360"/>
            <w:tcBorders>
              <w:top w:val="none" w:color="FFFFFF" w:sz="0"/>
              <w:left w:val="single" w:color="1D787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PR.AC-4 — Access permissions not managed</w:t>
            </w:r>
          </w:p>
        </w:tc>
      </w:tr>
      <w:tr>
        <w:tc>
          <w:tcPr>
            <w:tcW w:type="dxa" w:w="9360"/>
            <w:tcBorders>
              <w:top w:val="none" w:color="FFFFFF" w:sz="0"/>
              <w:left w:val="single" w:color="1D787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PR.IP-3 — Configuration change control not in place</w:t>
            </w:r>
          </w:p>
        </w:tc>
      </w:tr>
    </w:tbl>
    <w:p>
      <w:pPr>
        <w:spacing w:after="60" w:before="160"/>
      </w:pPr>
      <w:r>
        <w:rPr>
          <w:rFonts w:ascii="Arial" w:cs="Arial" w:eastAsia="Arial" w:hAnsi="Arial"/>
          <w:b/>
          <w:bCs/>
          <w:i w:val="false"/>
          <w:iCs w:val="false"/>
          <w:color w:val="4A5568"/>
          <w:sz w:val="20"/>
          <w:szCs w:val="20"/>
        </w:rPr>
        <w:t xml:space="preserve">What failed — root cause analysis</w:t>
      </w:r>
    </w:p>
    <w:p>
      <w:pPr>
        <w:pStyle w:val="ListParagraph"/>
        <w:numPr>
          <w:ilvl w:val="0"/>
          <w:numId w:val="2"/>
        </w:numPr>
        <w:spacing w:after="40" w:before="40"/>
      </w:pPr>
      <w:r>
        <w:rPr>
          <w:rFonts w:ascii="Arial" w:cs="Arial" w:eastAsia="Arial" w:hAnsi="Arial"/>
          <w:color w:val="1A202C"/>
          <w:sz w:val="22"/>
          <w:szCs w:val="22"/>
        </w:rPr>
        <w:t xml:space="preserve">AWS access keys hardcoded in a private GitHub repository that was inadvertently made public</w:t>
      </w:r>
    </w:p>
    <w:p>
      <w:pPr>
        <w:pStyle w:val="ListParagraph"/>
        <w:numPr>
          <w:ilvl w:val="0"/>
          <w:numId w:val="2"/>
        </w:numPr>
        <w:spacing w:after="40" w:before="40"/>
      </w:pPr>
      <w:r>
        <w:rPr>
          <w:rFonts w:ascii="Arial" w:cs="Arial" w:eastAsia="Arial" w:hAnsi="Arial"/>
          <w:color w:val="1A202C"/>
          <w:sz w:val="22"/>
          <w:szCs w:val="22"/>
        </w:rPr>
        <w:t xml:space="preserve">No secrets scanning or pre-commit hooks to block credential commits</w:t>
      </w:r>
    </w:p>
    <w:p>
      <w:pPr>
        <w:pStyle w:val="ListParagraph"/>
        <w:numPr>
          <w:ilvl w:val="0"/>
          <w:numId w:val="2"/>
        </w:numPr>
        <w:spacing w:after="40" w:before="40"/>
      </w:pPr>
      <w:r>
        <w:rPr>
          <w:rFonts w:ascii="Arial" w:cs="Arial" w:eastAsia="Arial" w:hAnsi="Arial"/>
          <w:color w:val="1A202C"/>
          <w:sz w:val="22"/>
          <w:szCs w:val="22"/>
        </w:rPr>
        <w:t xml:space="preserve">S3 bucket not encrypted at rest and accessible with stolen credentials</w:t>
      </w:r>
    </w:p>
    <w:p>
      <w:pPr>
        <w:pStyle w:val="ListParagraph"/>
        <w:numPr>
          <w:ilvl w:val="0"/>
          <w:numId w:val="2"/>
        </w:numPr>
        <w:spacing w:after="40" w:before="40"/>
      </w:pPr>
      <w:r>
        <w:rPr>
          <w:rFonts w:ascii="Arial" w:cs="Arial" w:eastAsia="Arial" w:hAnsi="Arial"/>
          <w:color w:val="1A202C"/>
          <w:sz w:val="22"/>
          <w:szCs w:val="22"/>
        </w:rPr>
        <w:t xml:space="preserve">No alerting on unusual API activity from the exposed keys</w:t>
      </w:r>
    </w:p>
    <w:p>
      <w:pPr>
        <w:pStyle w:val="ListParagraph"/>
        <w:numPr>
          <w:ilvl w:val="0"/>
          <w:numId w:val="2"/>
        </w:numPr>
        <w:spacing w:after="40" w:before="40"/>
      </w:pPr>
      <w:r>
        <w:rPr>
          <w:rFonts w:ascii="Arial" w:cs="Arial" w:eastAsia="Arial" w:hAnsi="Arial"/>
          <w:color w:val="1A202C"/>
          <w:sz w:val="22"/>
          <w:szCs w:val="22"/>
        </w:rPr>
        <w:t xml:space="preserve">Incident concealed from regulators and users for 12 months — a serious GDPR/CCPA violation</w:t>
      </w:r>
    </w:p>
    <w:p>
      <w:pPr>
        <w:spacing w:after="60" w:before="160"/>
      </w:pPr>
      <w:r>
        <w:rPr>
          <w:rFonts w:ascii="Arial" w:cs="Arial" w:eastAsia="Arial" w:hAnsi="Arial"/>
          <w:b/>
          <w:bCs/>
          <w:i w:val="false"/>
          <w:iCs w:val="false"/>
          <w:color w:val="4A5568"/>
          <w:sz w:val="20"/>
          <w:szCs w:val="20"/>
        </w:rPr>
        <w:t xml:space="preserve">Lessons learned &amp; NIST control recommendations</w:t>
      </w:r>
    </w:p>
    <w:p>
      <w:pPr>
        <w:pStyle w:val="ListParagraph"/>
        <w:numPr>
          <w:ilvl w:val="0"/>
          <w:numId w:val="3"/>
        </w:numPr>
        <w:spacing w:after="40" w:before="40"/>
      </w:pPr>
      <w:r>
        <w:rPr>
          <w:rFonts w:ascii="Arial" w:cs="Arial" w:eastAsia="Arial" w:hAnsi="Arial"/>
          <w:color w:val="1A202C"/>
          <w:sz w:val="22"/>
          <w:szCs w:val="22"/>
        </w:rPr>
        <w:t xml:space="preserve">Enforce secrets management via HashiCorp Vault, AWS Secrets Manager, or equivalent — never hardcode credentials</w:t>
      </w:r>
    </w:p>
    <w:p>
      <w:pPr>
        <w:pStyle w:val="ListParagraph"/>
        <w:numPr>
          <w:ilvl w:val="0"/>
          <w:numId w:val="3"/>
        </w:numPr>
        <w:spacing w:after="40" w:before="40"/>
      </w:pPr>
      <w:r>
        <w:rPr>
          <w:rFonts w:ascii="Arial" w:cs="Arial" w:eastAsia="Arial" w:hAnsi="Arial"/>
          <w:color w:val="1A202C"/>
          <w:sz w:val="22"/>
          <w:szCs w:val="22"/>
        </w:rPr>
        <w:t xml:space="preserve">Implement pre-commit hooks with tools like Gitleaks or Trufflehog to block secret commits</w:t>
      </w:r>
    </w:p>
    <w:p>
      <w:pPr>
        <w:pStyle w:val="ListParagraph"/>
        <w:numPr>
          <w:ilvl w:val="0"/>
          <w:numId w:val="3"/>
        </w:numPr>
        <w:spacing w:after="40" w:before="40"/>
      </w:pPr>
      <w:r>
        <w:rPr>
          <w:rFonts w:ascii="Arial" w:cs="Arial" w:eastAsia="Arial" w:hAnsi="Arial"/>
          <w:color w:val="1A202C"/>
          <w:sz w:val="22"/>
          <w:szCs w:val="22"/>
        </w:rPr>
        <w:t xml:space="preserve">Enable server-side encryption on all S3 buckets by default — make encryption a baseline, not a choice</w:t>
      </w:r>
    </w:p>
    <w:p>
      <w:pPr>
        <w:pStyle w:val="ListParagraph"/>
        <w:numPr>
          <w:ilvl w:val="0"/>
          <w:numId w:val="3"/>
        </w:numPr>
        <w:spacing w:after="40" w:before="40"/>
      </w:pPr>
      <w:r>
        <w:rPr>
          <w:rFonts w:ascii="Arial" w:cs="Arial" w:eastAsia="Arial" w:hAnsi="Arial"/>
          <w:color w:val="1A202C"/>
          <w:sz w:val="22"/>
          <w:szCs w:val="22"/>
        </w:rPr>
        <w:t xml:space="preserve">Apply least-privilege IAM policies — S3 buckets should not be publicly readable</w:t>
      </w:r>
    </w:p>
    <w:p>
      <w:pPr>
        <w:pStyle w:val="ListParagraph"/>
        <w:numPr>
          <w:ilvl w:val="0"/>
          <w:numId w:val="3"/>
        </w:numPr>
        <w:spacing w:after="40" w:before="40"/>
      </w:pPr>
      <w:r>
        <w:rPr>
          <w:rFonts w:ascii="Arial" w:cs="Arial" w:eastAsia="Arial" w:hAnsi="Arial"/>
          <w:color w:val="1A202C"/>
          <w:sz w:val="22"/>
          <w:szCs w:val="22"/>
        </w:rPr>
        <w:t xml:space="preserve">Build a 72-hour breach notification workflow — concealment compounds regulatory exposure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7874" w:sz="4"/>
              <w:left w:val="single" w:color="1D7874" w:sz="4"/>
              <w:bottom w:val="single" w:color="1D7874" w:sz="4"/>
              <w:right w:val="single" w:color="1D7874" w:sz="4"/>
            </w:tcBorders>
            <w:shd w:fill="E6F7F4" w:val="clear"/>
            <w:tcMar>
              <w:top w:type="dxa" w:w="160"/>
              <w:left w:type="dxa" w:w="200"/>
              <w:bottom w:type="dxa" w:w="160"/>
              <w:right w:type="dxa" w:w="200"/>
            </w:tcMar>
          </w:tcPr>
          <w:p>
            <w:pPr>
              <w:spacing w:after="80" w:before="0"/>
            </w:pPr>
            <w:r>
              <w:rPr>
                <w:rFonts w:ascii="Arial" w:cs="Arial" w:eastAsia="Arial" w:hAnsi="Arial"/>
                <w:b/>
                <w:bCs/>
                <w:i w:val="false"/>
                <w:iCs w:val="false"/>
                <w:color w:val="0D4A47"/>
                <w:sz w:val="20"/>
                <w:szCs w:val="20"/>
              </w:rPr>
              <w:t xml:space="preserve">Capstone analysis question</w:t>
            </w:r>
          </w:p>
          <w:p>
            <w:pPr>
              <w:spacing w:after="120" w:before="0"/>
            </w:pPr>
            <w:r>
              <w:rPr>
                <w:rFonts w:ascii="Arial" w:cs="Arial" w:eastAsia="Arial" w:hAnsi="Arial"/>
                <w:b w:val="false"/>
                <w:bCs w:val="false"/>
                <w:i/>
                <w:iCs/>
                <w:color w:val="0D4A47"/>
                <w:sz w:val="20"/>
                <w:szCs w:val="20"/>
              </w:rPr>
              <w:t xml:space="preserve">How does PR.DS-1 apply to cloud storage environments like AWS S3?</w:t>
            </w:r>
          </w:p>
          <w:p>
            <w:pPr>
              <w:spacing w:after="0" w:before="0"/>
            </w:pPr>
            <w:r>
              <w:rPr>
                <w:rFonts w:ascii="Arial" w:cs="Arial" w:eastAsia="Arial" w:hAnsi="Arial"/>
                <w:b w:val="false"/>
                <w:bCs w:val="false"/>
                <w:i w:val="false"/>
                <w:iCs w:val="false"/>
                <w:color w:val="4A5568"/>
                <w:sz w:val="20"/>
                <w:szCs w:val="20"/>
              </w:rPr>
              <w:t xml:space="preserve">PR.DS-1 requires that data at rest be protected. In S3 context this means: SSE-KMS encryption enabled by default on all buckets, bucket policies blocking public access, IAM roles following least privilege, and CloudTrail enabled to detect access anomalies — all of which Uber lacked.</w:t>
            </w:r>
          </w:p>
        </w:tc>
      </w:tr>
    </w:tbl>
    <w:p>
      <w:pPr>
        <w:pBdr>
          <w:bottom w:val="single" w:color="E8ECF0" w:sz="4"/>
        </w:pBdr>
        <w:spacing w:after="120" w:before="120"/>
      </w:pPr>
      <w:r>
        <w:t xml:space="preserve"/>
      </w:r>
    </w:p>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D7874" w:sz="8"/>
              <w:left w:val="single" w:color="1D7874" w:sz="8"/>
              <w:bottom w:val="single" w:color="1D7874" w:sz="8"/>
              <w:right w:val="none" w:color="FFFFFF" w:sz="0"/>
            </w:tcBorders>
            <w:shd w:fill="E6F7F4" w:val="clear"/>
            <w:tcMar>
              <w:top w:type="dxa" w:w="120"/>
              <w:left w:type="dxa" w:w="180"/>
              <w:bottom w:type="dxa" w:w="120"/>
              <w:right w:type="dxa" w:w="120"/>
            </w:tcMar>
          </w:tcPr>
          <w:p>
            <w:pPr>
              <w:spacing w:after="40" w:before="0"/>
            </w:pPr>
            <w:r>
              <w:rPr>
                <w:rFonts w:ascii="Arial" w:cs="Arial" w:eastAsia="Arial" w:hAnsi="Arial"/>
                <w:b/>
                <w:bCs/>
                <w:color w:val="0D4A47"/>
                <w:sz w:val="28"/>
                <w:szCs w:val="28"/>
              </w:rPr>
              <w:t xml:space="preserve">Case Study 4: Target</w:t>
            </w:r>
          </w:p>
          <w:p>
            <w:pPr>
              <w:spacing w:after="0" w:before="0"/>
            </w:pPr>
            <w:r>
              <w:rPr>
                <w:rFonts w:ascii="Arial" w:cs="Arial" w:eastAsia="Arial" w:hAnsi="Arial"/>
                <w:color w:val="1D7874"/>
                <w:sz w:val="18"/>
                <w:szCs w:val="18"/>
              </w:rPr>
              <w:t xml:space="preserve">Retail · 2013</w:t>
            </w:r>
          </w:p>
        </w:tc>
        <w:tc>
          <w:tcPr>
            <w:tcW w:type="dxa" w:w="2160"/>
            <w:tcBorders>
              <w:top w:val="single" w:color="1D7874" w:sz="8"/>
              <w:left w:val="none" w:color="FFFFFF" w:sz="0"/>
              <w:bottom w:val="single" w:color="1D7874" w:sz="8"/>
              <w:right w:val="single" w:color="1D7874" w:sz="8"/>
            </w:tcBorders>
            <w:shd w:fill="1D7874" w:val="clear"/>
            <w:tcMar>
              <w:top w:type="dxa" w:w="60"/>
              <w:left w:type="dxa" w:w="60"/>
              <w:bottom w:type="dxa" w:w="60"/>
              <w:right w:type="dxa" w:w="60"/>
            </w:tcMar>
            <w:vAlign w:val="center"/>
          </w:tcPr>
          <w:p>
            <w:pPr>
              <w:spacing w:after="20" w:before="0"/>
              <w:jc w:val="center"/>
            </w:pPr>
            <w:r>
              <w:rPr>
                <w:rFonts w:ascii="Arial" w:cs="Arial" w:eastAsia="Arial" w:hAnsi="Arial"/>
                <w:color w:val="FFFFFF"/>
                <w:sz w:val="16"/>
                <w:szCs w:val="16"/>
              </w:rPr>
              <w:t xml:space="preserve">NIST CSF</w:t>
            </w:r>
          </w:p>
          <w:p>
            <w:pPr>
              <w:spacing w:after="0" w:before="0"/>
              <w:jc w:val="center"/>
            </w:pPr>
            <w:r>
              <w:rPr>
                <w:rFonts w:ascii="Arial" w:cs="Arial" w:eastAsia="Arial" w:hAnsi="Arial"/>
                <w:b/>
                <w:bCs/>
                <w:color w:val="FFFFFF"/>
                <w:sz w:val="24"/>
                <w:szCs w:val="24"/>
              </w:rPr>
              <w:t xml:space="preserve">Protect</w:t>
            </w:r>
          </w:p>
        </w:tc>
      </w:tr>
    </w:tbl>
    <w:p>
      <w:pPr>
        <w:spacing w:after="60" w:before="160"/>
      </w:pPr>
      <w:r>
        <w:rPr>
          <w:rFonts w:ascii="Arial" w:cs="Arial" w:eastAsia="Arial" w:hAnsi="Arial"/>
          <w:b/>
          <w:bCs/>
          <w:i w:val="false"/>
          <w:iCs w:val="false"/>
          <w:color w:val="4A5568"/>
          <w:sz w:val="20"/>
          <w:szCs w:val="20"/>
        </w:rPr>
        <w:t xml:space="preserve">Incident summary</w:t>
      </w:r>
    </w:p>
    <w:p>
      <w:pPr>
        <w:pBdr>
          <w:left w:val="single" w:color="1D7874" w:sz="12"/>
        </w:pBdr>
        <w:spacing w:after="120" w:before="0"/>
        <w:ind w:left="200"/>
      </w:pPr>
      <w:r>
        <w:rPr>
          <w:rFonts w:ascii="Arial" w:cs="Arial" w:eastAsia="Arial" w:hAnsi="Arial"/>
          <w:b w:val="false"/>
          <w:bCs w:val="false"/>
          <w:i/>
          <w:iCs/>
          <w:color w:val="1A202C"/>
          <w:sz w:val="21"/>
          <w:szCs w:val="21"/>
        </w:rPr>
        <w:t xml:space="preserve">Attackers gained entry via an HVAC vendor's network credentials, then moved laterally through a flat network to reach POS systems and exfiltrate 40 million credit card numbers.</w:t>
      </w:r>
    </w:p>
    <w:p>
      <w:pPr>
        <w:spacing w:after="40" w:before="60"/>
      </w:pPr>
      <w:r>
        <w:rPr>
          <w:rFonts w:ascii="Arial" w:cs="Arial" w:eastAsia="Arial" w:hAnsi="Arial"/>
          <w:b/>
          <w:bCs/>
          <w:i w:val="false"/>
          <w:iCs w:val="false"/>
          <w:color w:val="1A202C"/>
          <w:sz w:val="20"/>
          <w:szCs w:val="20"/>
        </w:rPr>
        <w:t xml:space="preserve">Root cause: </w:t>
      </w:r>
      <w:r>
        <w:rPr>
          <w:rFonts w:ascii="Arial" w:cs="Arial" w:eastAsia="Arial" w:hAnsi="Arial"/>
          <w:b w:val="false"/>
          <w:bCs w:val="false"/>
          <w:i w:val="false"/>
          <w:iCs w:val="false"/>
          <w:color w:val="4A5568"/>
          <w:sz w:val="20"/>
          <w:szCs w:val="20"/>
        </w:rPr>
        <w:t xml:space="preserve">Third-party vendor granted excessive network access with no segmentation between vendor connectivity and POS infrastructure.</w:t>
      </w:r>
    </w:p>
    <w:p>
      <w:pPr>
        <w:spacing w:after="60" w:before="160"/>
      </w:pPr>
      <w:r>
        <w:rPr>
          <w:rFonts w:ascii="Arial" w:cs="Arial" w:eastAsia="Arial" w:hAnsi="Arial"/>
          <w:b/>
          <w:bCs/>
          <w:i w:val="false"/>
          <w:iCs w:val="false"/>
          <w:color w:val="4A5568"/>
          <w:sz w:val="20"/>
          <w:szCs w:val="20"/>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Financial cost</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$292 million total</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Records / scope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40M payment cards + 70M personal records</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Detection time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3 weeks</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Regulatory fine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$18.5 million multi-state settlement</w:t>
            </w:r>
          </w:p>
        </w:tc>
      </w:tr>
    </w:tbl>
    <w:p>
      <w:pPr>
        <w:spacing w:after="60" w:before="160"/>
      </w:pPr>
      <w:r>
        <w:rPr>
          <w:rFonts w:ascii="Arial" w:cs="Arial" w:eastAsia="Arial" w:hAnsi="Arial"/>
          <w:b/>
          <w:bCs/>
          <w:i w:val="false"/>
          <w:iCs w:val="false"/>
          <w:color w:val="4A5568"/>
          <w:sz w:val="20"/>
          <w:szCs w:val="20"/>
        </w:rPr>
        <w:t xml:space="preserve">NIST CSF subcategory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87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PR.AC-3 — Remote access not managed</w:t>
            </w:r>
          </w:p>
        </w:tc>
      </w:tr>
      <w:tr>
        <w:tc>
          <w:tcPr>
            <w:tcW w:type="dxa" w:w="9360"/>
            <w:tcBorders>
              <w:top w:val="none" w:color="FFFFFF" w:sz="0"/>
              <w:left w:val="single" w:color="1D787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PR.AC-5 — Network integrity not protected</w:t>
            </w:r>
          </w:p>
        </w:tc>
      </w:tr>
      <w:tr>
        <w:tc>
          <w:tcPr>
            <w:tcW w:type="dxa" w:w="9360"/>
            <w:tcBorders>
              <w:top w:val="none" w:color="FFFFFF" w:sz="0"/>
              <w:left w:val="single" w:color="1D787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PR.PT-4 — Communications and control networks not protected</w:t>
            </w:r>
          </w:p>
        </w:tc>
      </w:tr>
      <w:tr>
        <w:tc>
          <w:tcPr>
            <w:tcW w:type="dxa" w:w="9360"/>
            <w:tcBorders>
              <w:top w:val="none" w:color="FFFFFF" w:sz="0"/>
              <w:left w:val="single" w:color="1D7874"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PR.AC-4 — Access permissions not managed incorporating least privilege</w:t>
            </w:r>
          </w:p>
        </w:tc>
      </w:tr>
    </w:tbl>
    <w:p>
      <w:pPr>
        <w:spacing w:after="60" w:before="160"/>
      </w:pPr>
      <w:r>
        <w:rPr>
          <w:rFonts w:ascii="Arial" w:cs="Arial" w:eastAsia="Arial" w:hAnsi="Arial"/>
          <w:b/>
          <w:bCs/>
          <w:i w:val="false"/>
          <w:iCs w:val="false"/>
          <w:color w:val="4A5568"/>
          <w:sz w:val="20"/>
          <w:szCs w:val="20"/>
        </w:rPr>
        <w:t xml:space="preserve">What failed — root cause analysis</w:t>
      </w:r>
    </w:p>
    <w:p>
      <w:pPr>
        <w:pStyle w:val="ListParagraph"/>
        <w:numPr>
          <w:ilvl w:val="0"/>
          <w:numId w:val="2"/>
        </w:numPr>
        <w:spacing w:after="40" w:before="40"/>
      </w:pPr>
      <w:r>
        <w:rPr>
          <w:rFonts w:ascii="Arial" w:cs="Arial" w:eastAsia="Arial" w:hAnsi="Arial"/>
          <w:color w:val="1A202C"/>
          <w:sz w:val="22"/>
          <w:szCs w:val="22"/>
        </w:rPr>
        <w:t xml:space="preserve">HVAC vendor (Fazio Mechanical) given persistent network credentials with no time-limited access</w:t>
      </w:r>
    </w:p>
    <w:p>
      <w:pPr>
        <w:pStyle w:val="ListParagraph"/>
        <w:numPr>
          <w:ilvl w:val="0"/>
          <w:numId w:val="2"/>
        </w:numPr>
        <w:spacing w:after="40" w:before="40"/>
      </w:pPr>
      <w:r>
        <w:rPr>
          <w:rFonts w:ascii="Arial" w:cs="Arial" w:eastAsia="Arial" w:hAnsi="Arial"/>
          <w:color w:val="1A202C"/>
          <w:sz w:val="22"/>
          <w:szCs w:val="22"/>
        </w:rPr>
        <w:t xml:space="preserve">Corporate network and POS network were completely flat — no segmentation whatsoever</w:t>
      </w:r>
    </w:p>
    <w:p>
      <w:pPr>
        <w:pStyle w:val="ListParagraph"/>
        <w:numPr>
          <w:ilvl w:val="0"/>
          <w:numId w:val="2"/>
        </w:numPr>
        <w:spacing w:after="40" w:before="40"/>
      </w:pPr>
      <w:r>
        <w:rPr>
          <w:rFonts w:ascii="Arial" w:cs="Arial" w:eastAsia="Arial" w:hAnsi="Arial"/>
          <w:color w:val="1A202C"/>
          <w:sz w:val="22"/>
          <w:szCs w:val="22"/>
        </w:rPr>
        <w:t xml:space="preserve">FireEye security alerts were noticed by the security team but not actioned</w:t>
      </w:r>
    </w:p>
    <w:p>
      <w:pPr>
        <w:pStyle w:val="ListParagraph"/>
        <w:numPr>
          <w:ilvl w:val="0"/>
          <w:numId w:val="2"/>
        </w:numPr>
        <w:spacing w:after="40" w:before="40"/>
      </w:pPr>
      <w:r>
        <w:rPr>
          <w:rFonts w:ascii="Arial" w:cs="Arial" w:eastAsia="Arial" w:hAnsi="Arial"/>
          <w:color w:val="1A202C"/>
          <w:sz w:val="22"/>
          <w:szCs w:val="22"/>
        </w:rPr>
        <w:t xml:space="preserve">No privileged access management — vendor credentials allowed broad lateral movement</w:t>
      </w:r>
    </w:p>
    <w:p>
      <w:pPr>
        <w:pStyle w:val="ListParagraph"/>
        <w:numPr>
          <w:ilvl w:val="0"/>
          <w:numId w:val="2"/>
        </w:numPr>
        <w:spacing w:after="40" w:before="40"/>
      </w:pPr>
      <w:r>
        <w:rPr>
          <w:rFonts w:ascii="Arial" w:cs="Arial" w:eastAsia="Arial" w:hAnsi="Arial"/>
          <w:color w:val="1A202C"/>
          <w:sz w:val="22"/>
          <w:szCs w:val="22"/>
        </w:rPr>
        <w:t xml:space="preserve">Card data not encrypted at the POS terminal — captured in clear text during transmission</w:t>
      </w:r>
    </w:p>
    <w:p>
      <w:pPr>
        <w:spacing w:after="60" w:before="160"/>
      </w:pPr>
      <w:r>
        <w:rPr>
          <w:rFonts w:ascii="Arial" w:cs="Arial" w:eastAsia="Arial" w:hAnsi="Arial"/>
          <w:b/>
          <w:bCs/>
          <w:i w:val="false"/>
          <w:iCs w:val="false"/>
          <w:color w:val="4A5568"/>
          <w:sz w:val="20"/>
          <w:szCs w:val="20"/>
        </w:rPr>
        <w:t xml:space="preserve">Lessons learned &amp; NIST control recommendations</w:t>
      </w:r>
    </w:p>
    <w:p>
      <w:pPr>
        <w:pStyle w:val="ListParagraph"/>
        <w:numPr>
          <w:ilvl w:val="0"/>
          <w:numId w:val="3"/>
        </w:numPr>
        <w:spacing w:after="40" w:before="40"/>
      </w:pPr>
      <w:r>
        <w:rPr>
          <w:rFonts w:ascii="Arial" w:cs="Arial" w:eastAsia="Arial" w:hAnsi="Arial"/>
          <w:color w:val="1A202C"/>
          <w:sz w:val="22"/>
          <w:szCs w:val="22"/>
        </w:rPr>
        <w:t xml:space="preserve">Segment POS / OT networks from corporate IT using VLANs, firewalls, and micro-segmentation</w:t>
      </w:r>
    </w:p>
    <w:p>
      <w:pPr>
        <w:pStyle w:val="ListParagraph"/>
        <w:numPr>
          <w:ilvl w:val="0"/>
          <w:numId w:val="3"/>
        </w:numPr>
        <w:spacing w:after="40" w:before="40"/>
      </w:pPr>
      <w:r>
        <w:rPr>
          <w:rFonts w:ascii="Arial" w:cs="Arial" w:eastAsia="Arial" w:hAnsi="Arial"/>
          <w:color w:val="1A202C"/>
          <w:sz w:val="22"/>
          <w:szCs w:val="22"/>
        </w:rPr>
        <w:t xml:space="preserve">Apply zero-trust principles to all third-party vendor access — use just-in-time (JIT) credentials</w:t>
      </w:r>
    </w:p>
    <w:p>
      <w:pPr>
        <w:pStyle w:val="ListParagraph"/>
        <w:numPr>
          <w:ilvl w:val="0"/>
          <w:numId w:val="3"/>
        </w:numPr>
        <w:spacing w:after="40" w:before="40"/>
      </w:pPr>
      <w:r>
        <w:rPr>
          <w:rFonts w:ascii="Arial" w:cs="Arial" w:eastAsia="Arial" w:hAnsi="Arial"/>
          <w:color w:val="1A202C"/>
          <w:sz w:val="22"/>
          <w:szCs w:val="22"/>
        </w:rPr>
        <w:t xml:space="preserve">Implement a formal vendor access review process — who has access, to what, and why?</w:t>
      </w:r>
    </w:p>
    <w:p>
      <w:pPr>
        <w:pStyle w:val="ListParagraph"/>
        <w:numPr>
          <w:ilvl w:val="0"/>
          <w:numId w:val="3"/>
        </w:numPr>
        <w:spacing w:after="40" w:before="40"/>
      </w:pPr>
      <w:r>
        <w:rPr>
          <w:rFonts w:ascii="Arial" w:cs="Arial" w:eastAsia="Arial" w:hAnsi="Arial"/>
          <w:color w:val="1A202C"/>
          <w:sz w:val="22"/>
          <w:szCs w:val="22"/>
        </w:rPr>
        <w:t xml:space="preserve">Require point-to-point encryption (P2PE) on all POS terminals to render intercepted card data useless</w:t>
      </w:r>
    </w:p>
    <w:p>
      <w:pPr>
        <w:pStyle w:val="ListParagraph"/>
        <w:numPr>
          <w:ilvl w:val="0"/>
          <w:numId w:val="3"/>
        </w:numPr>
        <w:spacing w:after="40" w:before="40"/>
      </w:pPr>
      <w:r>
        <w:rPr>
          <w:rFonts w:ascii="Arial" w:cs="Arial" w:eastAsia="Arial" w:hAnsi="Arial"/>
          <w:color w:val="1A202C"/>
          <w:sz w:val="22"/>
          <w:szCs w:val="22"/>
        </w:rPr>
        <w:t xml:space="preserve">Configure SIEM alert escalation paths — an alert that is seen but not actioned is worse than no alert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7874" w:sz="4"/>
              <w:left w:val="single" w:color="1D7874" w:sz="4"/>
              <w:bottom w:val="single" w:color="1D7874" w:sz="4"/>
              <w:right w:val="single" w:color="1D7874" w:sz="4"/>
            </w:tcBorders>
            <w:shd w:fill="E6F7F4" w:val="clear"/>
            <w:tcMar>
              <w:top w:type="dxa" w:w="160"/>
              <w:left w:type="dxa" w:w="200"/>
              <w:bottom w:type="dxa" w:w="160"/>
              <w:right w:type="dxa" w:w="200"/>
            </w:tcMar>
          </w:tcPr>
          <w:p>
            <w:pPr>
              <w:spacing w:after="80" w:before="0"/>
            </w:pPr>
            <w:r>
              <w:rPr>
                <w:rFonts w:ascii="Arial" w:cs="Arial" w:eastAsia="Arial" w:hAnsi="Arial"/>
                <w:b/>
                <w:bCs/>
                <w:i w:val="false"/>
                <w:iCs w:val="false"/>
                <w:color w:val="0D4A47"/>
                <w:sz w:val="20"/>
                <w:szCs w:val="20"/>
              </w:rPr>
              <w:t xml:space="preserve">Capstone analysis question</w:t>
            </w:r>
          </w:p>
          <w:p>
            <w:pPr>
              <w:spacing w:after="120" w:before="0"/>
            </w:pPr>
            <w:r>
              <w:rPr>
                <w:rFonts w:ascii="Arial" w:cs="Arial" w:eastAsia="Arial" w:hAnsi="Arial"/>
                <w:b w:val="false"/>
                <w:bCs w:val="false"/>
                <w:i/>
                <w:iCs/>
                <w:color w:val="0D4A47"/>
                <w:sz w:val="20"/>
                <w:szCs w:val="20"/>
              </w:rPr>
              <w:t xml:space="preserve">How would PR.AC-5 network integrity controls have contained the Target breach?</w:t>
            </w:r>
          </w:p>
          <w:p>
            <w:pPr>
              <w:spacing w:after="0" w:before="0"/>
            </w:pPr>
            <w:r>
              <w:rPr>
                <w:rFonts w:ascii="Arial" w:cs="Arial" w:eastAsia="Arial" w:hAnsi="Arial"/>
                <w:b w:val="false"/>
                <w:bCs w:val="false"/>
                <w:i w:val="false"/>
                <w:iCs w:val="false"/>
                <w:color w:val="4A5568"/>
                <w:sz w:val="20"/>
                <w:szCs w:val="20"/>
              </w:rPr>
              <w:t xml:space="preserve">Proper network segmentation (PR.AC-5) would have isolated the HVAC vendor's network access to only the HVAC control system. Even with compromised credentials, the attacker could not have reached the POS network. The breach would have been limited to HVAC data — not 40 million credit cards.</w:t>
            </w:r>
          </w:p>
        </w:tc>
      </w:tr>
    </w:tbl>
    <w:p>
      <w:pPr>
        <w:pBdr>
          <w:bottom w:val="single" w:color="E8ECF0"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B27" w:sz="6"/>
              <w:left w:val="single" w:color="D46B27" w:sz="6"/>
              <w:bottom w:val="single" w:color="D46B27" w:sz="6"/>
              <w:right w:val="single" w:color="D46B27" w:sz="6"/>
            </w:tcBorders>
            <w:shd w:fill="FFF8ED" w:val="clear"/>
            <w:tcMar>
              <w:top w:type="dxa" w:w="200"/>
              <w:left w:type="dxa" w:w="240"/>
              <w:bottom w:type="dxa" w:w="200"/>
              <w:right w:type="dxa" w:w="240"/>
            </w:tcMar>
          </w:tcPr>
          <w:p>
            <w:pPr>
              <w:spacing w:after="80" w:before="0"/>
            </w:pPr>
            <w:r>
              <w:rPr>
                <w:rFonts w:ascii="Arial" w:cs="Arial" w:eastAsia="Arial" w:hAnsi="Arial"/>
                <w:b/>
                <w:bCs/>
                <w:color w:val="7A3D12"/>
                <w:sz w:val="32"/>
                <w:szCs w:val="32"/>
              </w:rPr>
              <w:t xml:space="preserve">Function 3: Detect (DE)</w:t>
            </w:r>
          </w:p>
          <w:p>
            <w:pPr>
              <w:spacing w:after="0" w:before="0"/>
            </w:pPr>
            <w:r>
              <w:rPr>
                <w:rFonts w:ascii="Arial" w:cs="Arial" w:eastAsia="Arial" w:hAnsi="Arial"/>
                <w:i/>
                <w:iCs/>
                <w:color w:val="7A3D12"/>
                <w:sz w:val="20"/>
                <w:szCs w:val="20"/>
              </w:rPr>
              <w:t xml:space="preserve">Develop and implement appropriate activities to identify the occurrence of a cybersecurity event.</w:t>
            </w:r>
          </w:p>
        </w:tc>
      </w:tr>
    </w:tbl>
    <w:p>
      <w:pPr>
        <w:spacing w:after="0" w:before="120"/>
      </w:pPr>
    </w:p>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6B27" w:sz="8"/>
              <w:left w:val="single" w:color="D46B27" w:sz="8"/>
              <w:bottom w:val="single" w:color="D46B27" w:sz="8"/>
              <w:right w:val="none" w:color="FFFFFF" w:sz="0"/>
            </w:tcBorders>
            <w:shd w:fill="FFF8ED" w:val="clear"/>
            <w:tcMar>
              <w:top w:type="dxa" w:w="120"/>
              <w:left w:type="dxa" w:w="180"/>
              <w:bottom w:type="dxa" w:w="120"/>
              <w:right w:type="dxa" w:w="120"/>
            </w:tcMar>
          </w:tcPr>
          <w:p>
            <w:pPr>
              <w:spacing w:after="40" w:before="0"/>
            </w:pPr>
            <w:r>
              <w:rPr>
                <w:rFonts w:ascii="Arial" w:cs="Arial" w:eastAsia="Arial" w:hAnsi="Arial"/>
                <w:b/>
                <w:bCs/>
                <w:color w:val="7A3D12"/>
                <w:sz w:val="28"/>
                <w:szCs w:val="28"/>
              </w:rPr>
              <w:t xml:space="preserve">Case Study 5: Marriott / Starwood</w:t>
            </w:r>
          </w:p>
          <w:p>
            <w:pPr>
              <w:spacing w:after="0" w:before="0"/>
            </w:pPr>
            <w:r>
              <w:rPr>
                <w:rFonts w:ascii="Arial" w:cs="Arial" w:eastAsia="Arial" w:hAnsi="Arial"/>
                <w:color w:val="D46B27"/>
                <w:sz w:val="18"/>
                <w:szCs w:val="18"/>
              </w:rPr>
              <w:t xml:space="preserve">Hospitality · 2018</w:t>
            </w:r>
          </w:p>
        </w:tc>
        <w:tc>
          <w:tcPr>
            <w:tcW w:type="dxa" w:w="2160"/>
            <w:tcBorders>
              <w:top w:val="single" w:color="D46B27" w:sz="8"/>
              <w:left w:val="none" w:color="FFFFFF" w:sz="0"/>
              <w:bottom w:val="single" w:color="D46B27" w:sz="8"/>
              <w:right w:val="single" w:color="D46B27" w:sz="8"/>
            </w:tcBorders>
            <w:shd w:fill="D46B27" w:val="clear"/>
            <w:tcMar>
              <w:top w:type="dxa" w:w="60"/>
              <w:left w:type="dxa" w:w="60"/>
              <w:bottom w:type="dxa" w:w="60"/>
              <w:right w:type="dxa" w:w="60"/>
            </w:tcMar>
            <w:vAlign w:val="center"/>
          </w:tcPr>
          <w:p>
            <w:pPr>
              <w:spacing w:after="20" w:before="0"/>
              <w:jc w:val="center"/>
            </w:pPr>
            <w:r>
              <w:rPr>
                <w:rFonts w:ascii="Arial" w:cs="Arial" w:eastAsia="Arial" w:hAnsi="Arial"/>
                <w:color w:val="FFFFFF"/>
                <w:sz w:val="16"/>
                <w:szCs w:val="16"/>
              </w:rPr>
              <w:t xml:space="preserve">NIST CSF</w:t>
            </w:r>
          </w:p>
          <w:p>
            <w:pPr>
              <w:spacing w:after="0" w:before="0"/>
              <w:jc w:val="center"/>
            </w:pPr>
            <w:r>
              <w:rPr>
                <w:rFonts w:ascii="Arial" w:cs="Arial" w:eastAsia="Arial" w:hAnsi="Arial"/>
                <w:b/>
                <w:bCs/>
                <w:color w:val="FFFFFF"/>
                <w:sz w:val="24"/>
                <w:szCs w:val="24"/>
              </w:rPr>
              <w:t xml:space="preserve">Detect</w:t>
            </w:r>
          </w:p>
        </w:tc>
      </w:tr>
    </w:tbl>
    <w:p>
      <w:pPr>
        <w:spacing w:after="60" w:before="160"/>
      </w:pPr>
      <w:r>
        <w:rPr>
          <w:rFonts w:ascii="Arial" w:cs="Arial" w:eastAsia="Arial" w:hAnsi="Arial"/>
          <w:b/>
          <w:bCs/>
          <w:i w:val="false"/>
          <w:iCs w:val="false"/>
          <w:color w:val="4A5568"/>
          <w:sz w:val="20"/>
          <w:szCs w:val="20"/>
        </w:rPr>
        <w:t xml:space="preserve">Incident summary</w:t>
      </w:r>
    </w:p>
    <w:p>
      <w:pPr>
        <w:pBdr>
          <w:left w:val="single" w:color="D46B27" w:sz="12"/>
        </w:pBdr>
        <w:spacing w:after="120" w:before="0"/>
        <w:ind w:left="200"/>
      </w:pPr>
      <w:r>
        <w:rPr>
          <w:rFonts w:ascii="Arial" w:cs="Arial" w:eastAsia="Arial" w:hAnsi="Arial"/>
          <w:b w:val="false"/>
          <w:bCs w:val="false"/>
          <w:i/>
          <w:iCs/>
          <w:color w:val="1A202C"/>
          <w:sz w:val="21"/>
          <w:szCs w:val="21"/>
        </w:rPr>
        <w:t xml:space="preserve">Attackers present in Starwood's network since 2014 — four years before discovery — exfiltrated 500 million guest records including passport numbers and encrypted payment cards.</w:t>
      </w:r>
    </w:p>
    <w:p>
      <w:pPr>
        <w:spacing w:after="40" w:before="60"/>
      </w:pPr>
      <w:r>
        <w:rPr>
          <w:rFonts w:ascii="Arial" w:cs="Arial" w:eastAsia="Arial" w:hAnsi="Arial"/>
          <w:b/>
          <w:bCs/>
          <w:i w:val="false"/>
          <w:iCs w:val="false"/>
          <w:color w:val="1A202C"/>
          <w:sz w:val="20"/>
          <w:szCs w:val="20"/>
        </w:rPr>
        <w:t xml:space="preserve">Root cause: </w:t>
      </w:r>
      <w:r>
        <w:rPr>
          <w:rFonts w:ascii="Arial" w:cs="Arial" w:eastAsia="Arial" w:hAnsi="Arial"/>
          <w:b w:val="false"/>
          <w:bCs w:val="false"/>
          <w:i w:val="false"/>
          <w:iCs w:val="false"/>
          <w:color w:val="4A5568"/>
          <w:sz w:val="20"/>
          <w:szCs w:val="20"/>
        </w:rPr>
        <w:t xml:space="preserve">Starwood's network was not adequately assessed prior to Marriott's 2016 acquisition. No monitoring baseline was established, allowing attackers to blend into normal traffic for years.</w:t>
      </w:r>
    </w:p>
    <w:p>
      <w:pPr>
        <w:spacing w:after="60" w:before="160"/>
      </w:pPr>
      <w:r>
        <w:rPr>
          <w:rFonts w:ascii="Arial" w:cs="Arial" w:eastAsia="Arial" w:hAnsi="Arial"/>
          <w:b/>
          <w:bCs/>
          <w:i w:val="false"/>
          <w:iCs w:val="false"/>
          <w:color w:val="4A5568"/>
          <w:sz w:val="20"/>
          <w:szCs w:val="20"/>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Financial cost</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$124 million GDPR fine</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Records / scope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500 million guests</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Detection time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4 years undetected</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Regulatory fine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£18.4 million ICO fine (UK)</w:t>
            </w:r>
          </w:p>
        </w:tc>
      </w:tr>
    </w:tbl>
    <w:p>
      <w:pPr>
        <w:spacing w:after="60" w:before="160"/>
      </w:pPr>
      <w:r>
        <w:rPr>
          <w:rFonts w:ascii="Arial" w:cs="Arial" w:eastAsia="Arial" w:hAnsi="Arial"/>
          <w:b/>
          <w:bCs/>
          <w:i w:val="false"/>
          <w:iCs w:val="false"/>
          <w:color w:val="4A5568"/>
          <w:sz w:val="20"/>
          <w:szCs w:val="20"/>
        </w:rPr>
        <w:t xml:space="preserve">NIST CSF subcategory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6B27"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DE.CM-1 — Network monitoring not performed</w:t>
            </w:r>
          </w:p>
        </w:tc>
      </w:tr>
      <w:tr>
        <w:tc>
          <w:tcPr>
            <w:tcW w:type="dxa" w:w="9360"/>
            <w:tcBorders>
              <w:top w:val="none" w:color="FFFFFF" w:sz="0"/>
              <w:left w:val="single" w:color="D46B27"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DE.AE-3 — Event data not aggregated and correlated</w:t>
            </w:r>
          </w:p>
        </w:tc>
      </w:tr>
      <w:tr>
        <w:tc>
          <w:tcPr>
            <w:tcW w:type="dxa" w:w="9360"/>
            <w:tcBorders>
              <w:top w:val="none" w:color="FFFFFF" w:sz="0"/>
              <w:left w:val="single" w:color="D46B27"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DE.CM-7 — Monitoring for unauthorised personnel and devices absent</w:t>
            </w:r>
          </w:p>
        </w:tc>
      </w:tr>
      <w:tr>
        <w:tc>
          <w:tcPr>
            <w:tcW w:type="dxa" w:w="9360"/>
            <w:tcBorders>
              <w:top w:val="none" w:color="FFFFFF" w:sz="0"/>
              <w:left w:val="single" w:color="D46B27"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DE.AE-5 — Incident alert thresholds not established</w:t>
            </w:r>
          </w:p>
        </w:tc>
      </w:tr>
    </w:tbl>
    <w:p>
      <w:pPr>
        <w:spacing w:after="60" w:before="160"/>
      </w:pPr>
      <w:r>
        <w:rPr>
          <w:rFonts w:ascii="Arial" w:cs="Arial" w:eastAsia="Arial" w:hAnsi="Arial"/>
          <w:b/>
          <w:bCs/>
          <w:i w:val="false"/>
          <w:iCs w:val="false"/>
          <w:color w:val="4A5568"/>
          <w:sz w:val="20"/>
          <w:szCs w:val="20"/>
        </w:rPr>
        <w:t xml:space="preserve">What failed — root cause analysis</w:t>
      </w:r>
    </w:p>
    <w:p>
      <w:pPr>
        <w:pStyle w:val="ListParagraph"/>
        <w:numPr>
          <w:ilvl w:val="0"/>
          <w:numId w:val="2"/>
        </w:numPr>
        <w:spacing w:after="40" w:before="40"/>
      </w:pPr>
      <w:r>
        <w:rPr>
          <w:rFonts w:ascii="Arial" w:cs="Arial" w:eastAsia="Arial" w:hAnsi="Arial"/>
          <w:color w:val="1A202C"/>
          <w:sz w:val="22"/>
          <w:szCs w:val="22"/>
        </w:rPr>
        <w:t xml:space="preserve">No comprehensive monitoring baseline — attackers' activity blended into normal traffic patterns</w:t>
      </w:r>
    </w:p>
    <w:p>
      <w:pPr>
        <w:pStyle w:val="ListParagraph"/>
        <w:numPr>
          <w:ilvl w:val="0"/>
          <w:numId w:val="2"/>
        </w:numPr>
        <w:spacing w:after="40" w:before="40"/>
      </w:pPr>
      <w:r>
        <w:rPr>
          <w:rFonts w:ascii="Arial" w:cs="Arial" w:eastAsia="Arial" w:hAnsi="Arial"/>
          <w:color w:val="1A202C"/>
          <w:sz w:val="22"/>
          <w:szCs w:val="22"/>
        </w:rPr>
        <w:t xml:space="preserve">SIEM did not correlate cross-system anomalies to surface the intrusion</w:t>
      </w:r>
    </w:p>
    <w:p>
      <w:pPr>
        <w:pStyle w:val="ListParagraph"/>
        <w:numPr>
          <w:ilvl w:val="0"/>
          <w:numId w:val="2"/>
        </w:numPr>
        <w:spacing w:after="40" w:before="40"/>
      </w:pPr>
      <w:r>
        <w:rPr>
          <w:rFonts w:ascii="Arial" w:cs="Arial" w:eastAsia="Arial" w:hAnsi="Arial"/>
          <w:color w:val="1A202C"/>
          <w:sz w:val="22"/>
          <w:szCs w:val="22"/>
        </w:rPr>
        <w:t xml:space="preserve">M&amp;A cybersecurity due diligence did not include a full network compromise assessment</w:t>
      </w:r>
    </w:p>
    <w:p>
      <w:pPr>
        <w:pStyle w:val="ListParagraph"/>
        <w:numPr>
          <w:ilvl w:val="0"/>
          <w:numId w:val="2"/>
        </w:numPr>
        <w:spacing w:after="40" w:before="40"/>
      </w:pPr>
      <w:r>
        <w:rPr>
          <w:rFonts w:ascii="Arial" w:cs="Arial" w:eastAsia="Arial" w:hAnsi="Arial"/>
          <w:color w:val="1A202C"/>
          <w:sz w:val="22"/>
          <w:szCs w:val="22"/>
        </w:rPr>
        <w:t xml:space="preserve">No user and entity behaviour analytics (UEBA) to detect credential misuse</w:t>
      </w:r>
    </w:p>
    <w:p>
      <w:pPr>
        <w:pStyle w:val="ListParagraph"/>
        <w:numPr>
          <w:ilvl w:val="0"/>
          <w:numId w:val="2"/>
        </w:numPr>
        <w:spacing w:after="40" w:before="40"/>
      </w:pPr>
      <w:r>
        <w:rPr>
          <w:rFonts w:ascii="Arial" w:cs="Arial" w:eastAsia="Arial" w:hAnsi="Arial"/>
          <w:color w:val="1A202C"/>
          <w:sz w:val="22"/>
          <w:szCs w:val="22"/>
        </w:rPr>
        <w:t xml:space="preserve">Attackers used legitimate Starwood administrator credentials, evading signature-based detection</w:t>
      </w:r>
    </w:p>
    <w:p>
      <w:pPr>
        <w:spacing w:after="60" w:before="160"/>
      </w:pPr>
      <w:r>
        <w:rPr>
          <w:rFonts w:ascii="Arial" w:cs="Arial" w:eastAsia="Arial" w:hAnsi="Arial"/>
          <w:b/>
          <w:bCs/>
          <w:i w:val="false"/>
          <w:iCs w:val="false"/>
          <w:color w:val="4A5568"/>
          <w:sz w:val="20"/>
          <w:szCs w:val="20"/>
        </w:rPr>
        <w:t xml:space="preserve">Lessons learned &amp; NIST control recommendations</w:t>
      </w:r>
    </w:p>
    <w:p>
      <w:pPr>
        <w:pStyle w:val="ListParagraph"/>
        <w:numPr>
          <w:ilvl w:val="0"/>
          <w:numId w:val="3"/>
        </w:numPr>
        <w:spacing w:after="40" w:before="40"/>
      </w:pPr>
      <w:r>
        <w:rPr>
          <w:rFonts w:ascii="Arial" w:cs="Arial" w:eastAsia="Arial" w:hAnsi="Arial"/>
          <w:color w:val="1A202C"/>
          <w:sz w:val="22"/>
          <w:szCs w:val="22"/>
        </w:rPr>
        <w:t xml:space="preserve">Treat M&amp;A as a cybersecurity event — commission a full compromise assessment before network integration</w:t>
      </w:r>
    </w:p>
    <w:p>
      <w:pPr>
        <w:pStyle w:val="ListParagraph"/>
        <w:numPr>
          <w:ilvl w:val="0"/>
          <w:numId w:val="3"/>
        </w:numPr>
        <w:spacing w:after="40" w:before="40"/>
      </w:pPr>
      <w:r>
        <w:rPr>
          <w:rFonts w:ascii="Arial" w:cs="Arial" w:eastAsia="Arial" w:hAnsi="Arial"/>
          <w:color w:val="1A202C"/>
          <w:sz w:val="22"/>
          <w:szCs w:val="22"/>
        </w:rPr>
        <w:t xml:space="preserve">Establish a monitoring baseline before any M&amp;A integration commences</w:t>
      </w:r>
    </w:p>
    <w:p>
      <w:pPr>
        <w:pStyle w:val="ListParagraph"/>
        <w:numPr>
          <w:ilvl w:val="0"/>
          <w:numId w:val="3"/>
        </w:numPr>
        <w:spacing w:after="40" w:before="40"/>
      </w:pPr>
      <w:r>
        <w:rPr>
          <w:rFonts w:ascii="Arial" w:cs="Arial" w:eastAsia="Arial" w:hAnsi="Arial"/>
          <w:color w:val="1A202C"/>
          <w:sz w:val="22"/>
          <w:szCs w:val="22"/>
        </w:rPr>
        <w:t xml:space="preserve">Deploy UEBA (Splunk UBA, Microsoft Sentinel) to detect slow-burn intrusions via behavioural anomaly</w:t>
      </w:r>
    </w:p>
    <w:p>
      <w:pPr>
        <w:pStyle w:val="ListParagraph"/>
        <w:numPr>
          <w:ilvl w:val="0"/>
          <w:numId w:val="3"/>
        </w:numPr>
        <w:spacing w:after="40" w:before="40"/>
      </w:pPr>
      <w:r>
        <w:rPr>
          <w:rFonts w:ascii="Arial" w:cs="Arial" w:eastAsia="Arial" w:hAnsi="Arial"/>
          <w:color w:val="1A202C"/>
          <w:sz w:val="22"/>
          <w:szCs w:val="22"/>
        </w:rPr>
        <w:t xml:space="preserve">Implement network traffic analysis (NTA) to identify unusual data staging and exfiltration</w:t>
      </w:r>
    </w:p>
    <w:p>
      <w:pPr>
        <w:pStyle w:val="ListParagraph"/>
        <w:numPr>
          <w:ilvl w:val="0"/>
          <w:numId w:val="3"/>
        </w:numPr>
        <w:spacing w:after="40" w:before="40"/>
      </w:pPr>
      <w:r>
        <w:rPr>
          <w:rFonts w:ascii="Arial" w:cs="Arial" w:eastAsia="Arial" w:hAnsi="Arial"/>
          <w:color w:val="1A202C"/>
          <w:sz w:val="22"/>
          <w:szCs w:val="22"/>
        </w:rPr>
        <w:t xml:space="preserve">Set alert thresholds for large data queries, unusual login times, and off-network data transfers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B27" w:sz="4"/>
              <w:left w:val="single" w:color="D46B27" w:sz="4"/>
              <w:bottom w:val="single" w:color="D46B27" w:sz="4"/>
              <w:right w:val="single" w:color="D46B27" w:sz="4"/>
            </w:tcBorders>
            <w:shd w:fill="FFF8ED" w:val="clear"/>
            <w:tcMar>
              <w:top w:type="dxa" w:w="160"/>
              <w:left w:type="dxa" w:w="200"/>
              <w:bottom w:type="dxa" w:w="160"/>
              <w:right w:type="dxa" w:w="200"/>
            </w:tcMar>
          </w:tcPr>
          <w:p>
            <w:pPr>
              <w:spacing w:after="80" w:before="0"/>
            </w:pPr>
            <w:r>
              <w:rPr>
                <w:rFonts w:ascii="Arial" w:cs="Arial" w:eastAsia="Arial" w:hAnsi="Arial"/>
                <w:b/>
                <w:bCs/>
                <w:i w:val="false"/>
                <w:iCs w:val="false"/>
                <w:color w:val="7A3D12"/>
                <w:sz w:val="20"/>
                <w:szCs w:val="20"/>
              </w:rPr>
              <w:t xml:space="preserve">Capstone analysis question</w:t>
            </w:r>
          </w:p>
          <w:p>
            <w:pPr>
              <w:spacing w:after="120" w:before="0"/>
            </w:pPr>
            <w:r>
              <w:rPr>
                <w:rFonts w:ascii="Arial" w:cs="Arial" w:eastAsia="Arial" w:hAnsi="Arial"/>
                <w:b w:val="false"/>
                <w:bCs w:val="false"/>
                <w:i/>
                <w:iCs/>
                <w:color w:val="7A3D12"/>
                <w:sz w:val="20"/>
                <w:szCs w:val="20"/>
              </w:rPr>
              <w:t xml:space="preserve">What DE.CM continuous monitoring controls could have surfaced the Marriott intrusion within weeks, not years?</w:t>
            </w:r>
          </w:p>
          <w:p>
            <w:pPr>
              <w:spacing w:after="0" w:before="0"/>
            </w:pPr>
            <w:r>
              <w:rPr>
                <w:rFonts w:ascii="Arial" w:cs="Arial" w:eastAsia="Arial" w:hAnsi="Arial"/>
                <w:b w:val="false"/>
                <w:bCs w:val="false"/>
                <w:i w:val="false"/>
                <w:iCs w:val="false"/>
                <w:color w:val="4A5568"/>
                <w:sz w:val="20"/>
                <w:szCs w:val="20"/>
              </w:rPr>
              <w:t xml:space="preserve">DE.CM-1 (network monitoring) combined with DE.AE-3 (event correlation) would have flagged the volume of guest record queries and the staging behaviour as anomalous. UEBA would have identified that the administrator credentials were being used from unusual IP ranges and at unusual hours — both strong indicators of credential theft.</w:t>
            </w:r>
          </w:p>
        </w:tc>
      </w:tr>
    </w:tbl>
    <w:p>
      <w:pPr>
        <w:pBdr>
          <w:bottom w:val="single" w:color="E8ECF0"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200"/>
              <w:left w:type="dxa" w:w="240"/>
              <w:bottom w:type="dxa" w:w="200"/>
              <w:right w:type="dxa" w:w="240"/>
            </w:tcMar>
          </w:tcPr>
          <w:p>
            <w:pPr>
              <w:spacing w:after="80" w:before="0"/>
            </w:pPr>
            <w:r>
              <w:rPr>
                <w:rFonts w:ascii="Arial" w:cs="Arial" w:eastAsia="Arial" w:hAnsi="Arial"/>
                <w:b/>
                <w:bCs/>
                <w:color w:val="7B1A12"/>
                <w:sz w:val="32"/>
                <w:szCs w:val="32"/>
              </w:rPr>
              <w:t xml:space="preserve">Function 4: Respond (RS)</w:t>
            </w:r>
          </w:p>
          <w:p>
            <w:pPr>
              <w:spacing w:after="0" w:before="0"/>
            </w:pPr>
            <w:r>
              <w:rPr>
                <w:rFonts w:ascii="Arial" w:cs="Arial" w:eastAsia="Arial" w:hAnsi="Arial"/>
                <w:i/>
                <w:iCs/>
                <w:color w:val="7B1A12"/>
                <w:sz w:val="20"/>
                <w:szCs w:val="20"/>
              </w:rPr>
              <w:t xml:space="preserve">Develop and implement appropriate activities to take action regarding a detected cybersecurity incident.</w:t>
            </w:r>
          </w:p>
        </w:tc>
      </w:tr>
    </w:tbl>
    <w:p>
      <w:pPr>
        <w:spacing w:after="0" w:before="120"/>
      </w:pPr>
    </w:p>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0392B" w:sz="8"/>
              <w:left w:val="single" w:color="C0392B" w:sz="8"/>
              <w:bottom w:val="single" w:color="C0392B" w:sz="8"/>
              <w:right w:val="none" w:color="FFFFFF" w:sz="0"/>
            </w:tcBorders>
            <w:shd w:fill="FDECEA" w:val="clear"/>
            <w:tcMar>
              <w:top w:type="dxa" w:w="120"/>
              <w:left w:type="dxa" w:w="180"/>
              <w:bottom w:type="dxa" w:w="120"/>
              <w:right w:type="dxa" w:w="120"/>
            </w:tcMar>
          </w:tcPr>
          <w:p>
            <w:pPr>
              <w:spacing w:after="40" w:before="0"/>
            </w:pPr>
            <w:r>
              <w:rPr>
                <w:rFonts w:ascii="Arial" w:cs="Arial" w:eastAsia="Arial" w:hAnsi="Arial"/>
                <w:b/>
                <w:bCs/>
                <w:color w:val="7B1A12"/>
                <w:sz w:val="28"/>
                <w:szCs w:val="28"/>
              </w:rPr>
              <w:t xml:space="preserve">Case Study 6: Colonial Pipeline</w:t>
            </w:r>
          </w:p>
          <w:p>
            <w:pPr>
              <w:spacing w:after="0" w:before="0"/>
            </w:pPr>
            <w:r>
              <w:rPr>
                <w:rFonts w:ascii="Arial" w:cs="Arial" w:eastAsia="Arial" w:hAnsi="Arial"/>
                <w:color w:val="C0392B"/>
                <w:sz w:val="18"/>
                <w:szCs w:val="18"/>
              </w:rPr>
              <w:t xml:space="preserve">Critical infrastructure / Energy · 2021</w:t>
            </w:r>
          </w:p>
        </w:tc>
        <w:tc>
          <w:tcPr>
            <w:tcW w:type="dxa" w:w="2160"/>
            <w:tcBorders>
              <w:top w:val="single" w:color="C0392B" w:sz="8"/>
              <w:left w:val="none" w:color="FFFFFF" w:sz="0"/>
              <w:bottom w:val="single" w:color="C0392B" w:sz="8"/>
              <w:right w:val="single" w:color="C0392B" w:sz="8"/>
            </w:tcBorders>
            <w:shd w:fill="C0392B" w:val="clear"/>
            <w:tcMar>
              <w:top w:type="dxa" w:w="60"/>
              <w:left w:type="dxa" w:w="60"/>
              <w:bottom w:type="dxa" w:w="60"/>
              <w:right w:type="dxa" w:w="60"/>
            </w:tcMar>
            <w:vAlign w:val="center"/>
          </w:tcPr>
          <w:p>
            <w:pPr>
              <w:spacing w:after="20" w:before="0"/>
              <w:jc w:val="center"/>
            </w:pPr>
            <w:r>
              <w:rPr>
                <w:rFonts w:ascii="Arial" w:cs="Arial" w:eastAsia="Arial" w:hAnsi="Arial"/>
                <w:color w:val="FFFFFF"/>
                <w:sz w:val="16"/>
                <w:szCs w:val="16"/>
              </w:rPr>
              <w:t xml:space="preserve">NIST CSF</w:t>
            </w:r>
          </w:p>
          <w:p>
            <w:pPr>
              <w:spacing w:after="0" w:before="0"/>
              <w:jc w:val="center"/>
            </w:pPr>
            <w:r>
              <w:rPr>
                <w:rFonts w:ascii="Arial" w:cs="Arial" w:eastAsia="Arial" w:hAnsi="Arial"/>
                <w:b/>
                <w:bCs/>
                <w:color w:val="FFFFFF"/>
                <w:sz w:val="24"/>
                <w:szCs w:val="24"/>
              </w:rPr>
              <w:t xml:space="preserve">Respond</w:t>
            </w:r>
          </w:p>
        </w:tc>
      </w:tr>
    </w:tbl>
    <w:p>
      <w:pPr>
        <w:spacing w:after="60" w:before="160"/>
      </w:pPr>
      <w:r>
        <w:rPr>
          <w:rFonts w:ascii="Arial" w:cs="Arial" w:eastAsia="Arial" w:hAnsi="Arial"/>
          <w:b/>
          <w:bCs/>
          <w:i w:val="false"/>
          <w:iCs w:val="false"/>
          <w:color w:val="4A5568"/>
          <w:sz w:val="20"/>
          <w:szCs w:val="20"/>
        </w:rPr>
        <w:t xml:space="preserve">Incident summary</w:t>
      </w:r>
    </w:p>
    <w:p>
      <w:pPr>
        <w:pBdr>
          <w:left w:val="single" w:color="C0392B" w:sz="12"/>
        </w:pBdr>
        <w:spacing w:after="120" w:before="0"/>
        <w:ind w:left="200"/>
      </w:pPr>
      <w:r>
        <w:rPr>
          <w:rFonts w:ascii="Arial" w:cs="Arial" w:eastAsia="Arial" w:hAnsi="Arial"/>
          <w:b w:val="false"/>
          <w:bCs w:val="false"/>
          <w:i/>
          <w:iCs/>
          <w:color w:val="1A202C"/>
          <w:sz w:val="21"/>
          <w:szCs w:val="21"/>
        </w:rPr>
        <w:t xml:space="preserve">DarkSide ransomware encrypted Colonial's IT systems via a compromised VPN account with no MFA. Colonial shut down 5,500 miles of pipeline proactively for 6 days, causing US East Coast fuel shortages.</w:t>
      </w:r>
    </w:p>
    <w:p>
      <w:pPr>
        <w:spacing w:after="40" w:before="60"/>
      </w:pPr>
      <w:r>
        <w:rPr>
          <w:rFonts w:ascii="Arial" w:cs="Arial" w:eastAsia="Arial" w:hAnsi="Arial"/>
          <w:b/>
          <w:bCs/>
          <w:i w:val="false"/>
          <w:iCs w:val="false"/>
          <w:color w:val="1A202C"/>
          <w:sz w:val="20"/>
          <w:szCs w:val="20"/>
        </w:rPr>
        <w:t xml:space="preserve">Root cause: </w:t>
      </w:r>
      <w:r>
        <w:rPr>
          <w:rFonts w:ascii="Arial" w:cs="Arial" w:eastAsia="Arial" w:hAnsi="Arial"/>
          <w:b w:val="false"/>
          <w:bCs w:val="false"/>
          <w:i w:val="false"/>
          <w:iCs w:val="false"/>
          <w:color w:val="4A5568"/>
          <w:sz w:val="20"/>
          <w:szCs w:val="20"/>
        </w:rPr>
        <w:t xml:space="preserve">A single legacy VPN account with a weak password and no MFA was the initial access vector. No tested incident response plan existed for a ransomware scenario affecting OT-adjacent systems.</w:t>
      </w:r>
    </w:p>
    <w:p>
      <w:pPr>
        <w:spacing w:after="60" w:before="160"/>
      </w:pPr>
      <w:r>
        <w:rPr>
          <w:rFonts w:ascii="Arial" w:cs="Arial" w:eastAsia="Arial" w:hAnsi="Arial"/>
          <w:b/>
          <w:bCs/>
          <w:i w:val="false"/>
          <w:iCs w:val="false"/>
          <w:color w:val="4A5568"/>
          <w:sz w:val="20"/>
          <w:szCs w:val="20"/>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Financial cost</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$4.4 million ransom paid</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Records / scope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N/A — OT disruption</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Detection time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Rapid detection, slow response</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Regulatory fine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$1 million PHMSA civil penalty</w:t>
            </w:r>
          </w:p>
        </w:tc>
      </w:tr>
    </w:tbl>
    <w:p>
      <w:pPr>
        <w:spacing w:after="60" w:before="160"/>
      </w:pPr>
      <w:r>
        <w:rPr>
          <w:rFonts w:ascii="Arial" w:cs="Arial" w:eastAsia="Arial" w:hAnsi="Arial"/>
          <w:b/>
          <w:bCs/>
          <w:i w:val="false"/>
          <w:iCs w:val="false"/>
          <w:color w:val="4A5568"/>
          <w:sz w:val="20"/>
          <w:szCs w:val="20"/>
        </w:rPr>
        <w:t xml:space="preserve">NIST CSF subcategory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RS.RP-1 — Incident response plan not executed during or after incident</w:t>
            </w:r>
          </w:p>
        </w:tc>
      </w:tr>
      <w:tr>
        <w:tc>
          <w:tcPr>
            <w:tcW w:type="dxa" w:w="9360"/>
            <w:tcBorders>
              <w:top w:val="none" w:color="FFFFFF" w:sz="0"/>
              <w:left w:val="single" w:color="C0392B"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RS.CO-1 — Personnel did not know their roles and responsibilities</w:t>
            </w:r>
          </w:p>
        </w:tc>
      </w:tr>
      <w:tr>
        <w:tc>
          <w:tcPr>
            <w:tcW w:type="dxa" w:w="9360"/>
            <w:tcBorders>
              <w:top w:val="none" w:color="FFFFFF" w:sz="0"/>
              <w:left w:val="single" w:color="C0392B"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RS.MI-2 — Incidents not contained</w:t>
            </w:r>
          </w:p>
        </w:tc>
      </w:tr>
      <w:tr>
        <w:tc>
          <w:tcPr>
            <w:tcW w:type="dxa" w:w="9360"/>
            <w:tcBorders>
              <w:top w:val="none" w:color="FFFFFF" w:sz="0"/>
              <w:left w:val="single" w:color="C0392B"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RS.CO-2 — Incidents not reported consistent with established criteria</w:t>
            </w:r>
          </w:p>
        </w:tc>
      </w:tr>
    </w:tbl>
    <w:p>
      <w:pPr>
        <w:spacing w:after="60" w:before="160"/>
      </w:pPr>
      <w:r>
        <w:rPr>
          <w:rFonts w:ascii="Arial" w:cs="Arial" w:eastAsia="Arial" w:hAnsi="Arial"/>
          <w:b/>
          <w:bCs/>
          <w:i w:val="false"/>
          <w:iCs w:val="false"/>
          <w:color w:val="4A5568"/>
          <w:sz w:val="20"/>
          <w:szCs w:val="20"/>
        </w:rPr>
        <w:t xml:space="preserve">What failed — root cause analysis</w:t>
      </w:r>
    </w:p>
    <w:p>
      <w:pPr>
        <w:pStyle w:val="ListParagraph"/>
        <w:numPr>
          <w:ilvl w:val="0"/>
          <w:numId w:val="2"/>
        </w:numPr>
        <w:spacing w:after="40" w:before="40"/>
      </w:pPr>
      <w:r>
        <w:rPr>
          <w:rFonts w:ascii="Arial" w:cs="Arial" w:eastAsia="Arial" w:hAnsi="Arial"/>
          <w:color w:val="1A202C"/>
          <w:sz w:val="22"/>
          <w:szCs w:val="22"/>
        </w:rPr>
        <w:t xml:space="preserve">No MFA on VPN — one compromised password gave attackers full access</w:t>
      </w:r>
    </w:p>
    <w:p>
      <w:pPr>
        <w:pStyle w:val="ListParagraph"/>
        <w:numPr>
          <w:ilvl w:val="0"/>
          <w:numId w:val="2"/>
        </w:numPr>
        <w:spacing w:after="40" w:before="40"/>
      </w:pPr>
      <w:r>
        <w:rPr>
          <w:rFonts w:ascii="Arial" w:cs="Arial" w:eastAsia="Arial" w:hAnsi="Arial"/>
          <w:color w:val="1A202C"/>
          <w:sz w:val="22"/>
          <w:szCs w:val="22"/>
        </w:rPr>
        <w:t xml:space="preserve">No incident response playbook for ransomware affecting IT/OT boundary systems</w:t>
      </w:r>
    </w:p>
    <w:p>
      <w:pPr>
        <w:pStyle w:val="ListParagraph"/>
        <w:numPr>
          <w:ilvl w:val="0"/>
          <w:numId w:val="2"/>
        </w:numPr>
        <w:spacing w:after="40" w:before="40"/>
      </w:pPr>
      <w:r>
        <w:rPr>
          <w:rFonts w:ascii="Arial" w:cs="Arial" w:eastAsia="Arial" w:hAnsi="Arial"/>
          <w:color w:val="1A202C"/>
          <w:sz w:val="22"/>
          <w:szCs w:val="22"/>
        </w:rPr>
        <w:t xml:space="preserve">Decision to shut the pipeline was reactive and ad-hoc — no pre-defined decision authority</w:t>
      </w:r>
    </w:p>
    <w:p>
      <w:pPr>
        <w:pStyle w:val="ListParagraph"/>
        <w:numPr>
          <w:ilvl w:val="0"/>
          <w:numId w:val="2"/>
        </w:numPr>
        <w:spacing w:after="40" w:before="40"/>
      </w:pPr>
      <w:r>
        <w:rPr>
          <w:rFonts w:ascii="Arial" w:cs="Arial" w:eastAsia="Arial" w:hAnsi="Arial"/>
          <w:color w:val="1A202C"/>
          <w:sz w:val="22"/>
          <w:szCs w:val="22"/>
        </w:rPr>
        <w:t xml:space="preserve">Poor stakeholder communications amplified public panic buying of fuel</w:t>
      </w:r>
    </w:p>
    <w:p>
      <w:pPr>
        <w:pStyle w:val="ListParagraph"/>
        <w:numPr>
          <w:ilvl w:val="0"/>
          <w:numId w:val="2"/>
        </w:numPr>
        <w:spacing w:after="40" w:before="40"/>
      </w:pPr>
      <w:r>
        <w:rPr>
          <w:rFonts w:ascii="Arial" w:cs="Arial" w:eastAsia="Arial" w:hAnsi="Arial"/>
          <w:color w:val="1A202C"/>
          <w:sz w:val="22"/>
          <w:szCs w:val="22"/>
        </w:rPr>
        <w:t xml:space="preserve">Ransom paid with no guarantee of data recovery — payment did not restore operations faster</w:t>
      </w:r>
    </w:p>
    <w:p>
      <w:pPr>
        <w:spacing w:after="60" w:before="160"/>
      </w:pPr>
      <w:r>
        <w:rPr>
          <w:rFonts w:ascii="Arial" w:cs="Arial" w:eastAsia="Arial" w:hAnsi="Arial"/>
          <w:b/>
          <w:bCs/>
          <w:i w:val="false"/>
          <w:iCs w:val="false"/>
          <w:color w:val="4A5568"/>
          <w:sz w:val="20"/>
          <w:szCs w:val="20"/>
        </w:rPr>
        <w:t xml:space="preserve">Lessons learned &amp; NIST control recommendations</w:t>
      </w:r>
    </w:p>
    <w:p>
      <w:pPr>
        <w:pStyle w:val="ListParagraph"/>
        <w:numPr>
          <w:ilvl w:val="0"/>
          <w:numId w:val="3"/>
        </w:numPr>
        <w:spacing w:after="40" w:before="40"/>
      </w:pPr>
      <w:r>
        <w:rPr>
          <w:rFonts w:ascii="Arial" w:cs="Arial" w:eastAsia="Arial" w:hAnsi="Arial"/>
          <w:color w:val="1A202C"/>
          <w:sz w:val="22"/>
          <w:szCs w:val="22"/>
        </w:rPr>
        <w:t xml:space="preserve">Enforce MFA on every remote access vector — one compromised password should never halt a national pipeline</w:t>
      </w:r>
    </w:p>
    <w:p>
      <w:pPr>
        <w:pStyle w:val="ListParagraph"/>
        <w:numPr>
          <w:ilvl w:val="0"/>
          <w:numId w:val="3"/>
        </w:numPr>
        <w:spacing w:after="40" w:before="40"/>
      </w:pPr>
      <w:r>
        <w:rPr>
          <w:rFonts w:ascii="Arial" w:cs="Arial" w:eastAsia="Arial" w:hAnsi="Arial"/>
          <w:color w:val="1A202C"/>
          <w:sz w:val="22"/>
          <w:szCs w:val="22"/>
        </w:rPr>
        <w:t xml:space="preserve">Develop and rehearse OT-specific IR playbooks before an incident, including shutdown decision criteria</w:t>
      </w:r>
    </w:p>
    <w:p>
      <w:pPr>
        <w:pStyle w:val="ListParagraph"/>
        <w:numPr>
          <w:ilvl w:val="0"/>
          <w:numId w:val="3"/>
        </w:numPr>
        <w:spacing w:after="40" w:before="40"/>
      </w:pPr>
      <w:r>
        <w:rPr>
          <w:rFonts w:ascii="Arial" w:cs="Arial" w:eastAsia="Arial" w:hAnsi="Arial"/>
          <w:color w:val="1A202C"/>
          <w:sz w:val="22"/>
          <w:szCs w:val="22"/>
        </w:rPr>
        <w:t xml:space="preserve">Establish clear command authority: document who can authorise OT shutdown and under what conditions</w:t>
      </w:r>
    </w:p>
    <w:p>
      <w:pPr>
        <w:pStyle w:val="ListParagraph"/>
        <w:numPr>
          <w:ilvl w:val="0"/>
          <w:numId w:val="3"/>
        </w:numPr>
        <w:spacing w:after="40" w:before="40"/>
      </w:pPr>
      <w:r>
        <w:rPr>
          <w:rFonts w:ascii="Arial" w:cs="Arial" w:eastAsia="Arial" w:hAnsi="Arial"/>
          <w:color w:val="1A202C"/>
          <w:sz w:val="22"/>
          <w:szCs w:val="22"/>
        </w:rPr>
        <w:t xml:space="preserve">Pre-draft stakeholder communications templates — do not write public statements during an active incident</w:t>
      </w:r>
    </w:p>
    <w:p>
      <w:pPr>
        <w:pStyle w:val="ListParagraph"/>
        <w:numPr>
          <w:ilvl w:val="0"/>
          <w:numId w:val="3"/>
        </w:numPr>
        <w:spacing w:after="40" w:before="40"/>
      </w:pPr>
      <w:r>
        <w:rPr>
          <w:rFonts w:ascii="Arial" w:cs="Arial" w:eastAsia="Arial" w:hAnsi="Arial"/>
          <w:color w:val="1A202C"/>
          <w:sz w:val="22"/>
          <w:szCs w:val="22"/>
        </w:rPr>
        <w:t xml:space="preserve">Engage FBI and CISA before paying a ransom — they may have decryption keys or threat intelligence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160"/>
              <w:left w:type="dxa" w:w="200"/>
              <w:bottom w:type="dxa" w:w="160"/>
              <w:right w:type="dxa" w:w="200"/>
            </w:tcMar>
          </w:tcPr>
          <w:p>
            <w:pPr>
              <w:spacing w:after="80" w:before="0"/>
            </w:pPr>
            <w:r>
              <w:rPr>
                <w:rFonts w:ascii="Arial" w:cs="Arial" w:eastAsia="Arial" w:hAnsi="Arial"/>
                <w:b/>
                <w:bCs/>
                <w:i w:val="false"/>
                <w:iCs w:val="false"/>
                <w:color w:val="7B1A12"/>
                <w:sz w:val="20"/>
                <w:szCs w:val="20"/>
              </w:rPr>
              <w:t xml:space="preserve">Capstone analysis question</w:t>
            </w:r>
          </w:p>
          <w:p>
            <w:pPr>
              <w:spacing w:after="120" w:before="0"/>
            </w:pPr>
            <w:r>
              <w:rPr>
                <w:rFonts w:ascii="Arial" w:cs="Arial" w:eastAsia="Arial" w:hAnsi="Arial"/>
                <w:b w:val="false"/>
                <w:bCs w:val="false"/>
                <w:i/>
                <w:iCs/>
                <w:color w:val="7B1A12"/>
                <w:sz w:val="20"/>
                <w:szCs w:val="20"/>
              </w:rPr>
              <w:t xml:space="preserve">How does NIST CSF RS.CO (communications) apply during a critical infrastructure ransomware incident?</w:t>
            </w:r>
          </w:p>
          <w:p>
            <w:pPr>
              <w:spacing w:after="0" w:before="0"/>
            </w:pPr>
            <w:r>
              <w:rPr>
                <w:rFonts w:ascii="Arial" w:cs="Arial" w:eastAsia="Arial" w:hAnsi="Arial"/>
                <w:b w:val="false"/>
                <w:bCs w:val="false"/>
                <w:i w:val="false"/>
                <w:iCs w:val="false"/>
                <w:color w:val="4A5568"/>
                <w:sz w:val="20"/>
                <w:szCs w:val="20"/>
              </w:rPr>
              <w:t xml:space="preserve">RS.CO-1 requires that personnel know their IR roles before an incident. RS.CO-2 requires that incidents are reported to appropriate authorities. RS.CO-3 requires information sharing with stakeholders. Colonial failed all three: roles were unclear, FBI notification was delayed, and public communications were reactive — each failure multiplying the downstream impact.</w:t>
            </w:r>
          </w:p>
        </w:tc>
      </w:tr>
    </w:tbl>
    <w:p>
      <w:pPr>
        <w:pBdr>
          <w:bottom w:val="single" w:color="E8ECF0" w:sz="4"/>
        </w:pBdr>
        <w:spacing w:after="120" w:before="120"/>
      </w:pPr>
      <w:r>
        <w:t xml:space="preserve"/>
      </w:r>
    </w:p>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0392B" w:sz="8"/>
              <w:left w:val="single" w:color="C0392B" w:sz="8"/>
              <w:bottom w:val="single" w:color="C0392B" w:sz="8"/>
              <w:right w:val="none" w:color="FFFFFF" w:sz="0"/>
            </w:tcBorders>
            <w:shd w:fill="FDECEA" w:val="clear"/>
            <w:tcMar>
              <w:top w:type="dxa" w:w="120"/>
              <w:left w:type="dxa" w:w="180"/>
              <w:bottom w:type="dxa" w:w="120"/>
              <w:right w:type="dxa" w:w="120"/>
            </w:tcMar>
          </w:tcPr>
          <w:p>
            <w:pPr>
              <w:spacing w:after="40" w:before="0"/>
            </w:pPr>
            <w:r>
              <w:rPr>
                <w:rFonts w:ascii="Arial" w:cs="Arial" w:eastAsia="Arial" w:hAnsi="Arial"/>
                <w:b/>
                <w:bCs/>
                <w:color w:val="7B1A12"/>
                <w:sz w:val="28"/>
                <w:szCs w:val="28"/>
              </w:rPr>
              <w:t xml:space="preserve">Case Study 7: British Airways</w:t>
            </w:r>
          </w:p>
          <w:p>
            <w:pPr>
              <w:spacing w:after="0" w:before="0"/>
            </w:pPr>
            <w:r>
              <w:rPr>
                <w:rFonts w:ascii="Arial" w:cs="Arial" w:eastAsia="Arial" w:hAnsi="Arial"/>
                <w:color w:val="C0392B"/>
                <w:sz w:val="18"/>
                <w:szCs w:val="18"/>
              </w:rPr>
              <w:t xml:space="preserve">Aviation / Retail · 2018</w:t>
            </w:r>
          </w:p>
        </w:tc>
        <w:tc>
          <w:tcPr>
            <w:tcW w:type="dxa" w:w="2160"/>
            <w:tcBorders>
              <w:top w:val="single" w:color="C0392B" w:sz="8"/>
              <w:left w:val="none" w:color="FFFFFF" w:sz="0"/>
              <w:bottom w:val="single" w:color="C0392B" w:sz="8"/>
              <w:right w:val="single" w:color="C0392B" w:sz="8"/>
            </w:tcBorders>
            <w:shd w:fill="C0392B" w:val="clear"/>
            <w:tcMar>
              <w:top w:type="dxa" w:w="60"/>
              <w:left w:type="dxa" w:w="60"/>
              <w:bottom w:type="dxa" w:w="60"/>
              <w:right w:type="dxa" w:w="60"/>
            </w:tcMar>
            <w:vAlign w:val="center"/>
          </w:tcPr>
          <w:p>
            <w:pPr>
              <w:spacing w:after="20" w:before="0"/>
              <w:jc w:val="center"/>
            </w:pPr>
            <w:r>
              <w:rPr>
                <w:rFonts w:ascii="Arial" w:cs="Arial" w:eastAsia="Arial" w:hAnsi="Arial"/>
                <w:color w:val="FFFFFF"/>
                <w:sz w:val="16"/>
                <w:szCs w:val="16"/>
              </w:rPr>
              <w:t xml:space="preserve">NIST CSF</w:t>
            </w:r>
          </w:p>
          <w:p>
            <w:pPr>
              <w:spacing w:after="0" w:before="0"/>
              <w:jc w:val="center"/>
            </w:pPr>
            <w:r>
              <w:rPr>
                <w:rFonts w:ascii="Arial" w:cs="Arial" w:eastAsia="Arial" w:hAnsi="Arial"/>
                <w:b/>
                <w:bCs/>
                <w:color w:val="FFFFFF"/>
                <w:sz w:val="24"/>
                <w:szCs w:val="24"/>
              </w:rPr>
              <w:t xml:space="preserve">Respond</w:t>
            </w:r>
          </w:p>
        </w:tc>
      </w:tr>
    </w:tbl>
    <w:p>
      <w:pPr>
        <w:spacing w:after="60" w:before="160"/>
      </w:pPr>
      <w:r>
        <w:rPr>
          <w:rFonts w:ascii="Arial" w:cs="Arial" w:eastAsia="Arial" w:hAnsi="Arial"/>
          <w:b/>
          <w:bCs/>
          <w:i w:val="false"/>
          <w:iCs w:val="false"/>
          <w:color w:val="4A5568"/>
          <w:sz w:val="20"/>
          <w:szCs w:val="20"/>
        </w:rPr>
        <w:t xml:space="preserve">Incident summary</w:t>
      </w:r>
    </w:p>
    <w:p>
      <w:pPr>
        <w:pBdr>
          <w:left w:val="single" w:color="C0392B" w:sz="12"/>
        </w:pBdr>
        <w:spacing w:after="120" w:before="0"/>
        <w:ind w:left="200"/>
      </w:pPr>
      <w:r>
        <w:rPr>
          <w:rFonts w:ascii="Arial" w:cs="Arial" w:eastAsia="Arial" w:hAnsi="Arial"/>
          <w:b w:val="false"/>
          <w:bCs w:val="false"/>
          <w:i/>
          <w:iCs/>
          <w:color w:val="1A202C"/>
          <w:sz w:val="21"/>
          <w:szCs w:val="21"/>
        </w:rPr>
        <w:t xml:space="preserve">A Magecart JavaScript skimmer injected into ba.com's booking page harvested 500,000 customers' payment card details over 14 days before discovery.</w:t>
      </w:r>
    </w:p>
    <w:p>
      <w:pPr>
        <w:spacing w:after="40" w:before="60"/>
      </w:pPr>
      <w:r>
        <w:rPr>
          <w:rFonts w:ascii="Arial" w:cs="Arial" w:eastAsia="Arial" w:hAnsi="Arial"/>
          <w:b/>
          <w:bCs/>
          <w:i w:val="false"/>
          <w:iCs w:val="false"/>
          <w:color w:val="1A202C"/>
          <w:sz w:val="20"/>
          <w:szCs w:val="20"/>
        </w:rPr>
        <w:t xml:space="preserve">Root cause: </w:t>
      </w:r>
      <w:r>
        <w:rPr>
          <w:rFonts w:ascii="Arial" w:cs="Arial" w:eastAsia="Arial" w:hAnsi="Arial"/>
          <w:b w:val="false"/>
          <w:bCs w:val="false"/>
          <w:i w:val="false"/>
          <w:iCs w:val="false"/>
          <w:color w:val="4A5568"/>
          <w:sz w:val="20"/>
          <w:szCs w:val="20"/>
        </w:rPr>
        <w:t xml:space="preserve">Malicious JavaScript was injected via a compromised third-party script. No content security policy or subresource integrity checking was in place to detect or block the unauthorised script.</w:t>
      </w:r>
    </w:p>
    <w:p>
      <w:pPr>
        <w:spacing w:after="60" w:before="160"/>
      </w:pPr>
      <w:r>
        <w:rPr>
          <w:rFonts w:ascii="Arial" w:cs="Arial" w:eastAsia="Arial" w:hAnsi="Arial"/>
          <w:b/>
          <w:bCs/>
          <w:i w:val="false"/>
          <w:iCs w:val="false"/>
          <w:color w:val="4A5568"/>
          <w:sz w:val="20"/>
          <w:szCs w:val="20"/>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Financial cost</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£20 million ICO fine</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Records / scope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500,000 customers</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Detection time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14 days of active skimming</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Regulatory fine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£20 million GDPR Article 83 penalty</w:t>
            </w:r>
          </w:p>
        </w:tc>
      </w:tr>
    </w:tbl>
    <w:p>
      <w:pPr>
        <w:spacing w:after="60" w:before="160"/>
      </w:pPr>
      <w:r>
        <w:rPr>
          <w:rFonts w:ascii="Arial" w:cs="Arial" w:eastAsia="Arial" w:hAnsi="Arial"/>
          <w:b/>
          <w:bCs/>
          <w:i w:val="false"/>
          <w:iCs w:val="false"/>
          <w:color w:val="4A5568"/>
          <w:sz w:val="20"/>
          <w:szCs w:val="20"/>
        </w:rPr>
        <w:t xml:space="preserve">NIST CSF subcategory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RS.AN-1 — No forensic analysis capability to investigate alerts</w:t>
            </w:r>
          </w:p>
        </w:tc>
      </w:tr>
      <w:tr>
        <w:tc>
          <w:tcPr>
            <w:tcW w:type="dxa" w:w="9360"/>
            <w:tcBorders>
              <w:top w:val="none" w:color="FFFFFF" w:sz="0"/>
              <w:left w:val="single" w:color="C0392B"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RS.CO-3 — Information not shared consistent with response plans</w:t>
            </w:r>
          </w:p>
        </w:tc>
      </w:tr>
      <w:tr>
        <w:tc>
          <w:tcPr>
            <w:tcW w:type="dxa" w:w="9360"/>
            <w:tcBorders>
              <w:top w:val="none" w:color="FFFFFF" w:sz="0"/>
              <w:left w:val="single" w:color="C0392B"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DE.CM-4 — Malicious code not detected</w:t>
            </w:r>
          </w:p>
        </w:tc>
      </w:tr>
      <w:tr>
        <w:tc>
          <w:tcPr>
            <w:tcW w:type="dxa" w:w="9360"/>
            <w:tcBorders>
              <w:top w:val="none" w:color="FFFFFF" w:sz="0"/>
              <w:left w:val="single" w:color="C0392B"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RS.CO-2 — Incident not reported within required 72-hour GDPR window</w:t>
            </w:r>
          </w:p>
        </w:tc>
      </w:tr>
    </w:tbl>
    <w:p>
      <w:pPr>
        <w:spacing w:after="60" w:before="160"/>
      </w:pPr>
      <w:r>
        <w:rPr>
          <w:rFonts w:ascii="Arial" w:cs="Arial" w:eastAsia="Arial" w:hAnsi="Arial"/>
          <w:b/>
          <w:bCs/>
          <w:i w:val="false"/>
          <w:iCs w:val="false"/>
          <w:color w:val="4A5568"/>
          <w:sz w:val="20"/>
          <w:szCs w:val="20"/>
        </w:rPr>
        <w:t xml:space="preserve">What failed — root cause analysis</w:t>
      </w:r>
    </w:p>
    <w:p>
      <w:pPr>
        <w:pStyle w:val="ListParagraph"/>
        <w:numPr>
          <w:ilvl w:val="0"/>
          <w:numId w:val="2"/>
        </w:numPr>
        <w:spacing w:after="40" w:before="40"/>
      </w:pPr>
      <w:r>
        <w:rPr>
          <w:rFonts w:ascii="Arial" w:cs="Arial" w:eastAsia="Arial" w:hAnsi="Arial"/>
          <w:color w:val="1A202C"/>
          <w:sz w:val="22"/>
          <w:szCs w:val="22"/>
        </w:rPr>
        <w:t xml:space="preserve">No Content Security Policy (CSP) headers to restrict which scripts could execute on the booking page</w:t>
      </w:r>
    </w:p>
    <w:p>
      <w:pPr>
        <w:pStyle w:val="ListParagraph"/>
        <w:numPr>
          <w:ilvl w:val="0"/>
          <w:numId w:val="2"/>
        </w:numPr>
        <w:spacing w:after="40" w:before="40"/>
      </w:pPr>
      <w:r>
        <w:rPr>
          <w:rFonts w:ascii="Arial" w:cs="Arial" w:eastAsia="Arial" w:hAnsi="Arial"/>
          <w:color w:val="1A202C"/>
          <w:sz w:val="22"/>
          <w:szCs w:val="22"/>
        </w:rPr>
        <w:t xml:space="preserve">No subresource integrity (SRI) hashing on third-party scripts — changes went undetected</w:t>
      </w:r>
    </w:p>
    <w:p>
      <w:pPr>
        <w:pStyle w:val="ListParagraph"/>
        <w:numPr>
          <w:ilvl w:val="0"/>
          <w:numId w:val="2"/>
        </w:numPr>
        <w:spacing w:after="40" w:before="40"/>
      </w:pPr>
      <w:r>
        <w:rPr>
          <w:rFonts w:ascii="Arial" w:cs="Arial" w:eastAsia="Arial" w:hAnsi="Arial"/>
          <w:color w:val="1A202C"/>
          <w:sz w:val="22"/>
          <w:szCs w:val="22"/>
        </w:rPr>
        <w:t xml:space="preserve">No real-time alerting on data exfiltration to external domains</w:t>
      </w:r>
    </w:p>
    <w:p>
      <w:pPr>
        <w:pStyle w:val="ListParagraph"/>
        <w:numPr>
          <w:ilvl w:val="0"/>
          <w:numId w:val="2"/>
        </w:numPr>
        <w:spacing w:after="40" w:before="40"/>
      </w:pPr>
      <w:r>
        <w:rPr>
          <w:rFonts w:ascii="Arial" w:cs="Arial" w:eastAsia="Arial" w:hAnsi="Arial"/>
          <w:color w:val="1A202C"/>
          <w:sz w:val="22"/>
          <w:szCs w:val="22"/>
        </w:rPr>
        <w:t xml:space="preserve">GDPR breach notification to the ICO exceeded the 72-hour legal requirement</w:t>
      </w:r>
    </w:p>
    <w:p>
      <w:pPr>
        <w:pStyle w:val="ListParagraph"/>
        <w:numPr>
          <w:ilvl w:val="0"/>
          <w:numId w:val="2"/>
        </w:numPr>
        <w:spacing w:after="40" w:before="40"/>
      </w:pPr>
      <w:r>
        <w:rPr>
          <w:rFonts w:ascii="Arial" w:cs="Arial" w:eastAsia="Arial" w:hAnsi="Arial"/>
          <w:color w:val="1A202C"/>
          <w:sz w:val="22"/>
          <w:szCs w:val="22"/>
        </w:rPr>
        <w:t xml:space="preserve">No network-level egress filtering to detect unusual POST requests to attacker-controlled infrastructure</w:t>
      </w:r>
    </w:p>
    <w:p>
      <w:pPr>
        <w:spacing w:after="60" w:before="160"/>
      </w:pPr>
      <w:r>
        <w:rPr>
          <w:rFonts w:ascii="Arial" w:cs="Arial" w:eastAsia="Arial" w:hAnsi="Arial"/>
          <w:b/>
          <w:bCs/>
          <w:i w:val="false"/>
          <w:iCs w:val="false"/>
          <w:color w:val="4A5568"/>
          <w:sz w:val="20"/>
          <w:szCs w:val="20"/>
        </w:rPr>
        <w:t xml:space="preserve">Lessons learned &amp; NIST control recommendations</w:t>
      </w:r>
    </w:p>
    <w:p>
      <w:pPr>
        <w:pStyle w:val="ListParagraph"/>
        <w:numPr>
          <w:ilvl w:val="0"/>
          <w:numId w:val="3"/>
        </w:numPr>
        <w:spacing w:after="40" w:before="40"/>
      </w:pPr>
      <w:r>
        <w:rPr>
          <w:rFonts w:ascii="Arial" w:cs="Arial" w:eastAsia="Arial" w:hAnsi="Arial"/>
          <w:color w:val="1A202C"/>
          <w:sz w:val="22"/>
          <w:szCs w:val="22"/>
        </w:rPr>
        <w:t xml:space="preserve">Implement Content Security Policy headers on all payment pages — restrict script sources to an allowlist</w:t>
      </w:r>
    </w:p>
    <w:p>
      <w:pPr>
        <w:pStyle w:val="ListParagraph"/>
        <w:numPr>
          <w:ilvl w:val="0"/>
          <w:numId w:val="3"/>
        </w:numPr>
        <w:spacing w:after="40" w:before="40"/>
      </w:pPr>
      <w:r>
        <w:rPr>
          <w:rFonts w:ascii="Arial" w:cs="Arial" w:eastAsia="Arial" w:hAnsi="Arial"/>
          <w:color w:val="1A202C"/>
          <w:sz w:val="22"/>
          <w:szCs w:val="22"/>
        </w:rPr>
        <w:t xml:space="preserve">Add subresource integrity (SRI) hashes to every third-party script — any modification breaks the hash</w:t>
      </w:r>
    </w:p>
    <w:p>
      <w:pPr>
        <w:pStyle w:val="ListParagraph"/>
        <w:numPr>
          <w:ilvl w:val="0"/>
          <w:numId w:val="3"/>
        </w:numPr>
        <w:spacing w:after="40" w:before="40"/>
      </w:pPr>
      <w:r>
        <w:rPr>
          <w:rFonts w:ascii="Arial" w:cs="Arial" w:eastAsia="Arial" w:hAnsi="Arial"/>
          <w:color w:val="1A202C"/>
          <w:sz w:val="22"/>
          <w:szCs w:val="22"/>
        </w:rPr>
        <w:t xml:space="preserve">Build a 72-hour GDPR breach notification workflow into your IR runbook as a standing obligation</w:t>
      </w:r>
    </w:p>
    <w:p>
      <w:pPr>
        <w:pStyle w:val="ListParagraph"/>
        <w:numPr>
          <w:ilvl w:val="0"/>
          <w:numId w:val="3"/>
        </w:numPr>
        <w:spacing w:after="40" w:before="40"/>
      </w:pPr>
      <w:r>
        <w:rPr>
          <w:rFonts w:ascii="Arial" w:cs="Arial" w:eastAsia="Arial" w:hAnsi="Arial"/>
          <w:color w:val="1A202C"/>
          <w:sz w:val="22"/>
          <w:szCs w:val="22"/>
        </w:rPr>
        <w:t xml:space="preserve">Deploy real-time monitoring for data exfiltration — alert on POST requests to unrecognised external domains</w:t>
      </w:r>
    </w:p>
    <w:p>
      <w:pPr>
        <w:pStyle w:val="ListParagraph"/>
        <w:numPr>
          <w:ilvl w:val="0"/>
          <w:numId w:val="3"/>
        </w:numPr>
        <w:spacing w:after="40" w:before="40"/>
      </w:pPr>
      <w:r>
        <w:rPr>
          <w:rFonts w:ascii="Arial" w:cs="Arial" w:eastAsia="Arial" w:hAnsi="Arial"/>
          <w:color w:val="1A202C"/>
          <w:sz w:val="22"/>
          <w:szCs w:val="22"/>
        </w:rPr>
        <w:t xml:space="preserve">Conduct quarterly web application security reviews on all customer-facing payment flows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160"/>
              <w:left w:type="dxa" w:w="200"/>
              <w:bottom w:type="dxa" w:w="160"/>
              <w:right w:type="dxa" w:w="200"/>
            </w:tcMar>
          </w:tcPr>
          <w:p>
            <w:pPr>
              <w:spacing w:after="80" w:before="0"/>
            </w:pPr>
            <w:r>
              <w:rPr>
                <w:rFonts w:ascii="Arial" w:cs="Arial" w:eastAsia="Arial" w:hAnsi="Arial"/>
                <w:b/>
                <w:bCs/>
                <w:i w:val="false"/>
                <w:iCs w:val="false"/>
                <w:color w:val="7B1A12"/>
                <w:sz w:val="20"/>
                <w:szCs w:val="20"/>
              </w:rPr>
              <w:t xml:space="preserve">Capstone analysis question</w:t>
            </w:r>
          </w:p>
          <w:p>
            <w:pPr>
              <w:spacing w:after="120" w:before="0"/>
            </w:pPr>
            <w:r>
              <w:rPr>
                <w:rFonts w:ascii="Arial" w:cs="Arial" w:eastAsia="Arial" w:hAnsi="Arial"/>
                <w:b w:val="false"/>
                <w:bCs w:val="false"/>
                <w:i/>
                <w:iCs/>
                <w:color w:val="7B1A12"/>
                <w:sz w:val="20"/>
                <w:szCs w:val="20"/>
              </w:rPr>
              <w:t xml:space="preserve">How does NIST CSF RS.CO interact with GDPR's 72-hour breach notification requirement?</w:t>
            </w:r>
          </w:p>
          <w:p>
            <w:pPr>
              <w:spacing w:after="0" w:before="0"/>
            </w:pPr>
            <w:r>
              <w:rPr>
                <w:rFonts w:ascii="Arial" w:cs="Arial" w:eastAsia="Arial" w:hAnsi="Arial"/>
                <w:b w:val="false"/>
                <w:bCs w:val="false"/>
                <w:i w:val="false"/>
                <w:iCs w:val="false"/>
                <w:color w:val="4A5568"/>
                <w:sz w:val="20"/>
                <w:szCs w:val="20"/>
              </w:rPr>
              <w:t xml:space="preserve">RS.CO-2 requires that incidents are reported consistent with established criteria. In the EU/UK context, GDPR Article 33 mandates notification to supervisory authorities within 72 hours of becoming aware of a breach. BA's delay in notification was a direct violation of both RS.CO-2 and Article 33 — and cost them £20 million.</w:t>
            </w:r>
          </w:p>
        </w:tc>
      </w:tr>
    </w:tbl>
    <w:p>
      <w:pPr>
        <w:pBdr>
          <w:bottom w:val="single" w:color="E8ECF0"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A8A" w:sz="6"/>
              <w:left w:val="single" w:color="5B4A8A" w:sz="6"/>
              <w:bottom w:val="single" w:color="5B4A8A" w:sz="6"/>
              <w:right w:val="single" w:color="5B4A8A" w:sz="6"/>
            </w:tcBorders>
            <w:shd w:fill="F0EDFB" w:val="clear"/>
            <w:tcMar>
              <w:top w:type="dxa" w:w="200"/>
              <w:left w:type="dxa" w:w="240"/>
              <w:bottom w:type="dxa" w:w="200"/>
              <w:right w:type="dxa" w:w="240"/>
            </w:tcMar>
          </w:tcPr>
          <w:p>
            <w:pPr>
              <w:spacing w:after="80" w:before="0"/>
            </w:pPr>
            <w:r>
              <w:rPr>
                <w:rFonts w:ascii="Arial" w:cs="Arial" w:eastAsia="Arial" w:hAnsi="Arial"/>
                <w:b/>
                <w:bCs/>
                <w:color w:val="3A2F66"/>
                <w:sz w:val="32"/>
                <w:szCs w:val="32"/>
              </w:rPr>
              <w:t xml:space="preserve">Function 5: Recover (RC)</w:t>
            </w:r>
          </w:p>
          <w:p>
            <w:pPr>
              <w:spacing w:after="0" w:before="0"/>
            </w:pPr>
            <w:r>
              <w:rPr>
                <w:rFonts w:ascii="Arial" w:cs="Arial" w:eastAsia="Arial" w:hAnsi="Arial"/>
                <w:i/>
                <w:iCs/>
                <w:color w:val="3A2F66"/>
                <w:sz w:val="20"/>
                <w:szCs w:val="20"/>
              </w:rPr>
              <w:t xml:space="preserve">Develop and implement appropriate activities to maintain plans for resilience and to restore any capabilities or services impaired due to a cybersecurity incident.</w:t>
            </w:r>
          </w:p>
        </w:tc>
      </w:tr>
    </w:tbl>
    <w:p>
      <w:pPr>
        <w:spacing w:after="0" w:before="120"/>
      </w:pPr>
    </w:p>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5B4A8A" w:sz="8"/>
              <w:left w:val="single" w:color="5B4A8A" w:sz="8"/>
              <w:bottom w:val="single" w:color="5B4A8A" w:sz="8"/>
              <w:right w:val="none" w:color="FFFFFF" w:sz="0"/>
            </w:tcBorders>
            <w:shd w:fill="F0EDFB" w:val="clear"/>
            <w:tcMar>
              <w:top w:type="dxa" w:w="120"/>
              <w:left w:type="dxa" w:w="180"/>
              <w:bottom w:type="dxa" w:w="120"/>
              <w:right w:type="dxa" w:w="120"/>
            </w:tcMar>
          </w:tcPr>
          <w:p>
            <w:pPr>
              <w:spacing w:after="40" w:before="0"/>
            </w:pPr>
            <w:r>
              <w:rPr>
                <w:rFonts w:ascii="Arial" w:cs="Arial" w:eastAsia="Arial" w:hAnsi="Arial"/>
                <w:b/>
                <w:bCs/>
                <w:color w:val="3A2F66"/>
                <w:sz w:val="28"/>
                <w:szCs w:val="28"/>
              </w:rPr>
              <w:t xml:space="preserve">Case Study 8: Maersk</w:t>
            </w:r>
          </w:p>
          <w:p>
            <w:pPr>
              <w:spacing w:after="0" w:before="0"/>
            </w:pPr>
            <w:r>
              <w:rPr>
                <w:rFonts w:ascii="Arial" w:cs="Arial" w:eastAsia="Arial" w:hAnsi="Arial"/>
                <w:color w:val="5B4A8A"/>
                <w:sz w:val="18"/>
                <w:szCs w:val="18"/>
              </w:rPr>
              <w:t xml:space="preserve">Shipping / Logistics · 2017</w:t>
            </w:r>
          </w:p>
        </w:tc>
        <w:tc>
          <w:tcPr>
            <w:tcW w:type="dxa" w:w="2160"/>
            <w:tcBorders>
              <w:top w:val="single" w:color="5B4A8A" w:sz="8"/>
              <w:left w:val="none" w:color="FFFFFF" w:sz="0"/>
              <w:bottom w:val="single" w:color="5B4A8A" w:sz="8"/>
              <w:right w:val="single" w:color="5B4A8A" w:sz="8"/>
            </w:tcBorders>
            <w:shd w:fill="5B4A8A" w:val="clear"/>
            <w:tcMar>
              <w:top w:type="dxa" w:w="60"/>
              <w:left w:type="dxa" w:w="60"/>
              <w:bottom w:type="dxa" w:w="60"/>
              <w:right w:type="dxa" w:w="60"/>
            </w:tcMar>
            <w:vAlign w:val="center"/>
          </w:tcPr>
          <w:p>
            <w:pPr>
              <w:spacing w:after="20" w:before="0"/>
              <w:jc w:val="center"/>
            </w:pPr>
            <w:r>
              <w:rPr>
                <w:rFonts w:ascii="Arial" w:cs="Arial" w:eastAsia="Arial" w:hAnsi="Arial"/>
                <w:color w:val="FFFFFF"/>
                <w:sz w:val="16"/>
                <w:szCs w:val="16"/>
              </w:rPr>
              <w:t xml:space="preserve">NIST CSF</w:t>
            </w:r>
          </w:p>
          <w:p>
            <w:pPr>
              <w:spacing w:after="0" w:before="0"/>
              <w:jc w:val="center"/>
            </w:pPr>
            <w:r>
              <w:rPr>
                <w:rFonts w:ascii="Arial" w:cs="Arial" w:eastAsia="Arial" w:hAnsi="Arial"/>
                <w:b/>
                <w:bCs/>
                <w:color w:val="FFFFFF"/>
                <w:sz w:val="24"/>
                <w:szCs w:val="24"/>
              </w:rPr>
              <w:t xml:space="preserve">Recover</w:t>
            </w:r>
          </w:p>
        </w:tc>
      </w:tr>
    </w:tbl>
    <w:p>
      <w:pPr>
        <w:spacing w:after="60" w:before="160"/>
      </w:pPr>
      <w:r>
        <w:rPr>
          <w:rFonts w:ascii="Arial" w:cs="Arial" w:eastAsia="Arial" w:hAnsi="Arial"/>
          <w:b/>
          <w:bCs/>
          <w:i w:val="false"/>
          <w:iCs w:val="false"/>
          <w:color w:val="4A5568"/>
          <w:sz w:val="20"/>
          <w:szCs w:val="20"/>
        </w:rPr>
        <w:t xml:space="preserve">Incident summary</w:t>
      </w:r>
    </w:p>
    <w:p>
      <w:pPr>
        <w:pBdr>
          <w:left w:val="single" w:color="5B4A8A" w:sz="12"/>
        </w:pBdr>
        <w:spacing w:after="120" w:before="0"/>
        <w:ind w:left="200"/>
      </w:pPr>
      <w:r>
        <w:rPr>
          <w:rFonts w:ascii="Arial" w:cs="Arial" w:eastAsia="Arial" w:hAnsi="Arial"/>
          <w:b w:val="false"/>
          <w:bCs w:val="false"/>
          <w:i/>
          <w:iCs/>
          <w:color w:val="1A202C"/>
          <w:sz w:val="21"/>
          <w:szCs w:val="21"/>
        </w:rPr>
        <w:t xml:space="preserve">NotPetya wiper malware — deployed by Russian GRU as a weapon targeting Ukraine — destroyed Maersk's entire global IT infrastructure: 45,000 PCs, 4,000 servers, and 2,500 applications wiped within hours.</w:t>
      </w:r>
    </w:p>
    <w:p>
      <w:pPr>
        <w:spacing w:after="40" w:before="60"/>
      </w:pPr>
      <w:r>
        <w:rPr>
          <w:rFonts w:ascii="Arial" w:cs="Arial" w:eastAsia="Arial" w:hAnsi="Arial"/>
          <w:b/>
          <w:bCs/>
          <w:i w:val="false"/>
          <w:iCs w:val="false"/>
          <w:color w:val="1A202C"/>
          <w:sz w:val="20"/>
          <w:szCs w:val="20"/>
        </w:rPr>
        <w:t xml:space="preserve">Root cause: </w:t>
      </w:r>
      <w:r>
        <w:rPr>
          <w:rFonts w:ascii="Arial" w:cs="Arial" w:eastAsia="Arial" w:hAnsi="Arial"/>
          <w:b w:val="false"/>
          <w:bCs w:val="false"/>
          <w:i w:val="false"/>
          <w:iCs w:val="false"/>
          <w:color w:val="4A5568"/>
          <w:sz w:val="20"/>
          <w:szCs w:val="20"/>
        </w:rPr>
        <w:t xml:space="preserve">A flat, globally connected network with no segmentation allowed NotPetya to propagate instantly. No offline backup of Active Directory existed — recovery depended on a single domain controller in Ghana that was coincidentally offline during the attack.</w:t>
      </w:r>
    </w:p>
    <w:p>
      <w:pPr>
        <w:spacing w:after="60" w:before="160"/>
      </w:pPr>
      <w:r>
        <w:rPr>
          <w:rFonts w:ascii="Arial" w:cs="Arial" w:eastAsia="Arial" w:hAnsi="Arial"/>
          <w:b/>
          <w:bCs/>
          <w:i w:val="false"/>
          <w:iCs w:val="false"/>
          <w:color w:val="4A5568"/>
          <w:sz w:val="20"/>
          <w:szCs w:val="20"/>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Financial cost</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$300 million+ total impact</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Records / scope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N/A — total infrastructure wipe</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Detection time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Immediate (wiper, not stealth)</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Regulatory fine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N/A — attributed to nation-state actor</w:t>
            </w:r>
          </w:p>
        </w:tc>
      </w:tr>
    </w:tbl>
    <w:p>
      <w:pPr>
        <w:spacing w:after="60" w:before="160"/>
      </w:pPr>
      <w:r>
        <w:rPr>
          <w:rFonts w:ascii="Arial" w:cs="Arial" w:eastAsia="Arial" w:hAnsi="Arial"/>
          <w:b/>
          <w:bCs/>
          <w:i w:val="false"/>
          <w:iCs w:val="false"/>
          <w:color w:val="4A5568"/>
          <w:sz w:val="20"/>
          <w:szCs w:val="20"/>
        </w:rPr>
        <w:t xml:space="preserve">NIST CSF subcategory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4A8A"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RC.RP-1 — Recovery plan not in place or not tested</w:t>
            </w:r>
          </w:p>
        </w:tc>
      </w:tr>
      <w:tr>
        <w:tc>
          <w:tcPr>
            <w:tcW w:type="dxa" w:w="9360"/>
            <w:tcBorders>
              <w:top w:val="none" w:color="FFFFFF" w:sz="0"/>
              <w:left w:val="single" w:color="5B4A8A"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RC.IM-1 — Recovery plan did not incorporate lessons from previous incidents</w:t>
            </w:r>
          </w:p>
        </w:tc>
      </w:tr>
      <w:tr>
        <w:tc>
          <w:tcPr>
            <w:tcW w:type="dxa" w:w="9360"/>
            <w:tcBorders>
              <w:top w:val="none" w:color="FFFFFF" w:sz="0"/>
              <w:left w:val="single" w:color="5B4A8A"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RC.CO-3 — Recovery activities not communicated to stakeholders</w:t>
            </w:r>
          </w:p>
        </w:tc>
      </w:tr>
      <w:tr>
        <w:tc>
          <w:tcPr>
            <w:tcW w:type="dxa" w:w="9360"/>
            <w:tcBorders>
              <w:top w:val="none" w:color="FFFFFF" w:sz="0"/>
              <w:left w:val="single" w:color="5B4A8A"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RC.IM-2 — Recovery strategies not updated</w:t>
            </w:r>
          </w:p>
        </w:tc>
      </w:tr>
    </w:tbl>
    <w:p>
      <w:pPr>
        <w:spacing w:after="60" w:before="160"/>
      </w:pPr>
      <w:r>
        <w:rPr>
          <w:rFonts w:ascii="Arial" w:cs="Arial" w:eastAsia="Arial" w:hAnsi="Arial"/>
          <w:b/>
          <w:bCs/>
          <w:i w:val="false"/>
          <w:iCs w:val="false"/>
          <w:color w:val="4A5568"/>
          <w:sz w:val="20"/>
          <w:szCs w:val="20"/>
        </w:rPr>
        <w:t xml:space="preserve">What failed — root cause analysis</w:t>
      </w:r>
    </w:p>
    <w:p>
      <w:pPr>
        <w:pStyle w:val="ListParagraph"/>
        <w:numPr>
          <w:ilvl w:val="0"/>
          <w:numId w:val="2"/>
        </w:numPr>
        <w:spacing w:after="40" w:before="40"/>
      </w:pPr>
      <w:r>
        <w:rPr>
          <w:rFonts w:ascii="Arial" w:cs="Arial" w:eastAsia="Arial" w:hAnsi="Arial"/>
          <w:color w:val="1A202C"/>
          <w:sz w:val="22"/>
          <w:szCs w:val="22"/>
        </w:rPr>
        <w:t xml:space="preserve">Entirely flat global network — NotPetya propagated to all 130 Maersk sites in minutes</w:t>
      </w:r>
    </w:p>
    <w:p>
      <w:pPr>
        <w:pStyle w:val="ListParagraph"/>
        <w:numPr>
          <w:ilvl w:val="0"/>
          <w:numId w:val="2"/>
        </w:numPr>
        <w:spacing w:after="40" w:before="40"/>
      </w:pPr>
      <w:r>
        <w:rPr>
          <w:rFonts w:ascii="Arial" w:cs="Arial" w:eastAsia="Arial" w:hAnsi="Arial"/>
          <w:color w:val="1A202C"/>
          <w:sz w:val="22"/>
          <w:szCs w:val="22"/>
        </w:rPr>
        <w:t xml:space="preserve">Active Directory fully wiped with no offline backup — recovery required starting from scratch</w:t>
      </w:r>
    </w:p>
    <w:p>
      <w:pPr>
        <w:pStyle w:val="ListParagraph"/>
        <w:numPr>
          <w:ilvl w:val="0"/>
          <w:numId w:val="2"/>
        </w:numPr>
        <w:spacing w:after="40" w:before="40"/>
      </w:pPr>
      <w:r>
        <w:rPr>
          <w:rFonts w:ascii="Arial" w:cs="Arial" w:eastAsia="Arial" w:hAnsi="Arial"/>
          <w:color w:val="1A202C"/>
          <w:sz w:val="22"/>
          <w:szCs w:val="22"/>
        </w:rPr>
        <w:t xml:space="preserve">No tested recovery procedure for total IT destruction — recovery was improvised</w:t>
      </w:r>
    </w:p>
    <w:p>
      <w:pPr>
        <w:pStyle w:val="ListParagraph"/>
        <w:numPr>
          <w:ilvl w:val="0"/>
          <w:numId w:val="2"/>
        </w:numPr>
        <w:spacing w:after="40" w:before="40"/>
      </w:pPr>
      <w:r>
        <w:rPr>
          <w:rFonts w:ascii="Arial" w:cs="Arial" w:eastAsia="Arial" w:hAnsi="Arial"/>
          <w:color w:val="1A202C"/>
          <w:sz w:val="22"/>
          <w:szCs w:val="22"/>
        </w:rPr>
        <w:t xml:space="preserve">Recovery of 45,000 PCs required physically shipping hardware globally and reinstalling manually</w:t>
      </w:r>
    </w:p>
    <w:p>
      <w:pPr>
        <w:pStyle w:val="ListParagraph"/>
        <w:numPr>
          <w:ilvl w:val="0"/>
          <w:numId w:val="2"/>
        </w:numPr>
        <w:spacing w:after="40" w:before="40"/>
      </w:pPr>
      <w:r>
        <w:rPr>
          <w:rFonts w:ascii="Arial" w:cs="Arial" w:eastAsia="Arial" w:hAnsi="Arial"/>
          <w:color w:val="1A202C"/>
          <w:sz w:val="22"/>
          <w:szCs w:val="22"/>
        </w:rPr>
        <w:t xml:space="preserve">Ten days without operational IT affected bookings, port operations, and global trade flows</w:t>
      </w:r>
    </w:p>
    <w:p>
      <w:pPr>
        <w:spacing w:after="60" w:before="160"/>
      </w:pPr>
      <w:r>
        <w:rPr>
          <w:rFonts w:ascii="Arial" w:cs="Arial" w:eastAsia="Arial" w:hAnsi="Arial"/>
          <w:b/>
          <w:bCs/>
          <w:i w:val="false"/>
          <w:iCs w:val="false"/>
          <w:color w:val="4A5568"/>
          <w:sz w:val="20"/>
          <w:szCs w:val="20"/>
        </w:rPr>
        <w:t xml:space="preserve">Lessons learned &amp; NIST control recommendations</w:t>
      </w:r>
    </w:p>
    <w:p>
      <w:pPr>
        <w:pStyle w:val="ListParagraph"/>
        <w:numPr>
          <w:ilvl w:val="0"/>
          <w:numId w:val="3"/>
        </w:numPr>
        <w:spacing w:after="40" w:before="40"/>
      </w:pPr>
      <w:r>
        <w:rPr>
          <w:rFonts w:ascii="Arial" w:cs="Arial" w:eastAsia="Arial" w:hAnsi="Arial"/>
          <w:color w:val="1A202C"/>
          <w:sz w:val="22"/>
          <w:szCs w:val="22"/>
        </w:rPr>
        <w:t xml:space="preserve">Maintain offline, air-gapped backups of Active Directory and critical configuration — this is non-negotiable</w:t>
      </w:r>
    </w:p>
    <w:p>
      <w:pPr>
        <w:pStyle w:val="ListParagraph"/>
        <w:numPr>
          <w:ilvl w:val="0"/>
          <w:numId w:val="3"/>
        </w:numPr>
        <w:spacing w:after="40" w:before="40"/>
      </w:pPr>
      <w:r>
        <w:rPr>
          <w:rFonts w:ascii="Arial" w:cs="Arial" w:eastAsia="Arial" w:hAnsi="Arial"/>
          <w:color w:val="1A202C"/>
          <w:sz w:val="22"/>
          <w:szCs w:val="22"/>
        </w:rPr>
        <w:t xml:space="preserve">Segment networks aggressively — a flat global network is a single blast radius</w:t>
      </w:r>
    </w:p>
    <w:p>
      <w:pPr>
        <w:pStyle w:val="ListParagraph"/>
        <w:numPr>
          <w:ilvl w:val="0"/>
          <w:numId w:val="3"/>
        </w:numPr>
        <w:spacing w:after="40" w:before="40"/>
      </w:pPr>
      <w:r>
        <w:rPr>
          <w:rFonts w:ascii="Arial" w:cs="Arial" w:eastAsia="Arial" w:hAnsi="Arial"/>
          <w:color w:val="1A202C"/>
          <w:sz w:val="22"/>
          <w:szCs w:val="22"/>
        </w:rPr>
        <w:t xml:space="preserve">Test your recovery plan annually with a full tabletop exercise simulating total infrastructure loss</w:t>
      </w:r>
    </w:p>
    <w:p>
      <w:pPr>
        <w:pStyle w:val="ListParagraph"/>
        <w:numPr>
          <w:ilvl w:val="0"/>
          <w:numId w:val="3"/>
        </w:numPr>
        <w:spacing w:after="40" w:before="40"/>
      </w:pPr>
      <w:r>
        <w:rPr>
          <w:rFonts w:ascii="Arial" w:cs="Arial" w:eastAsia="Arial" w:hAnsi="Arial"/>
          <w:color w:val="1A202C"/>
          <w:sz w:val="22"/>
          <w:szCs w:val="22"/>
        </w:rPr>
        <w:t xml:space="preserve">Define Recovery Time Objectives (RTO) and Recovery Point Objectives (RPO) for every critical system</w:t>
      </w:r>
    </w:p>
    <w:p>
      <w:pPr>
        <w:pStyle w:val="ListParagraph"/>
        <w:numPr>
          <w:ilvl w:val="0"/>
          <w:numId w:val="3"/>
        </w:numPr>
        <w:spacing w:after="40" w:before="40"/>
      </w:pPr>
      <w:r>
        <w:rPr>
          <w:rFonts w:ascii="Arial" w:cs="Arial" w:eastAsia="Arial" w:hAnsi="Arial"/>
          <w:color w:val="1A202C"/>
          <w:sz w:val="22"/>
          <w:szCs w:val="22"/>
        </w:rPr>
        <w:t xml:space="preserve">Treat recovery as a business continuity problem: pre-position hardware, pre-negotiate vendor SLAs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A8A" w:sz="4"/>
              <w:left w:val="single" w:color="5B4A8A" w:sz="4"/>
              <w:bottom w:val="single" w:color="5B4A8A" w:sz="4"/>
              <w:right w:val="single" w:color="5B4A8A" w:sz="4"/>
            </w:tcBorders>
            <w:shd w:fill="F0EDFB" w:val="clear"/>
            <w:tcMar>
              <w:top w:type="dxa" w:w="160"/>
              <w:left w:type="dxa" w:w="200"/>
              <w:bottom w:type="dxa" w:w="160"/>
              <w:right w:type="dxa" w:w="200"/>
            </w:tcMar>
          </w:tcPr>
          <w:p>
            <w:pPr>
              <w:spacing w:after="80" w:before="0"/>
            </w:pPr>
            <w:r>
              <w:rPr>
                <w:rFonts w:ascii="Arial" w:cs="Arial" w:eastAsia="Arial" w:hAnsi="Arial"/>
                <w:b/>
                <w:bCs/>
                <w:i w:val="false"/>
                <w:iCs w:val="false"/>
                <w:color w:val="3A2F66"/>
                <w:sz w:val="20"/>
                <w:szCs w:val="20"/>
              </w:rPr>
              <w:t xml:space="preserve">Capstone analysis question</w:t>
            </w:r>
          </w:p>
          <w:p>
            <w:pPr>
              <w:spacing w:after="120" w:before="0"/>
            </w:pPr>
            <w:r>
              <w:rPr>
                <w:rFonts w:ascii="Arial" w:cs="Arial" w:eastAsia="Arial" w:hAnsi="Arial"/>
                <w:b w:val="false"/>
                <w:bCs w:val="false"/>
                <w:i/>
                <w:iCs/>
                <w:color w:val="3A2F66"/>
                <w:sz w:val="20"/>
                <w:szCs w:val="20"/>
              </w:rPr>
              <w:t xml:space="preserve">What does the Maersk incident teach us about the difference between backup and recovery?</w:t>
            </w:r>
          </w:p>
          <w:p>
            <w:pPr>
              <w:spacing w:after="0" w:before="0"/>
            </w:pPr>
            <w:r>
              <w:rPr>
                <w:rFonts w:ascii="Arial" w:cs="Arial" w:eastAsia="Arial" w:hAnsi="Arial"/>
                <w:b w:val="false"/>
                <w:bCs w:val="false"/>
                <w:i w:val="false"/>
                <w:iCs w:val="false"/>
                <w:color w:val="4A5568"/>
                <w:sz w:val="20"/>
                <w:szCs w:val="20"/>
              </w:rPr>
              <w:t xml:space="preserve">Maersk had data backups — but no tested recovery procedure. RC.RP-1 requires that recovery planning be executed, not merely documented. Maersk's recovery took 10 days because no one had ever practiced restoring 45,000 machines. A tested runbook would have reduced this to 2-3 days.</w:t>
            </w:r>
          </w:p>
        </w:tc>
      </w:tr>
    </w:tbl>
    <w:p>
      <w:pPr>
        <w:pBdr>
          <w:bottom w:val="single" w:color="E8ECF0" w:sz="4"/>
        </w:pBdr>
        <w:spacing w:after="120" w:before="120"/>
      </w:pPr>
      <w:r>
        <w:t xml:space="preserve"/>
      </w:r>
    </w:p>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5B4A8A" w:sz="8"/>
              <w:left w:val="single" w:color="5B4A8A" w:sz="8"/>
              <w:bottom w:val="single" w:color="5B4A8A" w:sz="8"/>
              <w:right w:val="none" w:color="FFFFFF" w:sz="0"/>
            </w:tcBorders>
            <w:shd w:fill="F0EDFB" w:val="clear"/>
            <w:tcMar>
              <w:top w:type="dxa" w:w="120"/>
              <w:left w:type="dxa" w:w="180"/>
              <w:bottom w:type="dxa" w:w="120"/>
              <w:right w:type="dxa" w:w="120"/>
            </w:tcMar>
          </w:tcPr>
          <w:p>
            <w:pPr>
              <w:spacing w:after="40" w:before="0"/>
            </w:pPr>
            <w:r>
              <w:rPr>
                <w:rFonts w:ascii="Arial" w:cs="Arial" w:eastAsia="Arial" w:hAnsi="Arial"/>
                <w:b/>
                <w:bCs/>
                <w:color w:val="3A2F66"/>
                <w:sz w:val="28"/>
                <w:szCs w:val="28"/>
              </w:rPr>
              <w:t xml:space="preserve">Case Study 9: Norsk Hydro</w:t>
            </w:r>
          </w:p>
          <w:p>
            <w:pPr>
              <w:spacing w:after="0" w:before="0"/>
            </w:pPr>
            <w:r>
              <w:rPr>
                <w:rFonts w:ascii="Arial" w:cs="Arial" w:eastAsia="Arial" w:hAnsi="Arial"/>
                <w:color w:val="5B4A8A"/>
                <w:sz w:val="18"/>
                <w:szCs w:val="18"/>
              </w:rPr>
              <w:t xml:space="preserve">Manufacturing / Aluminium · 2019</w:t>
            </w:r>
          </w:p>
        </w:tc>
        <w:tc>
          <w:tcPr>
            <w:tcW w:type="dxa" w:w="2160"/>
            <w:tcBorders>
              <w:top w:val="single" w:color="5B4A8A" w:sz="8"/>
              <w:left w:val="none" w:color="FFFFFF" w:sz="0"/>
              <w:bottom w:val="single" w:color="5B4A8A" w:sz="8"/>
              <w:right w:val="single" w:color="5B4A8A" w:sz="8"/>
            </w:tcBorders>
            <w:shd w:fill="5B4A8A" w:val="clear"/>
            <w:tcMar>
              <w:top w:type="dxa" w:w="60"/>
              <w:left w:type="dxa" w:w="60"/>
              <w:bottom w:type="dxa" w:w="60"/>
              <w:right w:type="dxa" w:w="60"/>
            </w:tcMar>
            <w:vAlign w:val="center"/>
          </w:tcPr>
          <w:p>
            <w:pPr>
              <w:spacing w:after="20" w:before="0"/>
              <w:jc w:val="center"/>
            </w:pPr>
            <w:r>
              <w:rPr>
                <w:rFonts w:ascii="Arial" w:cs="Arial" w:eastAsia="Arial" w:hAnsi="Arial"/>
                <w:color w:val="FFFFFF"/>
                <w:sz w:val="16"/>
                <w:szCs w:val="16"/>
              </w:rPr>
              <w:t xml:space="preserve">NIST CSF</w:t>
            </w:r>
          </w:p>
          <w:p>
            <w:pPr>
              <w:spacing w:after="0" w:before="0"/>
              <w:jc w:val="center"/>
            </w:pPr>
            <w:r>
              <w:rPr>
                <w:rFonts w:ascii="Arial" w:cs="Arial" w:eastAsia="Arial" w:hAnsi="Arial"/>
                <w:b/>
                <w:bCs/>
                <w:color w:val="FFFFFF"/>
                <w:sz w:val="24"/>
                <w:szCs w:val="24"/>
              </w:rPr>
              <w:t xml:space="preserve">Recover</w:t>
            </w:r>
          </w:p>
        </w:tc>
      </w:tr>
    </w:tbl>
    <w:p>
      <w:pPr>
        <w:spacing w:after="60" w:before="160"/>
      </w:pPr>
      <w:r>
        <w:rPr>
          <w:rFonts w:ascii="Arial" w:cs="Arial" w:eastAsia="Arial" w:hAnsi="Arial"/>
          <w:b/>
          <w:bCs/>
          <w:i w:val="false"/>
          <w:iCs w:val="false"/>
          <w:color w:val="4A5568"/>
          <w:sz w:val="20"/>
          <w:szCs w:val="20"/>
        </w:rPr>
        <w:t xml:space="preserve">Incident summary</w:t>
      </w:r>
    </w:p>
    <w:p>
      <w:pPr>
        <w:pBdr>
          <w:left w:val="single" w:color="5B4A8A" w:sz="12"/>
        </w:pBdr>
        <w:spacing w:after="120" w:before="0"/>
        <w:ind w:left="200"/>
      </w:pPr>
      <w:r>
        <w:rPr>
          <w:rFonts w:ascii="Arial" w:cs="Arial" w:eastAsia="Arial" w:hAnsi="Arial"/>
          <w:b w:val="false"/>
          <w:bCs w:val="false"/>
          <w:i/>
          <w:iCs/>
          <w:color w:val="1A202C"/>
          <w:sz w:val="21"/>
          <w:szCs w:val="21"/>
        </w:rPr>
        <w:t xml:space="preserve">LockerGoga ransomware forced the world's third-largest aluminium producer to halt automated operations globally and revert to manual processes. Norsk Hydro became a model for transparent crisis communications.</w:t>
      </w:r>
    </w:p>
    <w:p>
      <w:pPr>
        <w:spacing w:after="40" w:before="60"/>
      </w:pPr>
      <w:r>
        <w:rPr>
          <w:rFonts w:ascii="Arial" w:cs="Arial" w:eastAsia="Arial" w:hAnsi="Arial"/>
          <w:b/>
          <w:bCs/>
          <w:i w:val="false"/>
          <w:iCs w:val="false"/>
          <w:color w:val="1A202C"/>
          <w:sz w:val="20"/>
          <w:szCs w:val="20"/>
        </w:rPr>
        <w:t xml:space="preserve">Root cause: </w:t>
      </w:r>
      <w:r>
        <w:rPr>
          <w:rFonts w:ascii="Arial" w:cs="Arial" w:eastAsia="Arial" w:hAnsi="Arial"/>
          <w:b w:val="false"/>
          <w:bCs w:val="false"/>
          <w:i w:val="false"/>
          <w:iCs w:val="false"/>
          <w:color w:val="4A5568"/>
          <w:sz w:val="20"/>
          <w:szCs w:val="20"/>
        </w:rPr>
        <w:t xml:space="preserve">Lack of OT-specific recovery procedures meant plant operations could not be restored automatically. IT and OT recovery were not planned as separate workstreams.</w:t>
      </w:r>
    </w:p>
    <w:p>
      <w:pPr>
        <w:spacing w:after="60" w:before="160"/>
      </w:pPr>
      <w:r>
        <w:rPr>
          <w:rFonts w:ascii="Arial" w:cs="Arial" w:eastAsia="Arial" w:hAnsi="Arial"/>
          <w:b/>
          <w:bCs/>
          <w:i w:val="false"/>
          <w:iCs w:val="false"/>
          <w:color w:val="4A5568"/>
          <w:sz w:val="20"/>
          <w:szCs w:val="20"/>
        </w:rP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Financial cost</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$71 million total</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Records / scope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N/A — OT disruption</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Detection time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Rapid detection</w:t>
            </w:r>
          </w:p>
        </w:tc>
      </w:tr>
      <w:tr>
        <w:tc>
          <w:tcPr>
            <w:tcW w:type="dxa" w:w="2200"/>
            <w:tcBorders>
              <w:top w:val="single" w:color="E8ECF0" w:sz="4"/>
              <w:left w:val="single" w:color="E8ECF0" w:sz="4"/>
              <w:bottom w:val="single" w:color="E8ECF0" w:sz="4"/>
              <w:right w:val="single" w:color="E8ECF0" w:sz="4"/>
            </w:tcBorders>
            <w:shd w:fill="F5F7F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4A5568"/>
                <w:sz w:val="20"/>
                <w:szCs w:val="20"/>
              </w:rPr>
              <w:t xml:space="preserve">Regulatory fine</w:t>
            </w:r>
          </w:p>
        </w:tc>
        <w:tc>
          <w:tcPr>
            <w:tcW w:type="dxa" w:w="7160"/>
            <w:tcBorders>
              <w:top w:val="single" w:color="E8ECF0" w:sz="4"/>
              <w:left w:val="single" w:color="E8ECF0" w:sz="4"/>
              <w:bottom w:val="single" w:color="E8ECF0" w:sz="4"/>
              <w:right w:val="single" w:color="E8ECF0" w:sz="4"/>
            </w:tcBorders>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202C"/>
                <w:sz w:val="20"/>
                <w:szCs w:val="20"/>
              </w:rPr>
              <w:t xml:space="preserve">N/A</w:t>
            </w:r>
          </w:p>
        </w:tc>
      </w:tr>
    </w:tbl>
    <w:p>
      <w:pPr>
        <w:spacing w:after="60" w:before="160"/>
      </w:pPr>
      <w:r>
        <w:rPr>
          <w:rFonts w:ascii="Arial" w:cs="Arial" w:eastAsia="Arial" w:hAnsi="Arial"/>
          <w:b/>
          <w:bCs/>
          <w:i w:val="false"/>
          <w:iCs w:val="false"/>
          <w:color w:val="4A5568"/>
          <w:sz w:val="20"/>
          <w:szCs w:val="20"/>
        </w:rPr>
        <w:t xml:space="preserve">NIST CSF subcategory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4A8A"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RC.RP-1 — Recovery plan not exercised for OT systems</w:t>
            </w:r>
          </w:p>
        </w:tc>
      </w:tr>
      <w:tr>
        <w:tc>
          <w:tcPr>
            <w:tcW w:type="dxa" w:w="9360"/>
            <w:tcBorders>
              <w:top w:val="none" w:color="FFFFFF" w:sz="0"/>
              <w:left w:val="single" w:color="5B4A8A"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RC.CO-1 — No public communications strategy for cyber incidents</w:t>
            </w:r>
          </w:p>
        </w:tc>
      </w:tr>
      <w:tr>
        <w:tc>
          <w:tcPr>
            <w:tcW w:type="dxa" w:w="9360"/>
            <w:tcBorders>
              <w:top w:val="none" w:color="FFFFFF" w:sz="0"/>
              <w:left w:val="single" w:color="5B4A8A"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RC.IM-2 — Lessons from prior incidents not applied to recovery strategies</w:t>
            </w:r>
          </w:p>
        </w:tc>
      </w:tr>
      <w:tr>
        <w:tc>
          <w:tcPr>
            <w:tcW w:type="dxa" w:w="9360"/>
            <w:tcBorders>
              <w:top w:val="none" w:color="FFFFFF" w:sz="0"/>
              <w:left w:val="single" w:color="5B4A8A" w:sz="8"/>
              <w:bottom w:val="single" w:color="E8ECF0" w:sz="2"/>
              <w:right w:val="none" w:color="FFFFFF" w:sz="0"/>
            </w:tcBorders>
            <w:shd w:fill="FAFBFC" w:val="clear"/>
            <w:tcMar>
              <w:top w:type="dxa" w:w="80"/>
              <w:left w:type="dxa" w:w="160"/>
              <w:bottom w:type="dxa" w:w="80"/>
              <w:right w:type="dxa" w:w="120"/>
            </w:tcMar>
          </w:tcPr>
          <w:p>
            <w:pPr>
              <w:spacing w:after="120" w:before="0"/>
              <w:jc w:val="left"/>
            </w:pPr>
            <w:r>
              <w:rPr>
                <w:rFonts w:ascii="Arial" w:cs="Arial" w:eastAsia="Arial" w:hAnsi="Arial"/>
                <w:b w:val="false"/>
                <w:bCs w:val="false"/>
                <w:i w:val="false"/>
                <w:iCs w:val="false"/>
                <w:color w:val="4A5568"/>
                <w:sz w:val="20"/>
                <w:szCs w:val="20"/>
              </w:rPr>
              <w:t xml:space="preserve">RC.CO-3 — Recovery activities not communicated to stakeholders and executives</w:t>
            </w:r>
          </w:p>
        </w:tc>
      </w:tr>
    </w:tbl>
    <w:p>
      <w:pPr>
        <w:spacing w:after="60" w:before="160"/>
      </w:pPr>
      <w:r>
        <w:rPr>
          <w:rFonts w:ascii="Arial" w:cs="Arial" w:eastAsia="Arial" w:hAnsi="Arial"/>
          <w:b/>
          <w:bCs/>
          <w:i w:val="false"/>
          <w:iCs w:val="false"/>
          <w:color w:val="4A5568"/>
          <w:sz w:val="20"/>
          <w:szCs w:val="20"/>
        </w:rPr>
        <w:t xml:space="preserve">What failed — root cause analysis</w:t>
      </w:r>
    </w:p>
    <w:p>
      <w:pPr>
        <w:pStyle w:val="ListParagraph"/>
        <w:numPr>
          <w:ilvl w:val="0"/>
          <w:numId w:val="2"/>
        </w:numPr>
        <w:spacing w:after="40" w:before="40"/>
      </w:pPr>
      <w:r>
        <w:rPr>
          <w:rFonts w:ascii="Arial" w:cs="Arial" w:eastAsia="Arial" w:hAnsi="Arial"/>
          <w:color w:val="1A202C"/>
          <w:sz w:val="22"/>
          <w:szCs w:val="22"/>
        </w:rPr>
        <w:t xml:space="preserve">No tested OT recovery procedure — plant operations reverted to manual for weeks</w:t>
      </w:r>
    </w:p>
    <w:p>
      <w:pPr>
        <w:pStyle w:val="ListParagraph"/>
        <w:numPr>
          <w:ilvl w:val="0"/>
          <w:numId w:val="2"/>
        </w:numPr>
        <w:spacing w:after="40" w:before="40"/>
      </w:pPr>
      <w:r>
        <w:rPr>
          <w:rFonts w:ascii="Arial" w:cs="Arial" w:eastAsia="Arial" w:hAnsi="Arial"/>
          <w:color w:val="1A202C"/>
          <w:sz w:val="22"/>
          <w:szCs w:val="22"/>
        </w:rPr>
        <w:t xml:space="preserve">Backup restoration took significantly longer than RTO targets for production systems</w:t>
      </w:r>
    </w:p>
    <w:p>
      <w:pPr>
        <w:pStyle w:val="ListParagraph"/>
        <w:numPr>
          <w:ilvl w:val="0"/>
          <w:numId w:val="2"/>
        </w:numPr>
        <w:spacing w:after="40" w:before="40"/>
      </w:pPr>
      <w:r>
        <w:rPr>
          <w:rFonts w:ascii="Arial" w:cs="Arial" w:eastAsia="Arial" w:hAnsi="Arial"/>
          <w:color w:val="1A202C"/>
          <w:sz w:val="22"/>
          <w:szCs w:val="22"/>
        </w:rPr>
        <w:t xml:space="preserve">IT and OT recovery were not planned as separate workstreams with separate RTO/RPO</w:t>
      </w:r>
    </w:p>
    <w:p>
      <w:pPr>
        <w:pStyle w:val="ListParagraph"/>
        <w:numPr>
          <w:ilvl w:val="0"/>
          <w:numId w:val="2"/>
        </w:numPr>
        <w:spacing w:after="40" w:before="40"/>
      </w:pPr>
      <w:r>
        <w:rPr>
          <w:rFonts w:ascii="Arial" w:cs="Arial" w:eastAsia="Arial" w:hAnsi="Arial"/>
          <w:color w:val="1A202C"/>
          <w:sz w:val="22"/>
          <w:szCs w:val="22"/>
        </w:rPr>
        <w:t xml:space="preserve">Initial communications were ad-hoc before the crisis communications team engaged</w:t>
      </w:r>
    </w:p>
    <w:p>
      <w:pPr>
        <w:spacing w:after="60" w:before="160"/>
      </w:pPr>
      <w:r>
        <w:rPr>
          <w:rFonts w:ascii="Arial" w:cs="Arial" w:eastAsia="Arial" w:hAnsi="Arial"/>
          <w:b/>
          <w:bCs/>
          <w:i w:val="false"/>
          <w:iCs w:val="false"/>
          <w:color w:val="4A5568"/>
          <w:sz w:val="20"/>
          <w:szCs w:val="20"/>
        </w:rPr>
        <w:t xml:space="preserve">Lessons learned &amp; NIST control recommendations</w:t>
      </w:r>
    </w:p>
    <w:p>
      <w:pPr>
        <w:pStyle w:val="ListParagraph"/>
        <w:numPr>
          <w:ilvl w:val="0"/>
          <w:numId w:val="3"/>
        </w:numPr>
        <w:spacing w:after="40" w:before="40"/>
      </w:pPr>
      <w:r>
        <w:rPr>
          <w:rFonts w:ascii="Arial" w:cs="Arial" w:eastAsia="Arial" w:hAnsi="Arial"/>
          <w:color w:val="1A202C"/>
          <w:sz w:val="22"/>
          <w:szCs w:val="22"/>
        </w:rPr>
        <w:t xml:space="preserve">Norsk Hydro published daily public updates — a gold standard for RC.CO-1 stakeholder transparency</w:t>
      </w:r>
    </w:p>
    <w:p>
      <w:pPr>
        <w:pStyle w:val="ListParagraph"/>
        <w:numPr>
          <w:ilvl w:val="0"/>
          <w:numId w:val="3"/>
        </w:numPr>
        <w:spacing w:after="40" w:before="40"/>
      </w:pPr>
      <w:r>
        <w:rPr>
          <w:rFonts w:ascii="Arial" w:cs="Arial" w:eastAsia="Arial" w:hAnsi="Arial"/>
          <w:color w:val="1A202C"/>
          <w:sz w:val="22"/>
          <w:szCs w:val="22"/>
        </w:rPr>
        <w:t xml:space="preserve">Define separate RTO and RPO targets for IT and OT systems — production lines have different tolerances than email</w:t>
      </w:r>
    </w:p>
    <w:p>
      <w:pPr>
        <w:pStyle w:val="ListParagraph"/>
        <w:numPr>
          <w:ilvl w:val="0"/>
          <w:numId w:val="3"/>
        </w:numPr>
        <w:spacing w:after="40" w:before="40"/>
      </w:pPr>
      <w:r>
        <w:rPr>
          <w:rFonts w:ascii="Arial" w:cs="Arial" w:eastAsia="Arial" w:hAnsi="Arial"/>
          <w:color w:val="1A202C"/>
          <w:sz w:val="22"/>
          <w:szCs w:val="22"/>
        </w:rPr>
        <w:t xml:space="preserve">Maintain manual operating procedures for all automated production processes as a fallback</w:t>
      </w:r>
    </w:p>
    <w:p>
      <w:pPr>
        <w:pStyle w:val="ListParagraph"/>
        <w:numPr>
          <w:ilvl w:val="0"/>
          <w:numId w:val="3"/>
        </w:numPr>
        <w:spacing w:after="40" w:before="40"/>
      </w:pPr>
      <w:r>
        <w:rPr>
          <w:rFonts w:ascii="Arial" w:cs="Arial" w:eastAsia="Arial" w:hAnsi="Arial"/>
          <w:color w:val="1A202C"/>
          <w:sz w:val="22"/>
          <w:szCs w:val="22"/>
        </w:rPr>
        <w:t xml:space="preserve">Conduct OT-specific tabletop exercises separate from IT DR exercises</w:t>
      </w:r>
    </w:p>
    <w:p>
      <w:pPr>
        <w:pStyle w:val="ListParagraph"/>
        <w:numPr>
          <w:ilvl w:val="0"/>
          <w:numId w:val="3"/>
        </w:numPr>
        <w:spacing w:after="40" w:before="40"/>
      </w:pPr>
      <w:r>
        <w:rPr>
          <w:rFonts w:ascii="Arial" w:cs="Arial" w:eastAsia="Arial" w:hAnsi="Arial"/>
          <w:color w:val="1A202C"/>
          <w:sz w:val="22"/>
          <w:szCs w:val="22"/>
        </w:rPr>
        <w:t xml:space="preserve">Engage cyber insurance and external forensics firms under retainer before an incident occurs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A8A" w:sz="4"/>
              <w:left w:val="single" w:color="5B4A8A" w:sz="4"/>
              <w:bottom w:val="single" w:color="5B4A8A" w:sz="4"/>
              <w:right w:val="single" w:color="5B4A8A" w:sz="4"/>
            </w:tcBorders>
            <w:shd w:fill="F0EDFB" w:val="clear"/>
            <w:tcMar>
              <w:top w:type="dxa" w:w="160"/>
              <w:left w:type="dxa" w:w="200"/>
              <w:bottom w:type="dxa" w:w="160"/>
              <w:right w:type="dxa" w:w="200"/>
            </w:tcMar>
          </w:tcPr>
          <w:p>
            <w:pPr>
              <w:spacing w:after="80" w:before="0"/>
            </w:pPr>
            <w:r>
              <w:rPr>
                <w:rFonts w:ascii="Arial" w:cs="Arial" w:eastAsia="Arial" w:hAnsi="Arial"/>
                <w:b/>
                <w:bCs/>
                <w:i w:val="false"/>
                <w:iCs w:val="false"/>
                <w:color w:val="3A2F66"/>
                <w:sz w:val="20"/>
                <w:szCs w:val="20"/>
              </w:rPr>
              <w:t xml:space="preserve">Capstone analysis question</w:t>
            </w:r>
          </w:p>
          <w:p>
            <w:pPr>
              <w:spacing w:after="120" w:before="0"/>
            </w:pPr>
            <w:r>
              <w:rPr>
                <w:rFonts w:ascii="Arial" w:cs="Arial" w:eastAsia="Arial" w:hAnsi="Arial"/>
                <w:b w:val="false"/>
                <w:bCs w:val="false"/>
                <w:i/>
                <w:iCs/>
                <w:color w:val="3A2F66"/>
                <w:sz w:val="20"/>
                <w:szCs w:val="20"/>
              </w:rPr>
              <w:t xml:space="preserve">What made Norsk Hydro's response a gold standard for NIST CSF RC.CO communications?</w:t>
            </w:r>
          </w:p>
          <w:p>
            <w:pPr>
              <w:spacing w:after="0" w:before="0"/>
            </w:pPr>
            <w:r>
              <w:rPr>
                <w:rFonts w:ascii="Arial" w:cs="Arial" w:eastAsia="Arial" w:hAnsi="Arial"/>
                <w:b w:val="false"/>
                <w:bCs w:val="false"/>
                <w:i w:val="false"/>
                <w:iCs w:val="false"/>
                <w:color w:val="4A5568"/>
                <w:sz w:val="20"/>
                <w:szCs w:val="20"/>
              </w:rPr>
              <w:t xml:space="preserve">RC.CO-1 requires that public relations and reputation be managed during recovery. Norsk Hydro chose radical transparency: daily live-streamed press briefings, real-time website updates, and direct CEO engagement. This built enormous public trust and is now studied as the benchmark for responsible cyber crisis communications.</w:t>
            </w:r>
          </w:p>
        </w:tc>
      </w:tr>
    </w:tbl>
    <w:p>
      <w:pPr>
        <w:pBdr>
          <w:bottom w:val="single" w:color="E8ECF0" w:sz="4"/>
        </w:pBdr>
        <w:spacing w:after="120" w:before="120"/>
      </w:pPr>
      <w:r>
        <w:t xml:space="preserve"/>
      </w:r>
    </w:p>
    <w:p>
      <w:r>
        <w:br w:type="page"/>
      </w:r>
    </w:p>
    <w:p>
      <w:pPr>
        <w:pStyle w:val="Heading1"/>
      </w:pPr>
      <w:r>
        <w:rPr>
          <w:rFonts w:ascii="Arial" w:cs="Arial" w:eastAsia="Arial" w:hAnsi="Arial"/>
          <w:b/>
          <w:bCs/>
          <w:color w:val="1B3A5C"/>
          <w:sz w:val="36"/>
          <w:szCs w:val="36"/>
        </w:rPr>
        <w:t xml:space="preserve">Conclusion &amp; recommendations</w:t>
      </w:r>
    </w:p>
    <w:p>
      <w:pPr>
        <w:pBdr>
          <w:bottom w:val="single" w:color="2E6DA4" w:sz="4"/>
        </w:pBdr>
        <w:spacing w:after="120" w:before="120"/>
      </w:pPr>
      <w:r>
        <w:t xml:space="preserve"/>
      </w:r>
    </w:p>
    <w:p>
      <w:pPr>
        <w:spacing w:after="200" w:before="120"/>
        <w:jc w:val="left"/>
      </w:pPr>
      <w:r>
        <w:rPr>
          <w:rFonts w:ascii="Arial" w:cs="Arial" w:eastAsia="Arial" w:hAnsi="Arial"/>
          <w:b w:val="false"/>
          <w:bCs w:val="false"/>
          <w:i w:val="false"/>
          <w:iCs w:val="false"/>
          <w:color w:val="1A202C"/>
          <w:sz w:val="22"/>
          <w:szCs w:val="22"/>
        </w:rPr>
        <w:t xml:space="preserve">The nine case studies in this capstone illustrate a consistent pattern: major cybersecurity incidents are not caused by novel, unstoppable attacks. They are caused by the absence of controls that the NIST Cybersecurity Framework explicitly requires. The framework is not theoretical — it is a direct map from real-world failures to implementable solutions.</w:t>
      </w:r>
    </w:p>
    <w:p>
      <w:pPr>
        <w:pStyle w:val="Heading2"/>
      </w:pPr>
      <w:r>
        <w:rPr>
          <w:rFonts w:ascii="Arial" w:cs="Arial" w:eastAsia="Arial" w:hAnsi="Arial"/>
          <w:b/>
          <w:bCs/>
          <w:color w:val="2E6DA4"/>
          <w:sz w:val="26"/>
          <w:szCs w:val="26"/>
        </w:rPr>
        <w:t xml:space="preserve">Key themes across all five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0"/>
              <w:bottom w:val="single" w:color="E8ECF0" w:sz="2"/>
              <w:right w:val="none" w:color="FFFFFF" w:sz="0"/>
            </w:tcBorders>
            <w:shd w:fill="FAFBFC" w:val="clear"/>
            <w:tcMar>
              <w:top w:type="dxa" w:w="100"/>
              <w:left w:type="dxa" w:w="180"/>
              <w:bottom w:type="dxa" w:w="100"/>
              <w:right w:type="dxa" w:w="120"/>
            </w:tcMar>
          </w:tcPr>
          <w:p>
            <w:pPr>
              <w:spacing w:after="40" w:before="0"/>
            </w:pPr>
            <w:r>
              <w:rPr>
                <w:rFonts w:ascii="Arial" w:cs="Arial" w:eastAsia="Arial" w:hAnsi="Arial"/>
                <w:b/>
                <w:bCs/>
                <w:color w:val="1B3A5C"/>
                <w:sz w:val="22"/>
                <w:szCs w:val="22"/>
              </w:rPr>
              <w:t xml:space="preserve">You cannot protect what you do not inventory.</w:t>
            </w:r>
          </w:p>
          <w:p>
            <w:pPr>
              <w:spacing w:after="0" w:before="0"/>
            </w:pPr>
            <w:r>
              <w:rPr>
                <w:rFonts w:ascii="Arial" w:cs="Arial" w:eastAsia="Arial" w:hAnsi="Arial"/>
                <w:color w:val="4A5568"/>
                <w:sz w:val="20"/>
                <w:szCs w:val="20"/>
              </w:rPr>
              <w:t xml:space="preserve">Both Equifax and SolarWinds demonstrate that the Identify function is not administrative overhead — it is the prerequisite for every other control. Asset blindness is breach blindness.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0"/>
              <w:bottom w:val="single" w:color="E8ECF0" w:sz="2"/>
              <w:right w:val="none" w:color="FFFFFF" w:sz="0"/>
            </w:tcBorders>
            <w:shd w:fill="FAFBFC" w:val="clear"/>
            <w:tcMar>
              <w:top w:type="dxa" w:w="100"/>
              <w:left w:type="dxa" w:w="180"/>
              <w:bottom w:type="dxa" w:w="100"/>
              <w:right w:type="dxa" w:w="120"/>
            </w:tcMar>
          </w:tcPr>
          <w:p>
            <w:pPr>
              <w:spacing w:after="40" w:before="0"/>
            </w:pPr>
            <w:r>
              <w:rPr>
                <w:rFonts w:ascii="Arial" w:cs="Arial" w:eastAsia="Arial" w:hAnsi="Arial"/>
                <w:b/>
                <w:bCs/>
                <w:color w:val="1B3A5C"/>
                <w:sz w:val="22"/>
                <w:szCs w:val="22"/>
              </w:rPr>
              <w:t xml:space="preserve">One control failure is rarely the whole story.</w:t>
            </w:r>
          </w:p>
          <w:p>
            <w:pPr>
              <w:spacing w:after="0" w:before="0"/>
            </w:pPr>
            <w:r>
              <w:rPr>
                <w:rFonts w:ascii="Arial" w:cs="Arial" w:eastAsia="Arial" w:hAnsi="Arial"/>
                <w:color w:val="4A5568"/>
                <w:sz w:val="20"/>
                <w:szCs w:val="20"/>
              </w:rPr>
              <w:t xml:space="preserve">Every case study involves multiple NIST gaps. Target's breach required both a PR.AC vendor access failure and a PR.PT network segmentation failure. Controls must be layered.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0"/>
              <w:bottom w:val="single" w:color="E8ECF0" w:sz="2"/>
              <w:right w:val="none" w:color="FFFFFF" w:sz="0"/>
            </w:tcBorders>
            <w:shd w:fill="FAFBFC" w:val="clear"/>
            <w:tcMar>
              <w:top w:type="dxa" w:w="100"/>
              <w:left w:type="dxa" w:w="180"/>
              <w:bottom w:type="dxa" w:w="100"/>
              <w:right w:type="dxa" w:w="120"/>
            </w:tcMar>
          </w:tcPr>
          <w:p>
            <w:pPr>
              <w:spacing w:after="40" w:before="0"/>
            </w:pPr>
            <w:r>
              <w:rPr>
                <w:rFonts w:ascii="Arial" w:cs="Arial" w:eastAsia="Arial" w:hAnsi="Arial"/>
                <w:b/>
                <w:bCs/>
                <w:color w:val="1B3A5C"/>
                <w:sz w:val="22"/>
                <w:szCs w:val="22"/>
              </w:rPr>
              <w:t xml:space="preserve">Detection speed is the most powerful variable.</w:t>
            </w:r>
          </w:p>
          <w:p>
            <w:pPr>
              <w:spacing w:after="0" w:before="0"/>
            </w:pPr>
            <w:r>
              <w:rPr>
                <w:rFonts w:ascii="Arial" w:cs="Arial" w:eastAsia="Arial" w:hAnsi="Arial"/>
                <w:color w:val="4A5568"/>
                <w:sz w:val="20"/>
                <w:szCs w:val="20"/>
              </w:rPr>
              <w:t xml:space="preserve">Marriott's 4-year dwell time versus British Airways's 14-day skimmer illustrates how DE.CM maturity determines whether a breach becomes a footnote or a $500M liability.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0"/>
              <w:bottom w:val="single" w:color="E8ECF0" w:sz="2"/>
              <w:right w:val="none" w:color="FFFFFF" w:sz="0"/>
            </w:tcBorders>
            <w:shd w:fill="FAFBFC" w:val="clear"/>
            <w:tcMar>
              <w:top w:type="dxa" w:w="100"/>
              <w:left w:type="dxa" w:w="180"/>
              <w:bottom w:type="dxa" w:w="100"/>
              <w:right w:type="dxa" w:w="120"/>
            </w:tcMar>
          </w:tcPr>
          <w:p>
            <w:pPr>
              <w:spacing w:after="40" w:before="0"/>
            </w:pPr>
            <w:r>
              <w:rPr>
                <w:rFonts w:ascii="Arial" w:cs="Arial" w:eastAsia="Arial" w:hAnsi="Arial"/>
                <w:b/>
                <w:bCs/>
                <w:color w:val="1B3A5C"/>
                <w:sz w:val="22"/>
                <w:szCs w:val="22"/>
              </w:rPr>
              <w:t xml:space="preserve">Response plans must be rehearsed, not just written.</w:t>
            </w:r>
          </w:p>
          <w:p>
            <w:pPr>
              <w:spacing w:after="0" w:before="0"/>
            </w:pPr>
            <w:r>
              <w:rPr>
                <w:rFonts w:ascii="Arial" w:cs="Arial" w:eastAsia="Arial" w:hAnsi="Arial"/>
                <w:color w:val="4A5568"/>
                <w:sz w:val="20"/>
                <w:szCs w:val="20"/>
              </w:rPr>
              <w:t xml:space="preserve">Colonial Pipeline had an IT DR plan. They had no tested OT ransomware playbook. Maersk had backups but no tested recovery procedure. RS.RP-1 and RC.RP-1 require execution, not documentation.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0"/>
              <w:bottom w:val="single" w:color="E8ECF0" w:sz="2"/>
              <w:right w:val="none" w:color="FFFFFF" w:sz="0"/>
            </w:tcBorders>
            <w:shd w:fill="FAFBFC" w:val="clear"/>
            <w:tcMar>
              <w:top w:type="dxa" w:w="100"/>
              <w:left w:type="dxa" w:w="180"/>
              <w:bottom w:type="dxa" w:w="100"/>
              <w:right w:type="dxa" w:w="120"/>
            </w:tcMar>
          </w:tcPr>
          <w:p>
            <w:pPr>
              <w:spacing w:after="40" w:before="0"/>
            </w:pPr>
            <w:r>
              <w:rPr>
                <w:rFonts w:ascii="Arial" w:cs="Arial" w:eastAsia="Arial" w:hAnsi="Arial"/>
                <w:b/>
                <w:bCs/>
                <w:color w:val="1B3A5C"/>
                <w:sz w:val="22"/>
                <w:szCs w:val="22"/>
              </w:rPr>
              <w:t xml:space="preserve">Communications is a security control.</w:t>
            </w:r>
          </w:p>
          <w:p>
            <w:pPr>
              <w:spacing w:after="0" w:before="0"/>
            </w:pPr>
            <w:r>
              <w:rPr>
                <w:rFonts w:ascii="Arial" w:cs="Arial" w:eastAsia="Arial" w:hAnsi="Arial"/>
                <w:color w:val="4A5568"/>
                <w:sz w:val="20"/>
                <w:szCs w:val="20"/>
              </w:rPr>
              <w:t xml:space="preserve">Norsk Hydro's transparent daily briefings protected their brand equity and are now a case study taught at business schools. RC.CO-1 is not soft — it is strategically material.</w:t>
            </w:r>
          </w:p>
        </w:tc>
      </w:tr>
    </w:tbl>
    <w:p>
      <w:pPr>
        <w:spacing w:after="0" w:before="80"/>
      </w:pPr>
    </w:p>
    <w:p>
      <w:pPr>
        <w:spacing w:after="0" w:before="240"/>
      </w:pPr>
    </w:p>
    <w:p>
      <w:pPr>
        <w:pStyle w:val="Heading2"/>
      </w:pPr>
      <w:r>
        <w:rPr>
          <w:rFonts w:ascii="Arial" w:cs="Arial" w:eastAsia="Arial" w:hAnsi="Arial"/>
          <w:b/>
          <w:bCs/>
          <w:color w:val="2E6DA4"/>
          <w:sz w:val="26"/>
          <w:szCs w:val="26"/>
        </w:rPr>
        <w:t xml:space="preserve">Priority recommendations</w:t>
      </w:r>
    </w:p>
    <w:p>
      <w:pPr>
        <w:pStyle w:val="ListParagraph"/>
        <w:numPr>
          <w:ilvl w:val="0"/>
          <w:numId w:val="4"/>
        </w:numPr>
        <w:spacing w:after="40" w:before="40"/>
      </w:pPr>
      <w:r>
        <w:rPr>
          <w:rFonts w:ascii="Arial" w:cs="Arial" w:eastAsia="Arial" w:hAnsi="Arial"/>
          <w:color w:val="1A202C"/>
          <w:sz w:val="22"/>
          <w:szCs w:val="22"/>
        </w:rPr>
        <w:t xml:space="preserve">Conduct an annual NIST CSF self-assessment using the CSF 2.0 Organizational Profile template</w:t>
      </w:r>
    </w:p>
    <w:p>
      <w:pPr>
        <w:pStyle w:val="ListParagraph"/>
        <w:numPr>
          <w:ilvl w:val="0"/>
          <w:numId w:val="4"/>
        </w:numPr>
        <w:spacing w:after="40" w:before="40"/>
      </w:pPr>
      <w:r>
        <w:rPr>
          <w:rFonts w:ascii="Arial" w:cs="Arial" w:eastAsia="Arial" w:hAnsi="Arial"/>
          <w:color w:val="1A202C"/>
          <w:sz w:val="22"/>
          <w:szCs w:val="22"/>
        </w:rPr>
        <w:t xml:space="preserve">Prioritise Identify function maturity — without asset inventory, all other controls are guesswork</w:t>
      </w:r>
    </w:p>
    <w:p>
      <w:pPr>
        <w:pStyle w:val="ListParagraph"/>
        <w:numPr>
          <w:ilvl w:val="0"/>
          <w:numId w:val="4"/>
        </w:numPr>
        <w:spacing w:after="40" w:before="40"/>
      </w:pPr>
      <w:r>
        <w:rPr>
          <w:rFonts w:ascii="Arial" w:cs="Arial" w:eastAsia="Arial" w:hAnsi="Arial"/>
          <w:color w:val="1A202C"/>
          <w:sz w:val="22"/>
          <w:szCs w:val="22"/>
        </w:rPr>
        <w:t xml:space="preserve">Implement MFA on all remote access within 30 days — every case study without it was exploited via credentials</w:t>
      </w:r>
    </w:p>
    <w:p>
      <w:pPr>
        <w:pStyle w:val="ListParagraph"/>
        <w:numPr>
          <w:ilvl w:val="0"/>
          <w:numId w:val="4"/>
        </w:numPr>
        <w:spacing w:after="40" w:before="40"/>
      </w:pPr>
      <w:r>
        <w:rPr>
          <w:rFonts w:ascii="Arial" w:cs="Arial" w:eastAsia="Arial" w:hAnsi="Arial"/>
          <w:color w:val="1A202C"/>
          <w:sz w:val="22"/>
          <w:szCs w:val="22"/>
        </w:rPr>
        <w:t xml:space="preserve">Segment networks before a breach, not after — segmentation is the single highest-ROI protective control</w:t>
      </w:r>
    </w:p>
    <w:p>
      <w:pPr>
        <w:pStyle w:val="ListParagraph"/>
        <w:numPr>
          <w:ilvl w:val="0"/>
          <w:numId w:val="4"/>
        </w:numPr>
        <w:spacing w:after="40" w:before="40"/>
      </w:pPr>
      <w:r>
        <w:rPr>
          <w:rFonts w:ascii="Arial" w:cs="Arial" w:eastAsia="Arial" w:hAnsi="Arial"/>
          <w:color w:val="1A202C"/>
          <w:sz w:val="22"/>
          <w:szCs w:val="22"/>
        </w:rPr>
        <w:t xml:space="preserve">Run a tabletop exercise annually simulating total infrastructure loss — Maersk and Colonial paid dearly for skipping this</w:t>
      </w:r>
    </w:p>
    <w:p>
      <w:pPr>
        <w:pStyle w:val="ListParagraph"/>
        <w:numPr>
          <w:ilvl w:val="0"/>
          <w:numId w:val="4"/>
        </w:numPr>
        <w:spacing w:after="40" w:before="40"/>
      </w:pPr>
      <w:r>
        <w:rPr>
          <w:rFonts w:ascii="Arial" w:cs="Arial" w:eastAsia="Arial" w:hAnsi="Arial"/>
          <w:color w:val="1A202C"/>
          <w:sz w:val="22"/>
          <w:szCs w:val="22"/>
        </w:rPr>
        <w:t xml:space="preserve">Build GDPR / regulatory breach notification into your IR runbook as a standing, timestamped obligation</w:t>
      </w:r>
    </w:p>
    <w:p>
      <w:pPr>
        <w:pStyle w:val="ListParagraph"/>
        <w:numPr>
          <w:ilvl w:val="0"/>
          <w:numId w:val="4"/>
        </w:numPr>
        <w:spacing w:after="40" w:before="40"/>
      </w:pPr>
      <w:r>
        <w:rPr>
          <w:rFonts w:ascii="Arial" w:cs="Arial" w:eastAsia="Arial" w:hAnsi="Arial"/>
          <w:color w:val="1A202C"/>
          <w:sz w:val="22"/>
          <w:szCs w:val="22"/>
        </w:rPr>
        <w:t xml:space="preserve">Treat M&amp;A due diligence as a cyber risk event — acquire the attacker along with the company otherwise</w:t>
      </w:r>
    </w:p>
    <w:p>
      <w:pPr>
        <w:pStyle w:val="ListParagraph"/>
        <w:numPr>
          <w:ilvl w:val="0"/>
          <w:numId w:val="4"/>
        </w:numPr>
        <w:spacing w:after="40" w:before="40"/>
      </w:pPr>
      <w:r>
        <w:rPr>
          <w:rFonts w:ascii="Arial" w:cs="Arial" w:eastAsia="Arial" w:hAnsi="Arial"/>
          <w:color w:val="1A202C"/>
          <w:sz w:val="22"/>
          <w:szCs w:val="22"/>
        </w:rPr>
        <w:t xml:space="preserve">Adopt radical transparency in crisis communications — Norsk Hydro's model is the industry benchmark</w:t>
      </w:r>
    </w:p>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200"/>
              <w:left w:type="dxa" w:w="240"/>
              <w:bottom w:type="dxa" w:w="200"/>
              <w:right w:type="dxa" w:w="240"/>
            </w:tcMar>
          </w:tcPr>
          <w:p>
            <w:pPr>
              <w:spacing w:after="80" w:before="0"/>
              <w:jc w:val="center"/>
            </w:pPr>
            <w:r>
              <w:rPr>
                <w:rFonts w:ascii="Arial" w:cs="Arial" w:eastAsia="Arial" w:hAnsi="Arial"/>
                <w:i/>
                <w:iCs/>
                <w:color w:val="FFFFFF"/>
                <w:sz w:val="22"/>
                <w:szCs w:val="22"/>
              </w:rPr>
              <w:t xml:space="preserve">"The question is not whether your organisation will face a cybersecurity incident.</w:t>
            </w:r>
          </w:p>
          <w:p>
            <w:pPr>
              <w:spacing w:after="0" w:before="0"/>
              <w:jc w:val="center"/>
            </w:pPr>
            <w:r>
              <w:rPr>
                <w:rFonts w:ascii="Arial" w:cs="Arial" w:eastAsia="Arial" w:hAnsi="Arial"/>
                <w:i/>
                <w:iCs/>
                <w:color w:val="FFFFFF"/>
                <w:sz w:val="22"/>
                <w:szCs w:val="22"/>
              </w:rPr>
              <w:t xml:space="preserve">The question is whether you will be Maersk — or Norsk Hydro."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E8ECF0" w:sz="2"/>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B0B8C4"/>
              <w:sz w:val="16"/>
              <w:szCs w:val="16"/>
            </w:rPr>
            <w:t xml:space="preserve">Confidential — GRC Capstone Project</w:t>
          </w:r>
        </w:p>
      </w:tc>
      <w:tc>
        <w:tcPr>
          <w:tcW w:type="dxa" w:w="3360"/>
          <w:tcBorders>
            <w:top w:val="single" w:color="E8ECF0" w:sz="2"/>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B0B8C4"/>
              <w:sz w:val="16"/>
              <w:szCs w:val="16"/>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2E6DA4" w:sz="4"/>
            <w:right w:val="none" w:color="FFFFFF" w:sz="0"/>
          </w:tcBorders>
          <w:tcMar>
            <w:top w:type="dxa" w:w="60"/>
            <w:left w:type="dxa" w:w="0"/>
            <w:bottom w:type="dxa" w:w="60"/>
            <w:right w:type="dxa" w:w="0"/>
          </w:tcMar>
        </w:tcPr>
        <w:p>
          <w:r>
            <w:rPr>
              <w:rFonts w:ascii="Arial" w:cs="Arial" w:eastAsia="Arial" w:hAnsi="Arial"/>
              <w:color w:val="4A5568"/>
              <w:sz w:val="18"/>
              <w:szCs w:val="18"/>
            </w:rPr>
            <w:t xml:space="preserve">NIST CSF Capstone — Real-World Case Studies</w:t>
          </w:r>
        </w:p>
      </w:tc>
      <w:tc>
        <w:tcPr>
          <w:tcW w:type="dxa" w:w="3360"/>
          <w:tcBorders>
            <w:top w:val="none" w:color="FFFFFF" w:sz="0"/>
            <w:left w:val="none" w:color="FFFFFF" w:sz="0"/>
            <w:bottom w:val="single" w:color="2E6DA4" w:sz="4"/>
            <w:right w:val="none" w:color="FFFFFF" w:sz="0"/>
          </w:tcBorders>
          <w:tcMar>
            <w:top w:type="dxa" w:w="60"/>
            <w:left w:type="dxa" w:w="0"/>
            <w:bottom w:type="dxa" w:w="60"/>
            <w:right w:type="dxa" w:w="0"/>
          </w:tcMar>
        </w:tcPr>
        <w:p>
          <w:pPr>
            <w:jc w:val="right"/>
          </w:pPr>
          <w:r>
            <w:rPr>
              <w:rFonts w:ascii="Arial" w:cs="Arial" w:eastAsia="Arial" w:hAnsi="Arial"/>
              <w:color w:val="B0B8C4"/>
              <w:sz w:val="16"/>
              <w:szCs w:val="16"/>
            </w:rPr>
            <w:t xml:space="preserve">Identify · Protect · Detect · Respond · Recover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8" w15:restartNumberingAfterBreak="0">
    <w:multiLevelType w:val="hybridMultilevel"/>
    <w:lvl w:ilvl="0" w15:tentative="1">
      <w:start w:val="1"/>
      <w:numFmt w:val="bullet"/>
      <w:lvlText w:val="•"/>
      <w:lvlJc w:val="left"/>
      <w:pPr>
        <w:ind w:left="480" w:hanging="240"/>
      </w:pPr>
    </w:lvl>
  </w:abstractNum>
  <w:abstractNum w:abstractNumId="19" w15:restartNumberingAfterBreak="0">
    <w:multiLevelType w:val="hybridMultilevel"/>
    <w:lvl w:ilvl="0" w15:tentative="1">
      <w:start w:val="1"/>
      <w:numFmt w:val="bullet"/>
      <w:lvlText w:val="•"/>
      <w:lvlJc w:val="left"/>
      <w:pPr>
        <w:ind w:left="480" w:hanging="240"/>
      </w:pPr>
    </w:lvl>
  </w:abstractNum>
  <w:abstractNum w:abstractNumId="20"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18"/>
    <w:lvlOverride w:ilvl="0">
      <w:startOverride w:val="1"/>
    </w:lvlOverride>
  </w:num>
  <w:num w:numId="3">
    <w:abstractNumId w:val="19"/>
    <w:lvlOverride w:ilvl="0">
      <w:startOverride w:val="1"/>
    </w:lvlOverride>
  </w:num>
  <w:num w:numId="4">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6DA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2026-05-03T20:33:18.691Z</dcterms:created>
  <dcterms:modified xsi:type="dcterms:W3CDTF">2026-05-03T20:33:18.691Z</dcterms:modified>
</cp:coreProperties>
</file>

<file path=docProps/custom.xml><?xml version="1.0" encoding="utf-8"?>
<Properties xmlns="http://schemas.openxmlformats.org/officeDocument/2006/custom-properties" xmlns:vt="http://schemas.openxmlformats.org/officeDocument/2006/docPropsVTypes"/>
</file>