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Arial" w:cs="Arial" w:eastAsia="Arial" w:hAnsi="Arial"/>
          <w:b w:val="false"/>
          <w:bCs w:val="false"/>
          <w:color w:val="000000"/>
          <w:sz w:val="26"/>
          <w:szCs w:val="26"/>
        </w:rPr>
        <w:t xml:space="preserve">West Chester Preschool</w:t>
      </w:r>
    </w:p>
    <w:p>
      <w:pPr>
        <w:spacing w:after="0"/>
        <w:jc w:val="center"/>
      </w:pPr>
      <w:r>
        <w:rPr>
          <w:rFonts w:ascii="Arial" w:cs="Arial" w:eastAsia="Arial" w:hAnsi="Arial"/>
          <w:b w:val="false"/>
          <w:bCs w:val="false"/>
          <w:color w:val="000000"/>
          <w:sz w:val="26"/>
          <w:szCs w:val="26"/>
        </w:rPr>
        <w:t xml:space="preserve">Publicity Committee Guide</w:t>
      </w:r>
    </w:p>
    <w:p>
      <w:pPr>
        <w:spacing w:after="160"/>
        <w:jc w:val="center"/>
      </w:pPr>
      <w:r>
        <w:rPr>
          <w:rFonts w:ascii="Arial" w:cs="Arial" w:eastAsia="Arial" w:hAnsi="Arial"/>
          <w:b w:val="false"/>
          <w:bCs w:val="false"/>
          <w:color w:val="000000"/>
          <w:sz w:val="26"/>
          <w:szCs w:val="26"/>
        </w:rPr>
        <w:t xml:space="preserve">2026-2027</w:t>
      </w:r>
    </w:p>
    <w:p>
      <w:pPr>
        <w:spacing w:after="100" w:before="260"/>
      </w:pPr>
      <w:r>
        <w:rPr>
          <w:rFonts w:ascii="Arial" w:cs="Arial" w:eastAsia="Arial" w:hAnsi="Arial"/>
          <w:b/>
          <w:bCs/>
          <w:color w:val="01457E"/>
          <w:sz w:val="24"/>
          <w:szCs w:val="24"/>
          <w:u w:val="single"/>
        </w:rPr>
        <w:t xml:space="preserve">What the Publicity Committee Does</w:t>
      </w:r>
    </w:p>
    <w:p>
      <w:pPr>
        <w:spacing w:after="100"/>
      </w:pPr>
      <w:r>
        <w:rPr>
          <w:rFonts w:ascii="Arial" w:cs="Arial" w:eastAsia="Arial" w:hAnsi="Arial"/>
          <w:i w:val="false"/>
          <w:iCs w:val="false"/>
          <w:sz w:val="21"/>
          <w:szCs w:val="21"/>
        </w:rPr>
        <w:t xml:space="preserve">Publicity tells the WCP story, both to the families already here and to the families who have not found us yet. That covers photos and video at school events, social media, the website, the family newsletter, flyers and signs around West Chester, and anything else that carries the school name or logo. Enrollment is the reason this committee exists. A full school is what keeps tuition low and the co-op running, and most families find us through a photo, a post, or a friend sharing one.</w:t>
      </w:r>
    </w:p>
    <w:p>
      <w:pPr>
        <w:spacing w:after="100" w:before="260"/>
      </w:pPr>
      <w:r>
        <w:rPr>
          <w:rFonts w:ascii="Arial" w:cs="Arial" w:eastAsia="Arial" w:hAnsi="Arial"/>
          <w:b/>
          <w:bCs/>
          <w:color w:val="01457E"/>
          <w:sz w:val="24"/>
          <w:szCs w:val="24"/>
          <w:u w:val="single"/>
        </w:rPr>
        <w:t xml:space="preserve">Publicity Committee Instructions</w:t>
      </w:r>
    </w:p>
    <w:p>
      <w:pPr>
        <w:pStyle w:val="ListParagraph"/>
        <w:numPr>
          <w:ilvl w:val="0"/>
          <w:numId w:val="2"/>
        </w:numPr>
        <w:spacing w:after="60"/>
      </w:pPr>
      <w:r>
        <w:rPr>
          <w:rFonts w:ascii="Arial" w:cs="Arial" w:eastAsia="Arial" w:hAnsi="Arial"/>
          <w:b/>
          <w:bCs/>
          <w:sz w:val="21"/>
          <w:szCs w:val="21"/>
        </w:rPr>
        <w:t xml:space="preserve">The chair holds the accounts. </w:t>
      </w:r>
      <w:r>
        <w:rPr>
          <w:rFonts w:ascii="Arial" w:cs="Arial" w:eastAsia="Arial" w:hAnsi="Arial"/>
          <w:b w:val="false"/>
          <w:bCs w:val="false"/>
          <w:sz w:val="21"/>
          <w:szCs w:val="21"/>
        </w:rPr>
        <w:t xml:space="preserve">Only the chair posts to the WCP Facebook and Instagram pages, the website, and the family email list, so the look and voice stay consistent and nothing private lands on the public web. Everything below is committee work, and all of it matters.</w:t>
      </w:r>
    </w:p>
    <w:p>
      <w:pPr>
        <w:pStyle w:val="ListParagraph"/>
        <w:numPr>
          <w:ilvl w:val="0"/>
          <w:numId w:val="2"/>
        </w:numPr>
        <w:spacing w:after="60"/>
      </w:pPr>
      <w:r>
        <w:rPr>
          <w:rFonts w:ascii="Arial" w:cs="Arial" w:eastAsia="Arial" w:hAnsi="Arial"/>
          <w:b/>
          <w:bCs/>
          <w:sz w:val="21"/>
          <w:szCs w:val="21"/>
        </w:rPr>
        <w:t xml:space="preserve">Take photos at events you attend. </w:t>
      </w:r>
      <w:r>
        <w:rPr>
          <w:rFonts w:ascii="Arial" w:cs="Arial" w:eastAsia="Arial" w:hAnsi="Arial"/>
          <w:b w:val="false"/>
          <w:bCs w:val="false"/>
          <w:sz w:val="21"/>
          <w:szCs w:val="21"/>
        </w:rPr>
        <w:t xml:space="preserve">Phone photos are perfect. Send them to the chair within a day or two, while the event is still news. Candid shots of kids busy and happy work better than posed lineups, and a few seconds of video is gold for a reel.</w:t>
      </w:r>
    </w:p>
    <w:p>
      <w:pPr>
        <w:pStyle w:val="ListParagraph"/>
        <w:numPr>
          <w:ilvl w:val="1"/>
          <w:numId w:val="2"/>
        </w:numPr>
        <w:spacing w:after="60"/>
      </w:pPr>
      <w:r>
        <w:rPr>
          <w:rFonts w:ascii="Arial" w:cs="Arial" w:eastAsia="Arial" w:hAnsi="Arial"/>
          <w:b w:val="false"/>
          <w:bCs w:val="false"/>
          <w:sz w:val="21"/>
          <w:szCs w:val="21"/>
        </w:rPr>
        <w:t xml:space="preserve">Check the photo permission list before you shoot. A few families have opted out of photos. The chair keeps the current list and will share it at the start of the year. When in doubt, send the photo to the chair rather than posting it anywhere yourself.</w:t>
      </w:r>
    </w:p>
    <w:p>
      <w:pPr>
        <w:pStyle w:val="ListParagraph"/>
        <w:numPr>
          <w:ilvl w:val="0"/>
          <w:numId w:val="2"/>
        </w:numPr>
        <w:spacing w:after="60"/>
      </w:pPr>
      <w:r>
        <w:rPr>
          <w:rFonts w:ascii="Arial" w:cs="Arial" w:eastAsia="Arial" w:hAnsi="Arial"/>
          <w:b/>
          <w:bCs/>
          <w:sz w:val="21"/>
          <w:szCs w:val="21"/>
        </w:rPr>
        <w:t xml:space="preserve">Share every post. </w:t>
      </w:r>
      <w:r>
        <w:rPr>
          <w:rFonts w:ascii="Arial" w:cs="Arial" w:eastAsia="Arial" w:hAnsi="Arial"/>
          <w:b w:val="false"/>
          <w:bCs w:val="false"/>
          <w:sz w:val="21"/>
          <w:szCs w:val="21"/>
        </w:rPr>
        <w:t xml:space="preserve">Share WCP posts to your own page and into local parent groups: West Chester and Liberty Township community pages, moms groups, Buy Nothing groups, your neighborhood page, your church. This is the single highest-value thing a member can do, it costs nothing, and it is how most new families hear about us.</w:t>
      </w:r>
    </w:p>
    <w:p>
      <w:pPr>
        <w:pStyle w:val="ListParagraph"/>
        <w:numPr>
          <w:ilvl w:val="0"/>
          <w:numId w:val="2"/>
        </w:numPr>
        <w:spacing w:after="60"/>
      </w:pPr>
      <w:r>
        <w:rPr>
          <w:rFonts w:ascii="Arial" w:cs="Arial" w:eastAsia="Arial" w:hAnsi="Arial"/>
          <w:b/>
          <w:bCs/>
          <w:sz w:val="21"/>
          <w:szCs w:val="21"/>
        </w:rPr>
        <w:t xml:space="preserve">Help with the enrollment push, January through March. </w:t>
      </w:r>
      <w:r>
        <w:rPr>
          <w:rFonts w:ascii="Arial" w:cs="Arial" w:eastAsia="Arial" w:hAnsi="Arial"/>
          <w:b w:val="false"/>
          <w:bCs w:val="false"/>
          <w:sz w:val="21"/>
          <w:szCs w:val="21"/>
        </w:rPr>
        <w:t xml:space="preserve">This is the busy stretch. Members hang flyers and drop postcards at libraries, pediatric and dentist offices, coffee shops, gyms, churches, and community centers. The chair prints and supplies the materials, so members just need to deliver them.</w:t>
      </w:r>
    </w:p>
    <w:p>
      <w:pPr>
        <w:pStyle w:val="ListParagraph"/>
        <w:numPr>
          <w:ilvl w:val="0"/>
          <w:numId w:val="2"/>
        </w:numPr>
        <w:spacing w:after="60"/>
      </w:pPr>
      <w:r>
        <w:rPr>
          <w:rFonts w:ascii="Arial" w:cs="Arial" w:eastAsia="Arial" w:hAnsi="Arial"/>
          <w:b/>
          <w:bCs/>
          <w:sz w:val="21"/>
          <w:szCs w:val="21"/>
        </w:rPr>
        <w:t xml:space="preserve">Cover an event when the chair cannot. </w:t>
      </w:r>
      <w:r>
        <w:rPr>
          <w:rFonts w:ascii="Arial" w:cs="Arial" w:eastAsia="Arial" w:hAnsi="Arial"/>
          <w:b w:val="false"/>
          <w:bCs w:val="false"/>
          <w:sz w:val="21"/>
          <w:szCs w:val="21"/>
        </w:rPr>
        <w:t xml:space="preserve">If the chair is not able to be at a school event, one member volunteers to be the camera for that night. No experience needed, just a charged phone.</w:t>
      </w:r>
    </w:p>
    <w:p>
      <w:pPr>
        <w:pStyle w:val="ListParagraph"/>
        <w:numPr>
          <w:ilvl w:val="0"/>
          <w:numId w:val="2"/>
        </w:numPr>
        <w:spacing w:after="60"/>
      </w:pPr>
      <w:r>
        <w:rPr>
          <w:rFonts w:ascii="Arial" w:cs="Arial" w:eastAsia="Arial" w:hAnsi="Arial"/>
          <w:b/>
          <w:bCs/>
          <w:sz w:val="21"/>
          <w:szCs w:val="21"/>
        </w:rPr>
        <w:t xml:space="preserve">Bring ideas, and proofread. </w:t>
      </w:r>
      <w:r>
        <w:rPr>
          <w:rFonts w:ascii="Arial" w:cs="Arial" w:eastAsia="Arial" w:hAnsi="Arial"/>
          <w:b w:val="false"/>
          <w:bCs w:val="false"/>
          <w:sz w:val="21"/>
          <w:szCs w:val="21"/>
        </w:rPr>
        <w:t xml:space="preserve">Classroom milestones, a teacher doing something wonderful, an alumni family with good news, a community event we should be at. Pass it along. If you spot a typo or a wrong date on a post or flyer, text the chair right away.</w:t>
      </w:r>
    </w:p>
    <w:p>
      <w:pPr>
        <w:spacing w:after="100" w:before="260"/>
      </w:pPr>
      <w:r>
        <w:rPr>
          <w:rFonts w:ascii="Arial" w:cs="Arial" w:eastAsia="Arial" w:hAnsi="Arial"/>
          <w:b/>
          <w:bCs/>
          <w:color w:val="01457E"/>
          <w:sz w:val="24"/>
          <w:szCs w:val="24"/>
          <w:u w:val="single"/>
        </w:rPr>
        <w:t xml:space="preserve">What the Chair Handles</w:t>
      </w:r>
    </w:p>
    <w:p>
      <w:pPr>
        <w:spacing w:after="60"/>
      </w:pPr>
      <w:r>
        <w:rPr>
          <w:rFonts w:ascii="Arial" w:cs="Arial" w:eastAsia="Arial" w:hAnsi="Arial"/>
          <w:i w:val="false"/>
          <w:iCs w:val="false"/>
          <w:sz w:val="21"/>
          <w:szCs w:val="21"/>
        </w:rPr>
        <w:t xml:space="preserve">Listed so members know what is already covered and can ask to help with any of it:</w:t>
      </w:r>
    </w:p>
    <w:p>
      <w:pPr>
        <w:pStyle w:val="ListParagraph"/>
        <w:numPr>
          <w:ilvl w:val="0"/>
          <w:numId w:val="2"/>
        </w:numPr>
        <w:spacing w:after="60"/>
      </w:pPr>
      <w:r>
        <w:rPr>
          <w:rFonts w:ascii="Arial" w:cs="Arial" w:eastAsia="Arial" w:hAnsi="Arial"/>
          <w:b w:val="false"/>
          <w:bCs w:val="false"/>
          <w:sz w:val="21"/>
          <w:szCs w:val="21"/>
        </w:rPr>
        <w:t xml:space="preserve">Facebook and Instagram: the posting schedule, stories, reels, event promotion, and enrollment ads</w:t>
      </w:r>
    </w:p>
    <w:p>
      <w:pPr>
        <w:pStyle w:val="ListParagraph"/>
        <w:numPr>
          <w:ilvl w:val="0"/>
          <w:numId w:val="2"/>
        </w:numPr>
        <w:spacing w:after="60"/>
      </w:pPr>
      <w:r>
        <w:rPr>
          <w:rFonts w:ascii="Arial" w:cs="Arial" w:eastAsia="Arial" w:hAnsi="Arial"/>
          <w:b w:val="false"/>
          <w:bCs w:val="false"/>
          <w:sz w:val="21"/>
          <w:szCs w:val="21"/>
        </w:rPr>
        <w:t xml:space="preserve">The website: page edits, the calendar, announcements, and the family area</w:t>
      </w:r>
    </w:p>
    <w:p>
      <w:pPr>
        <w:pStyle w:val="ListParagraph"/>
        <w:numPr>
          <w:ilvl w:val="0"/>
          <w:numId w:val="2"/>
        </w:numPr>
        <w:spacing w:after="60"/>
      </w:pPr>
      <w:r>
        <w:rPr>
          <w:rFonts w:ascii="Arial" w:cs="Arial" w:eastAsia="Arial" w:hAnsi="Arial"/>
          <w:b w:val="false"/>
          <w:bCs w:val="false"/>
          <w:sz w:val="21"/>
          <w:szCs w:val="21"/>
        </w:rPr>
        <w:t xml:space="preserve">The family newsletter and email announcements</w:t>
      </w:r>
    </w:p>
    <w:p>
      <w:pPr>
        <w:pStyle w:val="ListParagraph"/>
        <w:numPr>
          <w:ilvl w:val="0"/>
          <w:numId w:val="2"/>
        </w:numPr>
        <w:spacing w:after="60"/>
      </w:pPr>
      <w:r>
        <w:rPr>
          <w:rFonts w:ascii="Arial" w:cs="Arial" w:eastAsia="Arial" w:hAnsi="Arial"/>
          <w:b w:val="false"/>
          <w:bCs w:val="false"/>
          <w:sz w:val="21"/>
          <w:szCs w:val="21"/>
        </w:rPr>
        <w:t xml:space="preserve">Graphics, flyers, signs, and banners, all built in the WCP brand colors, fonts, and logo</w:t>
      </w:r>
    </w:p>
    <w:p>
      <w:pPr>
        <w:pStyle w:val="ListParagraph"/>
        <w:numPr>
          <w:ilvl w:val="0"/>
          <w:numId w:val="2"/>
        </w:numPr>
        <w:spacing w:after="60"/>
      </w:pPr>
      <w:r>
        <w:rPr>
          <w:rFonts w:ascii="Arial" w:cs="Arial" w:eastAsia="Arial" w:hAnsi="Arial"/>
          <w:b w:val="false"/>
          <w:bCs w:val="false"/>
          <w:sz w:val="21"/>
          <w:szCs w:val="21"/>
        </w:rPr>
        <w:t xml:space="preserve">Board headshots, class boards, and keeping the year's photos and graphics filed in the Publicity Google Drive</w:t>
      </w:r>
    </w:p>
    <w:p>
      <w:pPr>
        <w:pStyle w:val="ListParagraph"/>
        <w:numPr>
          <w:ilvl w:val="0"/>
          <w:numId w:val="2"/>
        </w:numPr>
        <w:spacing w:after="60"/>
      </w:pPr>
      <w:r>
        <w:rPr>
          <w:rFonts w:ascii="Arial" w:cs="Arial" w:eastAsia="Arial" w:hAnsi="Arial"/>
          <w:b w:val="false"/>
          <w:bCs w:val="false"/>
          <w:sz w:val="21"/>
          <w:szCs w:val="21"/>
        </w:rPr>
        <w:t xml:space="preserve">Community outreach: open house promotion, yard signs, local parent groups, and community events</w:t>
      </w:r>
    </w:p>
    <w:p>
      <w:pPr>
        <w:spacing w:after="100" w:before="260"/>
      </w:pPr>
      <w:r>
        <w:rPr>
          <w:rFonts w:ascii="Arial" w:cs="Arial" w:eastAsia="Arial" w:hAnsi="Arial"/>
          <w:b/>
          <w:bCs/>
          <w:color w:val="01457E"/>
          <w:sz w:val="24"/>
          <w:szCs w:val="24"/>
          <w:u w:val="single"/>
        </w:rPr>
        <w:t xml:space="preserve">The Publicity Year at a Glance</w:t>
      </w:r>
    </w:p>
    <w:tbl>
      <w:tblPr>
        <w:tblW w:type="dxa" w:w="10080"/>
        <w:tblBorders>
          <w:top w:val="single" w:color="9AA5B1" w:sz="4"/>
          <w:left w:val="single" w:color="9AA5B1" w:sz="4"/>
          <w:bottom w:val="single" w:color="9AA5B1" w:sz="4"/>
          <w:right w:val="single" w:color="9AA5B1" w:sz="4"/>
          <w:insideH w:val="single" w:color="9AA5B1" w:sz="4"/>
          <w:insideV w:val="single" w:color="9AA5B1" w:sz="4"/>
        </w:tblBorders>
      </w:tblPr>
      <w:tblGrid>
        <w:gridCol w:w="2300"/>
        <w:gridCol w:w="7780"/>
      </w:tblGrid>
      <w:tr>
        <w:trPr>
          <w:tblHeader/>
        </w:trPr>
        <w:tc>
          <w:tcPr>
            <w:tcW w:type="dxa" w:w="230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When</w:t>
            </w:r>
          </w:p>
        </w:tc>
        <w:tc>
          <w:tcPr>
            <w:tcW w:type="dxa" w:w="778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Publicity Focus</w:t>
            </w:r>
          </w:p>
        </w:tc>
      </w:tr>
      <w:tr>
        <w:trPr>
          <w:tblHeader w:val="false"/>
        </w:trPr>
        <w:tc>
          <w:tcPr>
            <w:tcW w:type="dxa" w:w="23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Aug - Sept</w:t>
            </w:r>
          </w:p>
        </w:tc>
        <w:tc>
          <w:tcPr>
            <w:tcW w:type="dxa" w:w="778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Welcome back posts, teacher introductions, first day photos, board headshots</w:t>
            </w:r>
          </w:p>
        </w:tc>
      </w:tr>
      <w:tr>
        <w:trPr>
          <w:tblHeader w:val="false"/>
        </w:trPr>
        <w:tc>
          <w:tcPr>
            <w:tcW w:type="dxa" w:w="23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Oct - Dec</w:t>
            </w:r>
          </w:p>
        </w:tc>
        <w:tc>
          <w:tcPr>
            <w:tcW w:type="dxa" w:w="778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Fall VIP Night, classroom and holiday moments, fundraiser promotion</w:t>
            </w:r>
          </w:p>
        </w:tc>
      </w:tr>
      <w:tr>
        <w:trPr>
          <w:tblHeader w:val="false"/>
        </w:trPr>
        <w:tc>
          <w:tcPr>
            <w:tcW w:type="dxa" w:w="23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Jan - Mar</w:t>
            </w:r>
          </w:p>
        </w:tc>
        <w:tc>
          <w:tcPr>
            <w:tcW w:type="dxa" w:w="778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Enrollment season: open house, registration dates, flyers and postcards out in the community, paid social ads. All hands on deck.</w:t>
            </w:r>
          </w:p>
        </w:tc>
      </w:tr>
      <w:tr>
        <w:trPr>
          <w:tblHeader w:val="false"/>
        </w:trPr>
        <w:tc>
          <w:tcPr>
            <w:tcW w:type="dxa" w:w="23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Apr - May</w:t>
            </w:r>
          </w:p>
        </w:tc>
        <w:tc>
          <w:tcPr>
            <w:tcW w:type="dxa" w:w="778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Spring VIP Night, spring fundraiser, class photos, continued enrollment</w:t>
            </w:r>
          </w:p>
        </w:tc>
      </w:tr>
      <w:tr>
        <w:trPr>
          <w:tblHeader w:val="false"/>
        </w:trPr>
        <w:tc>
          <w:tcPr>
            <w:tcW w:type="dxa" w:w="23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May - June</w:t>
            </w:r>
          </w:p>
        </w:tc>
        <w:tc>
          <w:tcPr>
            <w:tcW w:type="dxa" w:w="778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End of year picnic, graduation, thank-you posts, and handoff to next year's chair</w:t>
            </w:r>
          </w:p>
        </w:tc>
      </w:tr>
    </w:tbl>
    <w:p>
      <w:pPr>
        <w:spacing w:after="120"/>
      </w:pPr>
    </w:p>
    <w:p>
      <w:pPr>
        <w:spacing w:after="100" w:before="260"/>
      </w:pPr>
      <w:r>
        <w:rPr>
          <w:rFonts w:ascii="Arial" w:cs="Arial" w:eastAsia="Arial" w:hAnsi="Arial"/>
          <w:b/>
          <w:bCs/>
          <w:color w:val="01457E"/>
          <w:sz w:val="24"/>
          <w:szCs w:val="24"/>
          <w:u w:val="single"/>
        </w:rPr>
        <w:t xml:space="preserve">Time Commitment</w:t>
      </w:r>
    </w:p>
    <w:p>
      <w:pPr>
        <w:pStyle w:val="ListParagraph"/>
        <w:numPr>
          <w:ilvl w:val="0"/>
          <w:numId w:val="2"/>
        </w:numPr>
        <w:spacing w:after="60"/>
      </w:pPr>
      <w:r>
        <w:rPr>
          <w:rFonts w:ascii="Arial" w:cs="Arial" w:eastAsia="Arial" w:hAnsi="Arial"/>
          <w:b w:val="false"/>
          <w:bCs w:val="false"/>
          <w:sz w:val="21"/>
          <w:szCs w:val="21"/>
        </w:rPr>
        <w:t xml:space="preserve">A few hours a month for most of the year, and more during the January through March enrollment push.</w:t>
      </w:r>
    </w:p>
    <w:p>
      <w:pPr>
        <w:pStyle w:val="ListParagraph"/>
        <w:numPr>
          <w:ilvl w:val="0"/>
          <w:numId w:val="2"/>
        </w:numPr>
        <w:spacing w:after="60"/>
      </w:pPr>
      <w:r>
        <w:rPr>
          <w:rFonts w:ascii="Arial" w:cs="Arial" w:eastAsia="Arial" w:hAnsi="Arial"/>
          <w:b w:val="false"/>
          <w:bCs w:val="false"/>
          <w:sz w:val="21"/>
          <w:szCs w:val="21"/>
        </w:rPr>
        <w:t xml:space="preserve">Most of the work can be done from your phone, on your own schedule. If you cannot attend an event, you can still help by sharing posts, distributing flyers, or prepping materials.</w:t>
      </w:r>
    </w:p>
    <w:p>
      <w:pPr>
        <w:spacing w:after="100" w:before="260"/>
      </w:pPr>
      <w:r>
        <w:rPr>
          <w:rFonts w:ascii="Arial" w:cs="Arial" w:eastAsia="Arial" w:hAnsi="Arial"/>
          <w:b/>
          <w:bCs/>
          <w:color w:val="01457E"/>
          <w:sz w:val="24"/>
          <w:szCs w:val="24"/>
          <w:u w:val="single"/>
        </w:rPr>
        <w:t xml:space="preserve">Purchasing and Reimbursement</w:t>
      </w:r>
    </w:p>
    <w:p>
      <w:pPr>
        <w:pStyle w:val="ListParagraph"/>
        <w:numPr>
          <w:ilvl w:val="0"/>
          <w:numId w:val="2"/>
        </w:numPr>
        <w:spacing w:after="60"/>
      </w:pPr>
      <w:r>
        <w:rPr>
          <w:rFonts w:ascii="Arial" w:cs="Arial" w:eastAsia="Arial" w:hAnsi="Arial"/>
          <w:b w:val="false"/>
          <w:bCs w:val="false"/>
          <w:sz w:val="21"/>
          <w:szCs w:val="21"/>
        </w:rPr>
        <w:t xml:space="preserve">Publicity has a budget for printing, signage, and social media ads. Check with the chair before spending, so we do not double up.</w:t>
      </w:r>
    </w:p>
    <w:p>
      <w:pPr>
        <w:pStyle w:val="ListParagraph"/>
        <w:numPr>
          <w:ilvl w:val="0"/>
          <w:numId w:val="2"/>
        </w:numPr>
        <w:spacing w:after="60"/>
      </w:pPr>
      <w:r>
        <w:rPr>
          <w:rFonts w:ascii="Arial" w:cs="Arial" w:eastAsia="Arial" w:hAnsi="Arial"/>
          <w:b w:val="false"/>
          <w:bCs w:val="false"/>
          <w:sz w:val="21"/>
          <w:szCs w:val="21"/>
        </w:rPr>
        <w:t xml:space="preserve">Keep your receipts and give them to the VP or Treasurer for reimbursement. A board member can also purchase items with the school credit card if that is easier.</w:t>
      </w:r>
    </w:p>
    <w:p>
      <w:pPr>
        <w:spacing w:after="100" w:before="260"/>
      </w:pPr>
      <w:r>
        <w:rPr>
          <w:rFonts w:ascii="Arial" w:cs="Arial" w:eastAsia="Arial" w:hAnsi="Arial"/>
          <w:b/>
          <w:bCs/>
          <w:color w:val="01457E"/>
          <w:sz w:val="24"/>
          <w:szCs w:val="24"/>
          <w:u w:val="single"/>
        </w:rPr>
        <w:t xml:space="preserve">Publicity Committee Chair</w:t>
      </w:r>
    </w:p>
    <w:tbl>
      <w:tblPr>
        <w:tblW w:type="dxa" w:w="10080"/>
        <w:tblBorders>
          <w:top w:val="single" w:color="9AA5B1" w:sz="4"/>
          <w:left w:val="single" w:color="9AA5B1" w:sz="4"/>
          <w:bottom w:val="single" w:color="9AA5B1" w:sz="4"/>
          <w:right w:val="single" w:color="9AA5B1" w:sz="4"/>
          <w:insideH w:val="single" w:color="9AA5B1" w:sz="4"/>
          <w:insideV w:val="single" w:color="9AA5B1" w:sz="4"/>
        </w:tblBorders>
      </w:tblPr>
      <w:tblGrid>
        <w:gridCol w:w="3200"/>
        <w:gridCol w:w="1600"/>
        <w:gridCol w:w="2240"/>
        <w:gridCol w:w="3040"/>
      </w:tblGrid>
      <w:tr>
        <w:trPr>
          <w:tblHeader/>
        </w:trPr>
        <w:tc>
          <w:tcPr>
            <w:tcW w:type="dxa" w:w="320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Name</w:t>
            </w:r>
          </w:p>
        </w:tc>
        <w:tc>
          <w:tcPr>
            <w:tcW w:type="dxa" w:w="160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Class</w:t>
            </w:r>
          </w:p>
        </w:tc>
        <w:tc>
          <w:tcPr>
            <w:tcW w:type="dxa" w:w="224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Phone</w:t>
            </w:r>
          </w:p>
        </w:tc>
        <w:tc>
          <w:tcPr>
            <w:tcW w:type="dxa" w:w="304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Email</w:t>
            </w:r>
          </w:p>
        </w:tc>
      </w:tr>
      <w:tr>
        <w:trPr>
          <w:tblHeader w:val="false"/>
        </w:trPr>
        <w:tc>
          <w:tcPr>
            <w:tcW w:type="dxa" w:w="32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Nathan Nixon</w:t>
            </w:r>
          </w:p>
        </w:tc>
        <w:tc>
          <w:tcPr>
            <w:tcW w:type="dxa" w:w="16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AM PreK</w:t>
            </w:r>
          </w:p>
        </w:tc>
        <w:tc>
          <w:tcPr>
            <w:tcW w:type="dxa" w:w="22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256-318-6627</w:t>
            </w:r>
          </w:p>
        </w:tc>
        <w:tc>
          <w:tcPr>
            <w:tcW w:type="dxa" w:w="30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nathanjnixon86@gmail.com</w:t>
            </w:r>
          </w:p>
        </w:tc>
      </w:tr>
    </w:tbl>
    <w:p>
      <w:pPr>
        <w:spacing w:after="120"/>
      </w:pPr>
    </w:p>
    <w:p>
      <w:pPr>
        <w:spacing w:after="100" w:before="260"/>
      </w:pPr>
      <w:r>
        <w:rPr>
          <w:rFonts w:ascii="Arial" w:cs="Arial" w:eastAsia="Arial" w:hAnsi="Arial"/>
          <w:b/>
          <w:bCs/>
          <w:color w:val="01457E"/>
          <w:sz w:val="24"/>
          <w:szCs w:val="24"/>
          <w:u w:val="single"/>
        </w:rPr>
        <w:t xml:space="preserve">Publicity Committee Members</w:t>
      </w:r>
    </w:p>
    <w:tbl>
      <w:tblPr>
        <w:tblW w:type="dxa" w:w="10080"/>
        <w:tblBorders>
          <w:top w:val="single" w:color="9AA5B1" w:sz="4"/>
          <w:left w:val="single" w:color="9AA5B1" w:sz="4"/>
          <w:bottom w:val="single" w:color="9AA5B1" w:sz="4"/>
          <w:right w:val="single" w:color="9AA5B1" w:sz="4"/>
          <w:insideH w:val="single" w:color="9AA5B1" w:sz="4"/>
          <w:insideV w:val="single" w:color="9AA5B1" w:sz="4"/>
        </w:tblBorders>
      </w:tblPr>
      <w:tblGrid>
        <w:gridCol w:w="3200"/>
        <w:gridCol w:w="1600"/>
        <w:gridCol w:w="2240"/>
        <w:gridCol w:w="3040"/>
      </w:tblGrid>
      <w:tr>
        <w:trPr>
          <w:tblHeader/>
        </w:trPr>
        <w:tc>
          <w:tcPr>
            <w:tcW w:type="dxa" w:w="320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Name</w:t>
            </w:r>
          </w:p>
        </w:tc>
        <w:tc>
          <w:tcPr>
            <w:tcW w:type="dxa" w:w="160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Class</w:t>
            </w:r>
          </w:p>
        </w:tc>
        <w:tc>
          <w:tcPr>
            <w:tcW w:type="dxa" w:w="224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Phone</w:t>
            </w:r>
          </w:p>
        </w:tc>
        <w:tc>
          <w:tcPr>
            <w:tcW w:type="dxa" w:w="3040"/>
            <w:shd w:fill="01457E" w:color="auto" w:val="clear"/>
            <w:tcMar>
              <w:top w:type="dxa" w:w="60"/>
              <w:left w:type="dxa" w:w="110"/>
              <w:bottom w:type="dxa" w:w="60"/>
              <w:right w:type="dxa" w:w="110"/>
            </w:tcMar>
          </w:tcPr>
          <w:p>
            <w:pPr>
              <w:spacing w:after="0"/>
            </w:pPr>
            <w:r>
              <w:rPr>
                <w:rFonts w:ascii="Arial" w:cs="Arial" w:eastAsia="Arial" w:hAnsi="Arial"/>
                <w:b/>
                <w:bCs/>
                <w:color w:val="FFFFFF"/>
                <w:sz w:val="21"/>
                <w:szCs w:val="21"/>
              </w:rPr>
              <w:t xml:space="preserve">Email</w:t>
            </w:r>
          </w:p>
        </w:tc>
      </w:tr>
      <w:tr>
        <w:trPr>
          <w:tblHeader w:val="false"/>
        </w:trPr>
        <w:tc>
          <w:tcPr>
            <w:tcW w:type="dxa" w:w="32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16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22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30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r>
      <w:tr>
        <w:trPr>
          <w:tblHeader w:val="false"/>
        </w:trPr>
        <w:tc>
          <w:tcPr>
            <w:tcW w:type="dxa" w:w="32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16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22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30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r>
      <w:tr>
        <w:trPr>
          <w:tblHeader w:val="false"/>
        </w:trPr>
        <w:tc>
          <w:tcPr>
            <w:tcW w:type="dxa" w:w="32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16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22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30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r>
      <w:tr>
        <w:trPr>
          <w:tblHeader w:val="false"/>
        </w:trPr>
        <w:tc>
          <w:tcPr>
            <w:tcW w:type="dxa" w:w="32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160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22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c>
          <w:tcPr>
            <w:tcW w:type="dxa" w:w="3040"/>
            <w:tcMar>
              <w:top w:type="dxa" w:w="60"/>
              <w:left w:type="dxa" w:w="110"/>
              <w:bottom w:type="dxa" w:w="60"/>
              <w:right w:type="dxa" w:w="110"/>
            </w:tcMar>
          </w:tcPr>
          <w:p>
            <w:pPr>
              <w:spacing w:after="0"/>
            </w:pPr>
            <w:r>
              <w:rPr>
                <w:rFonts w:ascii="Arial" w:cs="Arial" w:eastAsia="Arial" w:hAnsi="Arial"/>
                <w:b w:val="false"/>
                <w:bCs w:val="false"/>
                <w:color w:val="000000"/>
                <w:sz w:val="21"/>
                <w:szCs w:val="21"/>
              </w:rPr>
              <w:t xml:space="preserve"/>
            </w:r>
          </w:p>
        </w:tc>
      </w:tr>
    </w:tbl>
    <w:p>
      <w:pPr>
        <w:spacing w:after="60"/>
      </w:pPr>
    </w:p>
    <w:p>
      <w:pPr>
        <w:spacing w:after="100"/>
      </w:pPr>
      <w:r>
        <w:rPr>
          <w:rFonts w:ascii="Arial" w:cs="Arial" w:eastAsia="Arial" w:hAnsi="Arial"/>
          <w:i/>
          <w:iCs/>
          <w:sz w:val="21"/>
          <w:szCs w:val="21"/>
        </w:rPr>
        <w:t xml:space="preserve">Questions about anything in here, ask Nathan. Nothing on this list requires design or social media experience, just a phone and a willingness to talk up the school.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8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2026-09-18T21:25:55.787Z</dcterms:created>
  <dcterms:modified xsi:type="dcterms:W3CDTF">2026-09-18T21:25:55.787Z</dcterms:modified>
</cp:coreProperties>
</file>

<file path=docProps/custom.xml><?xml version="1.0" encoding="utf-8"?>
<Properties xmlns="http://schemas.openxmlformats.org/officeDocument/2006/custom-properties" xmlns:vt="http://schemas.openxmlformats.org/officeDocument/2006/docPropsVTypes"/>
</file>