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A96EDC" w14:textId="77777777" w:rsidR="00695108" w:rsidRDefault="00695108">
      <w:pPr>
        <w:spacing w:after="2400" w:line="264" w:lineRule="auto"/>
      </w:pPr>
    </w:p>
    <w:p w14:paraId="5C0EA96A" w14:textId="77777777" w:rsidR="00695108" w:rsidRDefault="00000000">
      <w:pPr>
        <w:spacing w:after="200" w:line="264" w:lineRule="auto"/>
        <w:jc w:val="center"/>
      </w:pPr>
      <w:r>
        <w:rPr>
          <w:b/>
          <w:bCs/>
          <w:sz w:val="20"/>
          <w:szCs w:val="20"/>
        </w:rPr>
        <w:t>INDIVIDUAL OPERATIONAL MANAGEMENT REPORT</w:t>
      </w:r>
    </w:p>
    <w:p w14:paraId="398629E4" w14:textId="77777777" w:rsidR="00695108" w:rsidRDefault="00000000">
      <w:pPr>
        <w:spacing w:after="200" w:line="264" w:lineRule="auto"/>
        <w:jc w:val="center"/>
      </w:pPr>
      <w:r>
        <w:rPr>
          <w:b/>
          <w:bCs/>
          <w:sz w:val="52"/>
          <w:szCs w:val="52"/>
        </w:rPr>
        <w:t>Operationalising a Volumetric Prefabrication Plant</w:t>
      </w:r>
    </w:p>
    <w:p w14:paraId="6B01E1B9" w14:textId="77777777" w:rsidR="00695108" w:rsidRDefault="00000000">
      <w:pPr>
        <w:spacing w:after="600" w:line="264" w:lineRule="auto"/>
        <w:jc w:val="center"/>
      </w:pPr>
      <w:r>
        <w:rPr>
          <w:color w:val="800020"/>
          <w:sz w:val="28"/>
          <w:szCs w:val="28"/>
        </w:rPr>
        <w:t>Sun Home Development PLC</w:t>
      </w:r>
    </w:p>
    <w:p w14:paraId="02CB4F21" w14:textId="77777777" w:rsidR="00695108" w:rsidRDefault="00000000">
      <w:pPr>
        <w:pStyle w:val="Heading1"/>
        <w:pageBreakBefore/>
        <w:spacing w:before="360" w:after="240" w:line="264" w:lineRule="auto"/>
      </w:pPr>
      <w:r>
        <w:rPr>
          <w:b/>
          <w:bCs/>
          <w:color w:val="000000"/>
          <w:sz w:val="36"/>
          <w:szCs w:val="36"/>
        </w:rPr>
        <w:lastRenderedPageBreak/>
        <w:t>Contents</w:t>
      </w:r>
    </w:p>
    <w:p w14:paraId="4CA75ADC" w14:textId="77777777" w:rsidR="00695108" w:rsidRDefault="00000000">
      <w:pPr>
        <w:spacing w:after="120" w:line="264" w:lineRule="auto"/>
      </w:pPr>
      <w:r>
        <w:t>List of Figures and Tables</w:t>
      </w:r>
    </w:p>
    <w:p w14:paraId="4B559AC4" w14:textId="77777777" w:rsidR="00695108" w:rsidRDefault="00000000">
      <w:pPr>
        <w:spacing w:after="120" w:line="264" w:lineRule="auto"/>
      </w:pPr>
      <w:r>
        <w:t>Executive Summary</w:t>
      </w:r>
    </w:p>
    <w:p w14:paraId="2E1F30D0" w14:textId="77777777" w:rsidR="00695108" w:rsidRDefault="00000000">
      <w:pPr>
        <w:spacing w:after="120" w:line="264" w:lineRule="auto"/>
      </w:pPr>
      <w:proofErr w:type="gramStart"/>
      <w:r>
        <w:t>1  Introduction</w:t>
      </w:r>
      <w:proofErr w:type="gramEnd"/>
    </w:p>
    <w:p w14:paraId="7DA06CB5" w14:textId="77777777" w:rsidR="00695108" w:rsidRDefault="00000000">
      <w:pPr>
        <w:spacing w:after="120" w:line="264" w:lineRule="auto"/>
      </w:pPr>
      <w:proofErr w:type="gramStart"/>
      <w:r>
        <w:t>2  Organisation</w:t>
      </w:r>
      <w:proofErr w:type="gramEnd"/>
      <w:r>
        <w:t xml:space="preserve"> and Operating Assumptions</w:t>
      </w:r>
    </w:p>
    <w:p w14:paraId="0E775118" w14:textId="77777777" w:rsidR="00695108" w:rsidRDefault="00000000">
      <w:pPr>
        <w:spacing w:after="120" w:line="264" w:lineRule="auto"/>
      </w:pPr>
      <w:proofErr w:type="gramStart"/>
      <w:r>
        <w:t>3  Location</w:t>
      </w:r>
      <w:proofErr w:type="gramEnd"/>
      <w:r>
        <w:t xml:space="preserve"> Recommendation</w:t>
      </w:r>
    </w:p>
    <w:p w14:paraId="126ECA95" w14:textId="77777777" w:rsidR="00695108" w:rsidRDefault="00000000">
      <w:pPr>
        <w:spacing w:after="120" w:line="264" w:lineRule="auto"/>
      </w:pPr>
      <w:proofErr w:type="gramStart"/>
      <w:r>
        <w:t>4  Direct</w:t>
      </w:r>
      <w:proofErr w:type="gramEnd"/>
      <w:r>
        <w:t xml:space="preserve"> and Design: Operations Strategy and Process Management</w:t>
      </w:r>
    </w:p>
    <w:p w14:paraId="3F5E66D5" w14:textId="77777777" w:rsidR="00695108" w:rsidRDefault="00000000">
      <w:pPr>
        <w:spacing w:after="120" w:line="264" w:lineRule="auto"/>
      </w:pPr>
      <w:proofErr w:type="gramStart"/>
      <w:r>
        <w:t>5  Deliver</w:t>
      </w:r>
      <w:proofErr w:type="gramEnd"/>
      <w:r>
        <w:t>: Supply Chain Management and Sub-Contracting</w:t>
      </w:r>
    </w:p>
    <w:p w14:paraId="239BD5C4" w14:textId="77777777" w:rsidR="00695108" w:rsidRDefault="00000000">
      <w:pPr>
        <w:spacing w:after="120" w:line="264" w:lineRule="auto"/>
      </w:pPr>
      <w:proofErr w:type="gramStart"/>
      <w:r>
        <w:t>6  Develop</w:t>
      </w:r>
      <w:proofErr w:type="gramEnd"/>
      <w:r>
        <w:t>: Performance Measurement and Management</w:t>
      </w:r>
    </w:p>
    <w:p w14:paraId="2C64989F" w14:textId="77777777" w:rsidR="00695108" w:rsidRDefault="00000000">
      <w:pPr>
        <w:spacing w:after="120" w:line="264" w:lineRule="auto"/>
      </w:pPr>
      <w:proofErr w:type="gramStart"/>
      <w:r>
        <w:t>7  Integrated</w:t>
      </w:r>
      <w:proofErr w:type="gramEnd"/>
      <w:r>
        <w:t xml:space="preserve"> Implementation Roadmap</w:t>
      </w:r>
    </w:p>
    <w:p w14:paraId="2A3FCC20" w14:textId="77777777" w:rsidR="00695108" w:rsidRDefault="00000000">
      <w:pPr>
        <w:spacing w:after="120" w:line="264" w:lineRule="auto"/>
      </w:pPr>
      <w:proofErr w:type="gramStart"/>
      <w:r>
        <w:t>8  Conclusion</w:t>
      </w:r>
      <w:proofErr w:type="gramEnd"/>
    </w:p>
    <w:p w14:paraId="6C86C296" w14:textId="77777777" w:rsidR="00695108" w:rsidRDefault="00000000">
      <w:pPr>
        <w:spacing w:after="120" w:line="264" w:lineRule="auto"/>
      </w:pPr>
      <w:r>
        <w:t>References</w:t>
      </w:r>
    </w:p>
    <w:p w14:paraId="08E3E1F7" w14:textId="77777777" w:rsidR="00695108" w:rsidRDefault="00000000">
      <w:pPr>
        <w:spacing w:after="120" w:line="264" w:lineRule="auto"/>
      </w:pPr>
      <w:r>
        <w:t xml:space="preserve">Appendix </w:t>
      </w:r>
      <w:proofErr w:type="gramStart"/>
      <w:r>
        <w:t>A  Reflection</w:t>
      </w:r>
      <w:proofErr w:type="gramEnd"/>
      <w:r>
        <w:t>: Introduction to Strategic and Operational Management</w:t>
      </w:r>
    </w:p>
    <w:p w14:paraId="296082BE" w14:textId="77777777" w:rsidR="00695108" w:rsidRDefault="00000000">
      <w:pPr>
        <w:spacing w:after="120" w:line="264" w:lineRule="auto"/>
      </w:pPr>
      <w:r>
        <w:t xml:space="preserve">Appendix </w:t>
      </w:r>
      <w:proofErr w:type="gramStart"/>
      <w:r>
        <w:t>B  Reflection</w:t>
      </w:r>
      <w:proofErr w:type="gramEnd"/>
      <w:r>
        <w:t>: Operations Strategy and Process Management</w:t>
      </w:r>
    </w:p>
    <w:p w14:paraId="76848DD5" w14:textId="77777777" w:rsidR="00695108" w:rsidRDefault="00000000">
      <w:pPr>
        <w:spacing w:after="120" w:line="264" w:lineRule="auto"/>
      </w:pPr>
      <w:r>
        <w:t xml:space="preserve">Appendix </w:t>
      </w:r>
      <w:proofErr w:type="gramStart"/>
      <w:r>
        <w:t>C  Reflection</w:t>
      </w:r>
      <w:proofErr w:type="gramEnd"/>
      <w:r>
        <w:t>: Supply Chain Management and Sub-Contracting</w:t>
      </w:r>
    </w:p>
    <w:p w14:paraId="56422A46" w14:textId="77777777" w:rsidR="00695108" w:rsidRDefault="00000000">
      <w:pPr>
        <w:spacing w:after="120" w:line="264" w:lineRule="auto"/>
      </w:pPr>
      <w:r>
        <w:t xml:space="preserve">Appendix </w:t>
      </w:r>
      <w:proofErr w:type="gramStart"/>
      <w:r>
        <w:t>D  Reflection</w:t>
      </w:r>
      <w:proofErr w:type="gramEnd"/>
      <w:r>
        <w:t>: Risk Management in Operations</w:t>
      </w:r>
    </w:p>
    <w:p w14:paraId="435CB00C" w14:textId="77777777" w:rsidR="00695108" w:rsidRDefault="00000000">
      <w:pPr>
        <w:spacing w:after="120" w:line="264" w:lineRule="auto"/>
      </w:pPr>
      <w:r>
        <w:t xml:space="preserve">Appendix </w:t>
      </w:r>
      <w:proofErr w:type="gramStart"/>
      <w:r>
        <w:t>E  Reflection</w:t>
      </w:r>
      <w:proofErr w:type="gramEnd"/>
      <w:r>
        <w:t>: Performance Measurement and Management Systems</w:t>
      </w:r>
    </w:p>
    <w:p w14:paraId="55DA966C" w14:textId="77777777" w:rsidR="00695108" w:rsidRDefault="00000000">
      <w:pPr>
        <w:pStyle w:val="Heading1"/>
        <w:pageBreakBefore/>
        <w:spacing w:before="360" w:after="240" w:line="264" w:lineRule="auto"/>
      </w:pPr>
      <w:r>
        <w:rPr>
          <w:b/>
          <w:bCs/>
          <w:color w:val="000000"/>
          <w:sz w:val="36"/>
          <w:szCs w:val="36"/>
        </w:rPr>
        <w:lastRenderedPageBreak/>
        <w:t>List of Figures and Tables</w:t>
      </w:r>
    </w:p>
    <w:p w14:paraId="3DC993D0" w14:textId="77777777" w:rsidR="00695108" w:rsidRDefault="00000000">
      <w:pPr>
        <w:spacing w:after="120" w:line="264" w:lineRule="auto"/>
      </w:pPr>
      <w:r>
        <w:t xml:space="preserve">Figure </w:t>
      </w:r>
      <w:proofErr w:type="gramStart"/>
      <w:r>
        <w:t>1  Proposed</w:t>
      </w:r>
      <w:proofErr w:type="gramEnd"/>
      <w:r>
        <w:t xml:space="preserve"> 3D operating logic</w:t>
      </w:r>
    </w:p>
    <w:p w14:paraId="79385F96" w14:textId="77777777" w:rsidR="00695108" w:rsidRDefault="00000000">
      <w:pPr>
        <w:spacing w:after="120" w:line="264" w:lineRule="auto"/>
      </w:pPr>
      <w:r>
        <w:t xml:space="preserve">Table </w:t>
      </w:r>
      <w:proofErr w:type="gramStart"/>
      <w:r>
        <w:t>1  South</w:t>
      </w:r>
      <w:proofErr w:type="gramEnd"/>
      <w:r>
        <w:t xml:space="preserve"> West location appraisal</w:t>
      </w:r>
    </w:p>
    <w:p w14:paraId="02B7F335" w14:textId="77777777" w:rsidR="00695108" w:rsidRDefault="00000000">
      <w:pPr>
        <w:spacing w:after="120" w:line="264" w:lineRule="auto"/>
      </w:pPr>
      <w:r>
        <w:t xml:space="preserve">Table </w:t>
      </w:r>
      <w:proofErr w:type="gramStart"/>
      <w:r>
        <w:t>2  Operations</w:t>
      </w:r>
      <w:proofErr w:type="gramEnd"/>
      <w:r>
        <w:t xml:space="preserve"> Strategy and Process Blueprint</w:t>
      </w:r>
    </w:p>
    <w:p w14:paraId="65F9F984" w14:textId="77777777" w:rsidR="00695108" w:rsidRDefault="00000000">
      <w:pPr>
        <w:spacing w:after="120" w:line="264" w:lineRule="auto"/>
      </w:pPr>
      <w:r>
        <w:t xml:space="preserve">Table </w:t>
      </w:r>
      <w:proofErr w:type="gramStart"/>
      <w:r>
        <w:t>3  Supply</w:t>
      </w:r>
      <w:proofErr w:type="gramEnd"/>
      <w:r>
        <w:t xml:space="preserve"> Chain Mobilisation and Resilience Plan</w:t>
      </w:r>
    </w:p>
    <w:p w14:paraId="41E61ED0" w14:textId="77777777" w:rsidR="00695108" w:rsidRDefault="00000000">
      <w:pPr>
        <w:spacing w:after="120" w:line="264" w:lineRule="auto"/>
      </w:pPr>
      <w:r>
        <w:t xml:space="preserve">Table </w:t>
      </w:r>
      <w:proofErr w:type="gramStart"/>
      <w:r>
        <w:t>4  Balanced</w:t>
      </w:r>
      <w:proofErr w:type="gramEnd"/>
      <w:r>
        <w:t xml:space="preserve"> Plant Performance Management System</w:t>
      </w:r>
    </w:p>
    <w:p w14:paraId="3438E496" w14:textId="77777777" w:rsidR="00695108" w:rsidRDefault="00000000">
      <w:pPr>
        <w:spacing w:after="120" w:line="264" w:lineRule="auto"/>
      </w:pPr>
      <w:r>
        <w:t xml:space="preserve">Table </w:t>
      </w:r>
      <w:proofErr w:type="gramStart"/>
      <w:r>
        <w:t>5  Integrated</w:t>
      </w:r>
      <w:proofErr w:type="gramEnd"/>
      <w:r>
        <w:t xml:space="preserve"> implementation roadmap</w:t>
      </w:r>
    </w:p>
    <w:p w14:paraId="05A60BDD" w14:textId="77777777" w:rsidR="00695108" w:rsidRDefault="00000000">
      <w:pPr>
        <w:pStyle w:val="Heading1"/>
        <w:pageBreakBefore/>
        <w:spacing w:before="360" w:after="240" w:line="264" w:lineRule="auto"/>
      </w:pPr>
      <w:r>
        <w:rPr>
          <w:b/>
          <w:bCs/>
          <w:color w:val="000000"/>
          <w:sz w:val="36"/>
          <w:szCs w:val="36"/>
        </w:rPr>
        <w:lastRenderedPageBreak/>
        <w:t>Executive Summary</w:t>
      </w:r>
    </w:p>
    <w:p w14:paraId="4E21C7B2" w14:textId="77777777" w:rsidR="00695108" w:rsidRDefault="00000000">
      <w:pPr>
        <w:spacing w:after="120" w:line="264" w:lineRule="auto"/>
      </w:pPr>
      <w:r>
        <w:t xml:space="preserve">Sun Home Development PLC should establish its volumetric prefabrication plant at Unit 8, More+ Central Park, Avonmouth (94,361 </w:t>
      </w:r>
      <w:proofErr w:type="spellStart"/>
      <w:r>
        <w:t>sq</w:t>
      </w:r>
      <w:proofErr w:type="spellEnd"/>
      <w:r>
        <w:t xml:space="preserve"> ft, BS35 4GH), subject to site-specific due diligence on flood risk, ecology, utilities and abnormal-load routing. This purpose-built industrial unit sits 600 metres from M49 Junction 1, within a proven logistics cluster including Amazon, DHL and Waitrose, and 15 minutes from Sun Home's Bristol headquarters.</w:t>
      </w:r>
    </w:p>
    <w:p w14:paraId="00F6CA2A" w14:textId="77777777" w:rsidR="00695108" w:rsidRDefault="00000000">
      <w:pPr>
        <w:spacing w:after="120" w:line="264" w:lineRule="auto"/>
      </w:pPr>
      <w:r>
        <w:t xml:space="preserve">The report develops three deliverables across the 3D operations management framework (Slack and Brandon-Jones, 2018). An Operations Strategy and Process Blueprint (Direct and Design) </w:t>
      </w:r>
      <w:proofErr w:type="gramStart"/>
      <w:r>
        <w:t>defines</w:t>
      </w:r>
      <w:proofErr w:type="gramEnd"/>
      <w:r>
        <w:t xml:space="preserve"> the product family, process architecture, staged capacity and design-release gates. A Supply Chain Mobilisation and Resilience Plan (Deliver) </w:t>
      </w:r>
      <w:proofErr w:type="gramStart"/>
      <w:r>
        <w:t>governs</w:t>
      </w:r>
      <w:proofErr w:type="gramEnd"/>
      <w:r>
        <w:t xml:space="preserve"> supplier segmentation, qualification, inbound logistics and the factory-to-site interface. A Balanced Plant Performance Management System (Develop) connects measures to accountable owners, targets, tolerances and corrective decisions.</w:t>
      </w:r>
    </w:p>
    <w:p w14:paraId="16B66036" w14:textId="77777777" w:rsidR="00695108" w:rsidRDefault="00000000">
      <w:pPr>
        <w:spacing w:after="120" w:line="264" w:lineRule="auto"/>
      </w:pPr>
      <w:r>
        <w:t xml:space="preserve">The L&amp;G and </w:t>
      </w:r>
      <w:proofErr w:type="spellStart"/>
      <w:r>
        <w:t>TopHat</w:t>
      </w:r>
      <w:proofErr w:type="spellEnd"/>
      <w:r>
        <w:t xml:space="preserve"> failures demonstrate that fixed factory costs without a predictable, firm-order pipeline are the primary cause of sector collapse (House of Lords Built Environment Committee, 2024). Sun Home's advantage as a top-10 housebuilder controlling its own land bank can mitigate this risk, but only if capacity is staged against proven demand and process stability rather than projected volume. Senior management should approve a phased pilot, proceeding to scale only when safety, quality, delivery and cost thresholds are sustained.</w:t>
      </w:r>
    </w:p>
    <w:p w14:paraId="6D95BEDF" w14:textId="77777777" w:rsidR="00695108" w:rsidRDefault="00000000">
      <w:pPr>
        <w:pStyle w:val="Heading1"/>
        <w:pageBreakBefore/>
        <w:spacing w:before="360" w:after="240" w:line="264" w:lineRule="auto"/>
      </w:pPr>
      <w:proofErr w:type="gramStart"/>
      <w:r>
        <w:rPr>
          <w:b/>
          <w:bCs/>
          <w:color w:val="000000"/>
          <w:sz w:val="36"/>
          <w:szCs w:val="36"/>
        </w:rPr>
        <w:lastRenderedPageBreak/>
        <w:t>1  Introduction</w:t>
      </w:r>
      <w:proofErr w:type="gramEnd"/>
    </w:p>
    <w:p w14:paraId="24C872C1" w14:textId="77777777" w:rsidR="00695108" w:rsidRDefault="00000000">
      <w:pPr>
        <w:spacing w:after="120" w:line="264" w:lineRule="auto"/>
      </w:pPr>
      <w:r>
        <w:t>Sun Home Development PLC has appointed the author as Senior Project Manager for Business Development to advise senior management on operationalising a new volumetric prefabrication manufacturing plant. This report addresses three questions: where to locate the plant, how to configure and operate it, and how to measure and improve its performance.</w:t>
      </w:r>
    </w:p>
    <w:p w14:paraId="38E70A0A" w14:textId="77777777" w:rsidR="00695108" w:rsidRDefault="00000000">
      <w:pPr>
        <w:spacing w:after="120" w:line="264" w:lineRule="auto"/>
      </w:pPr>
      <w:r>
        <w:t>The analysis uses the Direct and Design, Deliver and Develop framework (Slack and Brandon-Jones, 2018; Slack, Brandon-Jones and Burgess, 2022), selecting one operational area from each stage as the assessment brief requires (UWE, 2026a). The three chosen areas are operations strategy and process management, supply chain management and sub-contracting, and performance measurement and management. For each, a named deliverable is developed and critically evaluated against its benefits, challenges and mitigation.</w:t>
      </w:r>
    </w:p>
    <w:p w14:paraId="1278F6C1" w14:textId="77777777" w:rsidR="00695108" w:rsidRDefault="00000000">
      <w:pPr>
        <w:spacing w:after="120" w:line="264" w:lineRule="auto"/>
      </w:pPr>
      <w:r>
        <w:t>The target market is repeatable volumetric affordable housing, where Sun Home's consented land bank and planning capability can generate the pipeline stability that recent UK modular failures have shown to be essential. Koskela (2000) argues that construction underperforms because it manages production as transformation alone and neglects flow and value generation; the factory operating model must address all three.</w:t>
      </w:r>
    </w:p>
    <w:p w14:paraId="459F0AC7" w14:textId="77777777" w:rsidR="00695108" w:rsidRDefault="00000000">
      <w:pPr>
        <w:pStyle w:val="Heading1"/>
        <w:pageBreakBefore/>
        <w:spacing w:before="360" w:after="240" w:line="264" w:lineRule="auto"/>
      </w:pPr>
      <w:proofErr w:type="gramStart"/>
      <w:r>
        <w:rPr>
          <w:b/>
          <w:bCs/>
          <w:color w:val="000000"/>
          <w:sz w:val="36"/>
          <w:szCs w:val="36"/>
        </w:rPr>
        <w:lastRenderedPageBreak/>
        <w:t>2  Organisation</w:t>
      </w:r>
      <w:proofErr w:type="gramEnd"/>
      <w:r>
        <w:rPr>
          <w:b/>
          <w:bCs/>
          <w:color w:val="000000"/>
          <w:sz w:val="36"/>
          <w:szCs w:val="36"/>
        </w:rPr>
        <w:t xml:space="preserve"> and Operating Assumptions</w:t>
      </w:r>
    </w:p>
    <w:p w14:paraId="016D44C5" w14:textId="77777777" w:rsidR="00695108" w:rsidRDefault="00000000">
      <w:pPr>
        <w:spacing w:after="120" w:line="264" w:lineRule="auto"/>
      </w:pPr>
      <w:r>
        <w:t>Sun Home is a Bristol-based top-10 UK housebuilder delivering 15,500 homes in 2025, including 3,200 affordable homes, supported by 6,200 subcontractors and £6 million in skills investment (UWE, 2026a). Its six stated business-model activities, land acquisition, design, construction, centralised procurement, brand positioning and financial discipline, provide a platform for entering volumetric manufacturing, but the transition demands new capabilities in production engineering, maintenance, quality assurance and logistics that the company does not currently hold.</w:t>
      </w:r>
    </w:p>
    <w:p w14:paraId="57F3F030" w14:textId="77777777" w:rsidR="00695108" w:rsidRDefault="00000000">
      <w:pPr>
        <w:spacing w:after="120" w:line="264" w:lineRule="auto"/>
      </w:pPr>
      <w:r>
        <w:t>The South West pipeline concentration is a scenario assumption, not a verified statistic. It reflects Sun Home's Bristol headquarters and regional market focus. The plant will produce repeatable volumetric housing modules with controlled configuration options. Capacity and automation must be staged against firm demand and proven process stability to protect the financial discipline the brief identifies as a core business-model activity.</w:t>
      </w:r>
    </w:p>
    <w:p w14:paraId="44524B3D" w14:textId="77777777" w:rsidR="00695108" w:rsidRDefault="00000000">
      <w:pPr>
        <w:spacing w:before="120" w:after="60"/>
      </w:pPr>
      <w:r>
        <w:rPr>
          <w:b/>
          <w:bCs/>
          <w:color w:val="800020"/>
          <w:sz w:val="20"/>
          <w:szCs w:val="20"/>
        </w:rPr>
        <w:t>Figure 1. Proposed 3D operating logic</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00"/>
        <w:gridCol w:w="2700"/>
        <w:gridCol w:w="300"/>
        <w:gridCol w:w="2700"/>
      </w:tblGrid>
      <w:tr w:rsidR="00695108" w14:paraId="35495FC4" w14:textId="77777777">
        <w:trPr>
          <w:tblHeader/>
        </w:trPr>
        <w:tc>
          <w:tcPr>
            <w:tcW w:w="2400" w:type="dxa"/>
            <w:shd w:val="clear" w:color="auto" w:fill="1E2A38"/>
            <w:vAlign w:val="center"/>
          </w:tcPr>
          <w:p w14:paraId="241D3462" w14:textId="77777777" w:rsidR="00695108" w:rsidRDefault="00000000">
            <w:pPr>
              <w:spacing w:after="40"/>
            </w:pPr>
            <w:r>
              <w:rPr>
                <w:b/>
                <w:bCs/>
                <w:color w:val="FFFFFF"/>
                <w:sz w:val="20"/>
                <w:szCs w:val="20"/>
              </w:rPr>
              <w:t>DIRECT AND DESIGN</w:t>
            </w:r>
          </w:p>
        </w:tc>
        <w:tc>
          <w:tcPr>
            <w:tcW w:w="300" w:type="dxa"/>
            <w:shd w:val="clear" w:color="auto" w:fill="1E2A38"/>
            <w:vAlign w:val="center"/>
          </w:tcPr>
          <w:p w14:paraId="0F6F698C" w14:textId="77777777" w:rsidR="00695108" w:rsidRDefault="00000000">
            <w:pPr>
              <w:spacing w:after="40"/>
            </w:pPr>
            <w:r>
              <w:rPr>
                <w:b/>
                <w:bCs/>
                <w:color w:val="FFFFFF"/>
                <w:sz w:val="20"/>
                <w:szCs w:val="20"/>
              </w:rPr>
              <w:t>→</w:t>
            </w:r>
          </w:p>
        </w:tc>
        <w:tc>
          <w:tcPr>
            <w:tcW w:w="2700" w:type="dxa"/>
            <w:shd w:val="clear" w:color="auto" w:fill="1E2A38"/>
            <w:vAlign w:val="center"/>
          </w:tcPr>
          <w:p w14:paraId="4030E073" w14:textId="77777777" w:rsidR="00695108" w:rsidRDefault="00000000">
            <w:pPr>
              <w:spacing w:after="40"/>
            </w:pPr>
            <w:r>
              <w:rPr>
                <w:b/>
                <w:bCs/>
                <w:color w:val="FFFFFF"/>
                <w:sz w:val="20"/>
                <w:szCs w:val="20"/>
              </w:rPr>
              <w:t>DELIVER</w:t>
            </w:r>
          </w:p>
        </w:tc>
        <w:tc>
          <w:tcPr>
            <w:tcW w:w="300" w:type="dxa"/>
            <w:shd w:val="clear" w:color="auto" w:fill="1E2A38"/>
            <w:vAlign w:val="center"/>
          </w:tcPr>
          <w:p w14:paraId="2E1F6549" w14:textId="77777777" w:rsidR="00695108" w:rsidRDefault="00000000">
            <w:pPr>
              <w:spacing w:after="40"/>
            </w:pPr>
            <w:r>
              <w:rPr>
                <w:b/>
                <w:bCs/>
                <w:color w:val="FFFFFF"/>
                <w:sz w:val="20"/>
                <w:szCs w:val="20"/>
              </w:rPr>
              <w:t>→</w:t>
            </w:r>
          </w:p>
        </w:tc>
        <w:tc>
          <w:tcPr>
            <w:tcW w:w="2700" w:type="dxa"/>
            <w:shd w:val="clear" w:color="auto" w:fill="1E2A38"/>
            <w:vAlign w:val="center"/>
          </w:tcPr>
          <w:p w14:paraId="057D5C44" w14:textId="77777777" w:rsidR="00695108" w:rsidRDefault="00000000">
            <w:pPr>
              <w:spacing w:after="40"/>
            </w:pPr>
            <w:r>
              <w:rPr>
                <w:b/>
                <w:bCs/>
                <w:color w:val="FFFFFF"/>
                <w:sz w:val="20"/>
                <w:szCs w:val="20"/>
              </w:rPr>
              <w:t>DEVELOP</w:t>
            </w:r>
          </w:p>
        </w:tc>
      </w:tr>
      <w:tr w:rsidR="00695108" w14:paraId="41E35D04" w14:textId="77777777">
        <w:tc>
          <w:tcPr>
            <w:tcW w:w="2400" w:type="dxa"/>
          </w:tcPr>
          <w:p w14:paraId="5AEBAB7B" w14:textId="77777777" w:rsidR="00695108" w:rsidRDefault="00000000">
            <w:pPr>
              <w:spacing w:after="40"/>
            </w:pPr>
            <w:r>
              <w:rPr>
                <w:sz w:val="20"/>
                <w:szCs w:val="20"/>
              </w:rPr>
              <w:t>Operations strategy and process management</w:t>
            </w:r>
          </w:p>
        </w:tc>
        <w:tc>
          <w:tcPr>
            <w:tcW w:w="300" w:type="dxa"/>
          </w:tcPr>
          <w:p w14:paraId="1E1E8040" w14:textId="77777777" w:rsidR="00695108" w:rsidRDefault="00695108">
            <w:pPr>
              <w:spacing w:after="40"/>
            </w:pPr>
          </w:p>
        </w:tc>
        <w:tc>
          <w:tcPr>
            <w:tcW w:w="2700" w:type="dxa"/>
          </w:tcPr>
          <w:p w14:paraId="132AE6AD" w14:textId="77777777" w:rsidR="00695108" w:rsidRDefault="00000000">
            <w:pPr>
              <w:spacing w:after="40"/>
            </w:pPr>
            <w:r>
              <w:rPr>
                <w:sz w:val="20"/>
                <w:szCs w:val="20"/>
              </w:rPr>
              <w:t>Supply chain management and sub-contracting</w:t>
            </w:r>
          </w:p>
        </w:tc>
        <w:tc>
          <w:tcPr>
            <w:tcW w:w="300" w:type="dxa"/>
          </w:tcPr>
          <w:p w14:paraId="6FE04300" w14:textId="77777777" w:rsidR="00695108" w:rsidRDefault="00695108">
            <w:pPr>
              <w:spacing w:after="40"/>
            </w:pPr>
          </w:p>
        </w:tc>
        <w:tc>
          <w:tcPr>
            <w:tcW w:w="2700" w:type="dxa"/>
          </w:tcPr>
          <w:p w14:paraId="09775422" w14:textId="77777777" w:rsidR="00695108" w:rsidRDefault="00000000">
            <w:pPr>
              <w:spacing w:after="40"/>
            </w:pPr>
            <w:r>
              <w:rPr>
                <w:sz w:val="20"/>
                <w:szCs w:val="20"/>
              </w:rPr>
              <w:t>Performance measurement and management</w:t>
            </w:r>
          </w:p>
        </w:tc>
      </w:tr>
    </w:tbl>
    <w:p w14:paraId="4A7432ED" w14:textId="77777777" w:rsidR="00695108" w:rsidRDefault="00695108">
      <w:pPr>
        <w:spacing w:after="60" w:line="264" w:lineRule="auto"/>
      </w:pPr>
    </w:p>
    <w:p w14:paraId="66D28B15" w14:textId="77777777" w:rsidR="00695108" w:rsidRDefault="00000000">
      <w:pPr>
        <w:pStyle w:val="Heading1"/>
        <w:pageBreakBefore/>
        <w:spacing w:before="360" w:after="240" w:line="264" w:lineRule="auto"/>
      </w:pPr>
      <w:proofErr w:type="gramStart"/>
      <w:r>
        <w:rPr>
          <w:b/>
          <w:bCs/>
          <w:color w:val="000000"/>
          <w:sz w:val="36"/>
          <w:szCs w:val="36"/>
        </w:rPr>
        <w:lastRenderedPageBreak/>
        <w:t>3  Location</w:t>
      </w:r>
      <w:proofErr w:type="gramEnd"/>
      <w:r>
        <w:rPr>
          <w:b/>
          <w:bCs/>
          <w:color w:val="000000"/>
          <w:sz w:val="36"/>
          <w:szCs w:val="36"/>
        </w:rPr>
        <w:t xml:space="preserve"> Recommendation</w:t>
      </w:r>
    </w:p>
    <w:p w14:paraId="362E8E6E" w14:textId="77777777" w:rsidR="00695108" w:rsidRDefault="00000000">
      <w:pPr>
        <w:spacing w:after="120" w:line="264" w:lineRule="auto"/>
      </w:pPr>
      <w:r>
        <w:t>The location decision carries strategic, operational and environmental weight. A volumetric module factory must sit within practical haulage distance of the committed pipeline, with access to a manufacturing-capable workforce, suitable industrial land, reliable utilities and transport infrastructure for abnormal loads. McKinsey &amp; Company (2019) identify pipeline certainty, wage differentials and haulage economics as the dominant variables in factory investment decisions. Pan, Gibb and Dainty (2007) found that transport logistics and site constraints remain among the strongest barriers to housebuilder adoption of offsite methods.</w:t>
      </w:r>
    </w:p>
    <w:p w14:paraId="331AD7B8" w14:textId="77777777" w:rsidR="00695108" w:rsidRDefault="00000000">
      <w:pPr>
        <w:spacing w:after="120" w:line="264" w:lineRule="auto"/>
      </w:pPr>
      <w:r>
        <w:t>Sun Home's pipeline is assumed to concentrate in the South West. Three candidate corridors have been assessed.</w:t>
      </w:r>
    </w:p>
    <w:p w14:paraId="27D28BCE" w14:textId="77777777" w:rsidR="00695108" w:rsidRDefault="00000000">
      <w:pPr>
        <w:spacing w:before="120" w:after="60"/>
      </w:pPr>
      <w:r>
        <w:rPr>
          <w:b/>
          <w:bCs/>
          <w:color w:val="800020"/>
          <w:sz w:val="20"/>
          <w:szCs w:val="20"/>
        </w:rPr>
        <w:t>Table 1. South West location appraisal</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400"/>
        <w:gridCol w:w="2400"/>
        <w:gridCol w:w="2100"/>
      </w:tblGrid>
      <w:tr w:rsidR="00695108" w14:paraId="0CD275E0" w14:textId="77777777">
        <w:trPr>
          <w:tblHeader/>
        </w:trPr>
        <w:tc>
          <w:tcPr>
            <w:tcW w:w="1600" w:type="dxa"/>
            <w:shd w:val="clear" w:color="auto" w:fill="1E2A38"/>
            <w:vAlign w:val="center"/>
          </w:tcPr>
          <w:p w14:paraId="534A2F22" w14:textId="77777777" w:rsidR="00695108" w:rsidRDefault="00000000">
            <w:pPr>
              <w:spacing w:after="40"/>
            </w:pPr>
            <w:r>
              <w:rPr>
                <w:b/>
                <w:bCs/>
                <w:color w:val="FFFFFF"/>
                <w:sz w:val="20"/>
                <w:szCs w:val="20"/>
              </w:rPr>
              <w:t>Criterion</w:t>
            </w:r>
          </w:p>
        </w:tc>
        <w:tc>
          <w:tcPr>
            <w:tcW w:w="2400" w:type="dxa"/>
            <w:shd w:val="clear" w:color="auto" w:fill="1E2A38"/>
            <w:vAlign w:val="center"/>
          </w:tcPr>
          <w:p w14:paraId="5FFF0843" w14:textId="77777777" w:rsidR="00695108" w:rsidRDefault="00000000">
            <w:pPr>
              <w:spacing w:after="40"/>
            </w:pPr>
            <w:r>
              <w:rPr>
                <w:b/>
                <w:bCs/>
                <w:color w:val="FFFFFF"/>
                <w:sz w:val="20"/>
                <w:szCs w:val="20"/>
              </w:rPr>
              <w:t>Avonmouth/</w:t>
            </w:r>
            <w:proofErr w:type="spellStart"/>
            <w:r>
              <w:rPr>
                <w:b/>
                <w:bCs/>
                <w:color w:val="FFFFFF"/>
                <w:sz w:val="20"/>
                <w:szCs w:val="20"/>
              </w:rPr>
              <w:t>Severnside</w:t>
            </w:r>
            <w:proofErr w:type="spellEnd"/>
          </w:p>
        </w:tc>
        <w:tc>
          <w:tcPr>
            <w:tcW w:w="2400" w:type="dxa"/>
            <w:shd w:val="clear" w:color="auto" w:fill="1E2A38"/>
            <w:vAlign w:val="center"/>
          </w:tcPr>
          <w:p w14:paraId="55ECD52B" w14:textId="77777777" w:rsidR="00695108" w:rsidRDefault="00000000">
            <w:pPr>
              <w:spacing w:after="40"/>
            </w:pPr>
            <w:r>
              <w:rPr>
                <w:b/>
                <w:bCs/>
                <w:color w:val="FFFFFF"/>
                <w:sz w:val="20"/>
                <w:szCs w:val="20"/>
              </w:rPr>
              <w:t>Alternative (e.g. Swindon M4 or Exeter M5)</w:t>
            </w:r>
          </w:p>
        </w:tc>
        <w:tc>
          <w:tcPr>
            <w:tcW w:w="2100" w:type="dxa"/>
            <w:shd w:val="clear" w:color="auto" w:fill="1E2A38"/>
            <w:vAlign w:val="center"/>
          </w:tcPr>
          <w:p w14:paraId="79BAC2DC" w14:textId="77777777" w:rsidR="00695108" w:rsidRDefault="00000000">
            <w:pPr>
              <w:spacing w:after="40"/>
            </w:pPr>
            <w:r>
              <w:rPr>
                <w:b/>
                <w:bCs/>
                <w:color w:val="FFFFFF"/>
                <w:sz w:val="20"/>
                <w:szCs w:val="20"/>
              </w:rPr>
              <w:t>Required evidence</w:t>
            </w:r>
          </w:p>
        </w:tc>
      </w:tr>
      <w:tr w:rsidR="00695108" w14:paraId="26124179" w14:textId="77777777">
        <w:tc>
          <w:tcPr>
            <w:tcW w:w="1600" w:type="dxa"/>
          </w:tcPr>
          <w:p w14:paraId="0100C0E9" w14:textId="77777777" w:rsidR="00695108" w:rsidRDefault="00000000">
            <w:pPr>
              <w:spacing w:after="40"/>
            </w:pPr>
            <w:r>
              <w:rPr>
                <w:sz w:val="20"/>
                <w:szCs w:val="20"/>
              </w:rPr>
              <w:t>Pipeline proximity</w:t>
            </w:r>
          </w:p>
        </w:tc>
        <w:tc>
          <w:tcPr>
            <w:tcW w:w="2400" w:type="dxa"/>
          </w:tcPr>
          <w:p w14:paraId="14F55668" w14:textId="77777777" w:rsidR="00695108" w:rsidRDefault="00000000">
            <w:pPr>
              <w:spacing w:after="40"/>
            </w:pPr>
            <w:r>
              <w:rPr>
                <w:sz w:val="20"/>
                <w:szCs w:val="20"/>
              </w:rPr>
              <w:t>Strong fit: Bristol HQ, regional land holdings, M4/M5 corridor demand</w:t>
            </w:r>
          </w:p>
        </w:tc>
        <w:tc>
          <w:tcPr>
            <w:tcW w:w="2400" w:type="dxa"/>
          </w:tcPr>
          <w:p w14:paraId="23008A42" w14:textId="77777777" w:rsidR="00695108" w:rsidRDefault="00000000">
            <w:pPr>
              <w:spacing w:after="40"/>
            </w:pPr>
            <w:r>
              <w:rPr>
                <w:sz w:val="20"/>
                <w:szCs w:val="20"/>
              </w:rPr>
              <w:t>Viable if pipeline shifts south or east; longer coordination distance from Bristol</w:t>
            </w:r>
          </w:p>
        </w:tc>
        <w:tc>
          <w:tcPr>
            <w:tcW w:w="2100" w:type="dxa"/>
          </w:tcPr>
          <w:p w14:paraId="66C4C6FA" w14:textId="77777777" w:rsidR="00695108" w:rsidRDefault="00000000">
            <w:pPr>
              <w:spacing w:after="40"/>
            </w:pPr>
            <w:r>
              <w:rPr>
                <w:sz w:val="20"/>
                <w:szCs w:val="20"/>
              </w:rPr>
              <w:t>Probability-weighted units, delivery dates and customer locations</w:t>
            </w:r>
          </w:p>
        </w:tc>
      </w:tr>
      <w:tr w:rsidR="00695108" w14:paraId="206D4C24" w14:textId="77777777">
        <w:tc>
          <w:tcPr>
            <w:tcW w:w="1600" w:type="dxa"/>
            <w:shd w:val="clear" w:color="auto" w:fill="F2F2F2"/>
          </w:tcPr>
          <w:p w14:paraId="25667642" w14:textId="77777777" w:rsidR="00695108" w:rsidRDefault="00000000">
            <w:pPr>
              <w:spacing w:after="40"/>
            </w:pPr>
            <w:r>
              <w:rPr>
                <w:sz w:val="20"/>
                <w:szCs w:val="20"/>
              </w:rPr>
              <w:t>Module transport</w:t>
            </w:r>
          </w:p>
        </w:tc>
        <w:tc>
          <w:tcPr>
            <w:tcW w:w="2400" w:type="dxa"/>
            <w:shd w:val="clear" w:color="auto" w:fill="F2F2F2"/>
          </w:tcPr>
          <w:p w14:paraId="66D37766" w14:textId="77777777" w:rsidR="00695108" w:rsidRDefault="00000000">
            <w:pPr>
              <w:spacing w:after="40"/>
            </w:pPr>
            <w:r>
              <w:rPr>
                <w:sz w:val="20"/>
                <w:szCs w:val="20"/>
              </w:rPr>
              <w:t>M4/M5/M49 and port access; abnormal-load routing feasible</w:t>
            </w:r>
          </w:p>
        </w:tc>
        <w:tc>
          <w:tcPr>
            <w:tcW w:w="2400" w:type="dxa"/>
            <w:shd w:val="clear" w:color="auto" w:fill="F2F2F2"/>
          </w:tcPr>
          <w:p w14:paraId="59987173" w14:textId="77777777" w:rsidR="00695108" w:rsidRDefault="00000000">
            <w:pPr>
              <w:spacing w:after="40"/>
            </w:pPr>
            <w:r>
              <w:rPr>
                <w:sz w:val="20"/>
                <w:szCs w:val="20"/>
              </w:rPr>
              <w:t>Compare route length, bridge/height constraints and access to target sites</w:t>
            </w:r>
          </w:p>
        </w:tc>
        <w:tc>
          <w:tcPr>
            <w:tcW w:w="2100" w:type="dxa"/>
            <w:shd w:val="clear" w:color="auto" w:fill="F2F2F2"/>
          </w:tcPr>
          <w:p w14:paraId="48452A1C" w14:textId="77777777" w:rsidR="00695108" w:rsidRDefault="00000000">
            <w:pPr>
              <w:spacing w:after="40"/>
            </w:pPr>
            <w:r>
              <w:rPr>
                <w:sz w:val="20"/>
                <w:szCs w:val="20"/>
              </w:rPr>
              <w:t>Abnormal-load route surveys and transport cost per module</w:t>
            </w:r>
          </w:p>
        </w:tc>
      </w:tr>
      <w:tr w:rsidR="00695108" w14:paraId="5EE7B911" w14:textId="77777777">
        <w:tc>
          <w:tcPr>
            <w:tcW w:w="1600" w:type="dxa"/>
          </w:tcPr>
          <w:p w14:paraId="1C0EBDFF" w14:textId="77777777" w:rsidR="00695108" w:rsidRDefault="00000000">
            <w:pPr>
              <w:spacing w:after="40"/>
            </w:pPr>
            <w:r>
              <w:rPr>
                <w:sz w:val="20"/>
                <w:szCs w:val="20"/>
              </w:rPr>
              <w:t>Land and layout</w:t>
            </w:r>
          </w:p>
        </w:tc>
        <w:tc>
          <w:tcPr>
            <w:tcW w:w="2400" w:type="dxa"/>
          </w:tcPr>
          <w:p w14:paraId="7C9BACF6" w14:textId="77777777" w:rsidR="00695108" w:rsidRDefault="00000000">
            <w:pPr>
              <w:spacing w:after="40"/>
            </w:pPr>
            <w:r>
              <w:rPr>
                <w:sz w:val="20"/>
                <w:szCs w:val="20"/>
              </w:rPr>
              <w:t>Large industrial/logistics sites in established corridor; flood defences completed June 2025</w:t>
            </w:r>
          </w:p>
        </w:tc>
        <w:tc>
          <w:tcPr>
            <w:tcW w:w="2400" w:type="dxa"/>
          </w:tcPr>
          <w:p w14:paraId="7B474496" w14:textId="77777777" w:rsidR="00695108" w:rsidRDefault="00000000">
            <w:pPr>
              <w:spacing w:after="40"/>
            </w:pPr>
            <w:r>
              <w:rPr>
                <w:sz w:val="20"/>
                <w:szCs w:val="20"/>
              </w:rPr>
              <w:t>Compare usable floorplate, yard, buffer, expansion and lease flexibility</w:t>
            </w:r>
          </w:p>
        </w:tc>
        <w:tc>
          <w:tcPr>
            <w:tcW w:w="2100" w:type="dxa"/>
          </w:tcPr>
          <w:p w14:paraId="781F2BFE" w14:textId="77777777" w:rsidR="00695108" w:rsidRDefault="00000000">
            <w:pPr>
              <w:spacing w:after="40"/>
            </w:pPr>
            <w:r>
              <w:rPr>
                <w:sz w:val="20"/>
                <w:szCs w:val="20"/>
              </w:rPr>
              <w:t>Agent quotations, planning status and ground conditions</w:t>
            </w:r>
          </w:p>
        </w:tc>
      </w:tr>
      <w:tr w:rsidR="00695108" w14:paraId="33F22020" w14:textId="77777777">
        <w:tc>
          <w:tcPr>
            <w:tcW w:w="1600" w:type="dxa"/>
            <w:shd w:val="clear" w:color="auto" w:fill="F2F2F2"/>
          </w:tcPr>
          <w:p w14:paraId="7AB39C83" w14:textId="77777777" w:rsidR="00695108" w:rsidRDefault="00000000">
            <w:pPr>
              <w:spacing w:after="40"/>
            </w:pPr>
            <w:r>
              <w:rPr>
                <w:sz w:val="20"/>
                <w:szCs w:val="20"/>
              </w:rPr>
              <w:t>Workforce and suppliers</w:t>
            </w:r>
          </w:p>
        </w:tc>
        <w:tc>
          <w:tcPr>
            <w:tcW w:w="2400" w:type="dxa"/>
            <w:shd w:val="clear" w:color="auto" w:fill="F2F2F2"/>
          </w:tcPr>
          <w:p w14:paraId="5788378A" w14:textId="77777777" w:rsidR="00695108" w:rsidRDefault="00000000">
            <w:pPr>
              <w:spacing w:after="40"/>
            </w:pPr>
            <w:r>
              <w:rPr>
                <w:sz w:val="20"/>
                <w:szCs w:val="20"/>
              </w:rPr>
              <w:t>Regional manufacturing, construction and advanced-engineering base</w:t>
            </w:r>
          </w:p>
        </w:tc>
        <w:tc>
          <w:tcPr>
            <w:tcW w:w="2400" w:type="dxa"/>
            <w:shd w:val="clear" w:color="auto" w:fill="F2F2F2"/>
          </w:tcPr>
          <w:p w14:paraId="1FC77CFB" w14:textId="77777777" w:rsidR="00695108" w:rsidRDefault="00000000">
            <w:pPr>
              <w:spacing w:after="40"/>
            </w:pPr>
            <w:r>
              <w:rPr>
                <w:sz w:val="20"/>
                <w:szCs w:val="20"/>
              </w:rPr>
              <w:t>Compare labour catchment, wage pressure, public transport and supplier density</w:t>
            </w:r>
          </w:p>
        </w:tc>
        <w:tc>
          <w:tcPr>
            <w:tcW w:w="2100" w:type="dxa"/>
            <w:shd w:val="clear" w:color="auto" w:fill="F2F2F2"/>
          </w:tcPr>
          <w:p w14:paraId="4312667A" w14:textId="77777777" w:rsidR="00695108" w:rsidRDefault="00000000">
            <w:pPr>
              <w:spacing w:after="40"/>
            </w:pPr>
            <w:r>
              <w:rPr>
                <w:sz w:val="20"/>
                <w:szCs w:val="20"/>
              </w:rPr>
              <w:t>Travel-to-work data, skills audit and supplier mapping</w:t>
            </w:r>
          </w:p>
        </w:tc>
      </w:tr>
      <w:tr w:rsidR="00695108" w14:paraId="5D9C02D1" w14:textId="77777777">
        <w:tc>
          <w:tcPr>
            <w:tcW w:w="1600" w:type="dxa"/>
          </w:tcPr>
          <w:p w14:paraId="6AC7423D" w14:textId="77777777" w:rsidR="00695108" w:rsidRDefault="00000000">
            <w:pPr>
              <w:spacing w:after="40"/>
            </w:pPr>
            <w:r>
              <w:rPr>
                <w:sz w:val="20"/>
                <w:szCs w:val="20"/>
              </w:rPr>
              <w:t>Utilities and environment</w:t>
            </w:r>
          </w:p>
        </w:tc>
        <w:tc>
          <w:tcPr>
            <w:tcW w:w="2400" w:type="dxa"/>
          </w:tcPr>
          <w:p w14:paraId="79451D76" w14:textId="77777777" w:rsidR="00695108" w:rsidRDefault="00000000">
            <w:pPr>
              <w:spacing w:after="40"/>
            </w:pPr>
            <w:r>
              <w:rPr>
                <w:sz w:val="20"/>
                <w:szCs w:val="20"/>
              </w:rPr>
              <w:t>Potential access to industrial energy infrastructure</w:t>
            </w:r>
          </w:p>
        </w:tc>
        <w:tc>
          <w:tcPr>
            <w:tcW w:w="2400" w:type="dxa"/>
          </w:tcPr>
          <w:p w14:paraId="6B882915" w14:textId="77777777" w:rsidR="00695108" w:rsidRDefault="00000000">
            <w:pPr>
              <w:spacing w:after="40"/>
            </w:pPr>
            <w:r>
              <w:rPr>
                <w:sz w:val="20"/>
                <w:szCs w:val="20"/>
              </w:rPr>
              <w:t>Compare grid capacity, renewable supply and embodied carbon impacts</w:t>
            </w:r>
          </w:p>
        </w:tc>
        <w:tc>
          <w:tcPr>
            <w:tcW w:w="2100" w:type="dxa"/>
          </w:tcPr>
          <w:p w14:paraId="619CF626" w14:textId="77777777" w:rsidR="00695108" w:rsidRDefault="00000000">
            <w:pPr>
              <w:spacing w:after="40"/>
            </w:pPr>
            <w:r>
              <w:rPr>
                <w:sz w:val="20"/>
                <w:szCs w:val="20"/>
              </w:rPr>
              <w:t>Connection offer, energy model and carbon baseline</w:t>
            </w:r>
          </w:p>
        </w:tc>
      </w:tr>
      <w:tr w:rsidR="00695108" w14:paraId="3FA63F53" w14:textId="77777777">
        <w:tc>
          <w:tcPr>
            <w:tcW w:w="1600" w:type="dxa"/>
            <w:shd w:val="clear" w:color="auto" w:fill="F2F2F2"/>
          </w:tcPr>
          <w:p w14:paraId="45250529" w14:textId="77777777" w:rsidR="00695108" w:rsidRDefault="00000000">
            <w:pPr>
              <w:spacing w:after="40"/>
            </w:pPr>
            <w:r>
              <w:rPr>
                <w:sz w:val="20"/>
                <w:szCs w:val="20"/>
              </w:rPr>
              <w:t>Planning, flood and ecology</w:t>
            </w:r>
          </w:p>
        </w:tc>
        <w:tc>
          <w:tcPr>
            <w:tcW w:w="2400" w:type="dxa"/>
            <w:shd w:val="clear" w:color="auto" w:fill="F2F2F2"/>
          </w:tcPr>
          <w:p w14:paraId="3843CBB0" w14:textId="77777777" w:rsidR="00695108" w:rsidRDefault="00000000">
            <w:pPr>
              <w:spacing w:after="40"/>
            </w:pPr>
            <w:r>
              <w:rPr>
                <w:sz w:val="20"/>
                <w:szCs w:val="20"/>
              </w:rPr>
              <w:t>Material risk requiring explicit due diligence and mitigation</w:t>
            </w:r>
          </w:p>
        </w:tc>
        <w:tc>
          <w:tcPr>
            <w:tcW w:w="2400" w:type="dxa"/>
            <w:shd w:val="clear" w:color="auto" w:fill="F2F2F2"/>
          </w:tcPr>
          <w:p w14:paraId="1BE9F7F4" w14:textId="77777777" w:rsidR="00695108" w:rsidRDefault="00000000">
            <w:pPr>
              <w:spacing w:after="40"/>
            </w:pPr>
            <w:r>
              <w:rPr>
                <w:sz w:val="20"/>
                <w:szCs w:val="20"/>
              </w:rPr>
              <w:t>Reject any site where residual flood, ecology or consent risk undermines continuity</w:t>
            </w:r>
          </w:p>
        </w:tc>
        <w:tc>
          <w:tcPr>
            <w:tcW w:w="2100" w:type="dxa"/>
            <w:shd w:val="clear" w:color="auto" w:fill="F2F2F2"/>
          </w:tcPr>
          <w:p w14:paraId="79DA1D62" w14:textId="77777777" w:rsidR="00695108" w:rsidRDefault="00000000">
            <w:pPr>
              <w:spacing w:after="40"/>
            </w:pPr>
            <w:r>
              <w:rPr>
                <w:sz w:val="20"/>
                <w:szCs w:val="20"/>
              </w:rPr>
              <w:t>Flood-risk assessment, drainage strategy, ecology survey and planning advice</w:t>
            </w:r>
          </w:p>
        </w:tc>
      </w:tr>
      <w:tr w:rsidR="00695108" w14:paraId="6DFC3F50" w14:textId="77777777">
        <w:tc>
          <w:tcPr>
            <w:tcW w:w="1600" w:type="dxa"/>
          </w:tcPr>
          <w:p w14:paraId="67D81D67" w14:textId="77777777" w:rsidR="00695108" w:rsidRDefault="00000000">
            <w:pPr>
              <w:spacing w:after="40"/>
            </w:pPr>
            <w:r>
              <w:rPr>
                <w:sz w:val="20"/>
                <w:szCs w:val="20"/>
              </w:rPr>
              <w:t>Financial resilience</w:t>
            </w:r>
          </w:p>
        </w:tc>
        <w:tc>
          <w:tcPr>
            <w:tcW w:w="2400" w:type="dxa"/>
          </w:tcPr>
          <w:p w14:paraId="68ECF8D8" w14:textId="77777777" w:rsidR="00695108" w:rsidRDefault="00000000">
            <w:pPr>
              <w:spacing w:after="40"/>
            </w:pPr>
            <w:r>
              <w:rPr>
                <w:sz w:val="20"/>
                <w:szCs w:val="20"/>
              </w:rPr>
              <w:t>Regional proximity may reduce logistics costs but land and mitigation costs may be high</w:t>
            </w:r>
          </w:p>
        </w:tc>
        <w:tc>
          <w:tcPr>
            <w:tcW w:w="2400" w:type="dxa"/>
          </w:tcPr>
          <w:p w14:paraId="66135D0B" w14:textId="77777777" w:rsidR="00695108" w:rsidRDefault="00000000">
            <w:pPr>
              <w:spacing w:after="40"/>
            </w:pPr>
            <w:r>
              <w:rPr>
                <w:sz w:val="20"/>
                <w:szCs w:val="20"/>
              </w:rPr>
              <w:t>Use whole-life cost and downside demand scenarios, not rent alone</w:t>
            </w:r>
          </w:p>
        </w:tc>
        <w:tc>
          <w:tcPr>
            <w:tcW w:w="2100" w:type="dxa"/>
          </w:tcPr>
          <w:p w14:paraId="0FE56264" w14:textId="77777777" w:rsidR="00695108" w:rsidRDefault="00000000">
            <w:pPr>
              <w:spacing w:after="40"/>
            </w:pPr>
            <w:r>
              <w:rPr>
                <w:sz w:val="20"/>
                <w:szCs w:val="20"/>
              </w:rPr>
              <w:t xml:space="preserve">Capex, </w:t>
            </w:r>
            <w:proofErr w:type="spellStart"/>
            <w:r>
              <w:rPr>
                <w:sz w:val="20"/>
                <w:szCs w:val="20"/>
              </w:rPr>
              <w:t>opex</w:t>
            </w:r>
            <w:proofErr w:type="spellEnd"/>
            <w:r>
              <w:rPr>
                <w:sz w:val="20"/>
                <w:szCs w:val="20"/>
              </w:rPr>
              <w:t>, insurance, mitigation and closure/exit costs</w:t>
            </w:r>
          </w:p>
        </w:tc>
      </w:tr>
    </w:tbl>
    <w:p w14:paraId="0115C79E" w14:textId="77777777" w:rsidR="00695108" w:rsidRDefault="00695108">
      <w:pPr>
        <w:spacing w:after="60" w:line="264" w:lineRule="auto"/>
      </w:pPr>
    </w:p>
    <w:p w14:paraId="48C2CE62" w14:textId="77777777" w:rsidR="000D271B" w:rsidRDefault="000D271B">
      <w:r>
        <w:br w:type="page"/>
      </w:r>
    </w:p>
    <w:p w14:paraId="3B97AD13" w14:textId="6E6F8EB6" w:rsidR="00695108" w:rsidRDefault="00000000">
      <w:pPr>
        <w:spacing w:after="120" w:line="264" w:lineRule="auto"/>
      </w:pPr>
      <w:r>
        <w:lastRenderedPageBreak/>
        <w:t xml:space="preserve">The recommended site is Unit 8, More+ Central Park, Palmer Avenue, Severn Beach, BS35 4GH (DTRE, 2026). This is a brand-new detached warehouse of 94,361 </w:t>
      </w:r>
      <w:proofErr w:type="spellStart"/>
      <w:r>
        <w:t>sq</w:t>
      </w:r>
      <w:proofErr w:type="spellEnd"/>
      <w:r>
        <w:t xml:space="preserve"> ft (8,766 m²) with 12-metre eaves, dock and ground-level loading doors, a secure yard of up to 60 metres depth and HGV parking. It sits within the Avonmouth/</w:t>
      </w:r>
      <w:proofErr w:type="spellStart"/>
      <w:r>
        <w:t>Severnside</w:t>
      </w:r>
      <w:proofErr w:type="spellEnd"/>
      <w:r>
        <w:t xml:space="preserve"> Enterprise Area, approximately 600 metres from M49 Junction 1, with direct access to the M4 and M5 motorway networks. The dispatch route from Unit 8 to the M49 runs approximately 1.2 kilometres via internal estate roads designed for HGV traffic, passing Amazon BRS1 and other established distribution operations (see Figure 2). This confirms the road infrastructure can accommodate abnormal-load movements without impacting residential areas, although a swept-path analysis for the chosen module dimensions should form part of site due diligence. The 12-metre eaves height can accommodate overhead crane operations for lifting volumetric modules, and the clear-span floor area supports a cellular production line with material preparation, assembly, finishing, inspection and dispatch zones. At 94,000 </w:t>
      </w:r>
      <w:proofErr w:type="spellStart"/>
      <w:r>
        <w:t>sq</w:t>
      </w:r>
      <w:proofErr w:type="spellEnd"/>
      <w:r>
        <w:t xml:space="preserve"> ft, the unit is deliberately conservative compared with L&amp;G's 550,000 </w:t>
      </w:r>
      <w:proofErr w:type="spellStart"/>
      <w:r>
        <w:t>sq</w:t>
      </w:r>
      <w:proofErr w:type="spellEnd"/>
      <w:r>
        <w:t xml:space="preserve"> ft Sherburn-in-Elmet factory or </w:t>
      </w:r>
      <w:proofErr w:type="spellStart"/>
      <w:r>
        <w:t>TopHat's</w:t>
      </w:r>
      <w:proofErr w:type="spellEnd"/>
      <w:r>
        <w:t xml:space="preserve"> planned 650,000 </w:t>
      </w:r>
      <w:proofErr w:type="spellStart"/>
      <w:r>
        <w:t>sq</w:t>
      </w:r>
      <w:proofErr w:type="spellEnd"/>
      <w:r>
        <w:t xml:space="preserve"> ft Corby facility, both of which failed because fixed costs exceeded achievable pipeline volume. A pilot-scale footprint protects cash and allows capacity to be proven before expansion. Sun Home's Cabot Circus headquarters is approximately 15 minutes by road, enabling close management oversight during the launch phase. The Severn Beach railway line serves three stations within two miles, supporting shift-worker commuting. However, Avonmouth is not risk-free. Residual flood exposure, ecology constraints, utility capacity and abnormal-load route covenants must be confirmed through site-specific due diligence before commitment. If the committed pipeline shifts toward the Bristol-Exeter corridor, an alternative site near Bridgwater (M5 J23/J24) should be retained until total-cost evidence is complete.</w:t>
      </w:r>
    </w:p>
    <w:p w14:paraId="44D77FFB" w14:textId="77777777" w:rsidR="00695108" w:rsidRDefault="00000000">
      <w:pPr>
        <w:spacing w:before="240" w:after="80"/>
      </w:pPr>
      <w:r>
        <w:rPr>
          <w:b/>
          <w:color w:val="800020"/>
          <w:sz w:val="20"/>
        </w:rPr>
        <w:t>Figure 3. Unit 8, More+ Central Park: indicative red line boundary (Source: Google Maps, 2026, annotated by author)</w:t>
      </w:r>
    </w:p>
    <w:p w14:paraId="1A558977" w14:textId="77777777" w:rsidR="00695108" w:rsidRDefault="00000000">
      <w:pPr>
        <w:spacing w:after="360"/>
        <w:jc w:val="center"/>
      </w:pPr>
      <w:r>
        <w:rPr>
          <w:noProof/>
        </w:rPr>
        <w:drawing>
          <wp:inline distT="0" distB="0" distL="0" distR="0" wp14:anchorId="0F2FFD62" wp14:editId="3F184AE1">
            <wp:extent cx="4572000" cy="412742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it8_redline_boundary.png"/>
                    <pic:cNvPicPr/>
                  </pic:nvPicPr>
                  <pic:blipFill>
                    <a:blip r:embed="rId7"/>
                    <a:stretch>
                      <a:fillRect/>
                    </a:stretch>
                  </pic:blipFill>
                  <pic:spPr>
                    <a:xfrm>
                      <a:off x="0" y="0"/>
                      <a:ext cx="4572000" cy="4127424"/>
                    </a:xfrm>
                    <a:prstGeom prst="rect">
                      <a:avLst/>
                    </a:prstGeom>
                  </pic:spPr>
                </pic:pic>
              </a:graphicData>
            </a:graphic>
          </wp:inline>
        </w:drawing>
      </w:r>
    </w:p>
    <w:p w14:paraId="5E87666E" w14:textId="77777777" w:rsidR="00695108" w:rsidRDefault="00000000">
      <w:pPr>
        <w:pStyle w:val="Heading1"/>
        <w:pageBreakBefore/>
        <w:spacing w:before="360" w:after="240" w:line="264" w:lineRule="auto"/>
      </w:pPr>
      <w:proofErr w:type="gramStart"/>
      <w:r>
        <w:rPr>
          <w:b/>
          <w:bCs/>
          <w:color w:val="000000"/>
          <w:sz w:val="36"/>
          <w:szCs w:val="36"/>
        </w:rPr>
        <w:lastRenderedPageBreak/>
        <w:t>4  Direct</w:t>
      </w:r>
      <w:proofErr w:type="gramEnd"/>
      <w:r>
        <w:rPr>
          <w:b/>
          <w:bCs/>
          <w:color w:val="000000"/>
          <w:sz w:val="36"/>
          <w:szCs w:val="36"/>
        </w:rPr>
        <w:t xml:space="preserve"> and Design</w:t>
      </w:r>
    </w:p>
    <w:p w14:paraId="0B717FC0" w14:textId="77777777" w:rsidR="00695108" w:rsidRDefault="00000000">
      <w:pPr>
        <w:pStyle w:val="Heading2"/>
        <w:spacing w:before="320" w:after="180" w:line="264" w:lineRule="auto"/>
      </w:pPr>
      <w:r>
        <w:rPr>
          <w:b/>
          <w:bCs/>
          <w:color w:val="000000"/>
          <w:sz w:val="30"/>
          <w:szCs w:val="30"/>
        </w:rPr>
        <w:t>Selected area: Operations Strategy and Process Management</w:t>
      </w:r>
    </w:p>
    <w:p w14:paraId="1C3EB0E9" w14:textId="77777777" w:rsidR="00695108" w:rsidRDefault="00000000">
      <w:pPr>
        <w:spacing w:after="120" w:line="264" w:lineRule="auto"/>
      </w:pPr>
      <w:r>
        <w:t>This area is critical because a factory creates fixed-cost, inventory and repeatability risks that differ fundamentally from project-based construction. Without a defined product platform, design-release discipline and staged capacity model, the plant risks replicating the pattern that destroyed L&amp;G Modular Homes: a large factory built for volume that could not secure a predictable pipeline (Construction Index, 2023). Koskela (2000) frames this as the difference between managing production as transformation alone versus integrating flow and value generation.</w:t>
      </w:r>
    </w:p>
    <w:p w14:paraId="2C158B0D" w14:textId="77777777" w:rsidR="00695108" w:rsidRDefault="00000000">
      <w:pPr>
        <w:pStyle w:val="Heading2"/>
        <w:spacing w:before="320" w:after="180" w:line="264" w:lineRule="auto"/>
      </w:pPr>
      <w:r>
        <w:rPr>
          <w:b/>
          <w:bCs/>
          <w:color w:val="000000"/>
          <w:sz w:val="30"/>
          <w:szCs w:val="30"/>
        </w:rPr>
        <w:t>Deliverable: Operations Strategy and Process Blueprint</w:t>
      </w:r>
    </w:p>
    <w:p w14:paraId="5184323C" w14:textId="77777777" w:rsidR="00695108" w:rsidRDefault="00000000">
      <w:pPr>
        <w:spacing w:before="120" w:after="60"/>
      </w:pPr>
      <w:r>
        <w:rPr>
          <w:b/>
          <w:bCs/>
          <w:color w:val="800020"/>
          <w:sz w:val="20"/>
          <w:szCs w:val="20"/>
        </w:rPr>
        <w:t>Table 2. Operations Strategy and Process Blueprint</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200"/>
        <w:gridCol w:w="3100"/>
      </w:tblGrid>
      <w:tr w:rsidR="00695108" w14:paraId="6160948A" w14:textId="77777777">
        <w:trPr>
          <w:tblHeader/>
        </w:trPr>
        <w:tc>
          <w:tcPr>
            <w:tcW w:w="2200" w:type="dxa"/>
            <w:shd w:val="clear" w:color="auto" w:fill="1E2A38"/>
            <w:vAlign w:val="center"/>
          </w:tcPr>
          <w:p w14:paraId="578810B2" w14:textId="77777777" w:rsidR="00695108" w:rsidRDefault="00000000">
            <w:pPr>
              <w:spacing w:after="40"/>
            </w:pPr>
            <w:r>
              <w:rPr>
                <w:b/>
                <w:bCs/>
                <w:color w:val="FFFFFF"/>
                <w:sz w:val="20"/>
                <w:szCs w:val="20"/>
              </w:rPr>
              <w:t>Blueprint component</w:t>
            </w:r>
          </w:p>
        </w:tc>
        <w:tc>
          <w:tcPr>
            <w:tcW w:w="3200" w:type="dxa"/>
            <w:shd w:val="clear" w:color="auto" w:fill="1E2A38"/>
            <w:vAlign w:val="center"/>
          </w:tcPr>
          <w:p w14:paraId="19F561E5" w14:textId="77777777" w:rsidR="00695108" w:rsidRDefault="00000000">
            <w:pPr>
              <w:spacing w:after="40"/>
            </w:pPr>
            <w:r>
              <w:rPr>
                <w:b/>
                <w:bCs/>
                <w:color w:val="FFFFFF"/>
                <w:sz w:val="20"/>
                <w:szCs w:val="20"/>
              </w:rPr>
              <w:t>Decision enabled</w:t>
            </w:r>
          </w:p>
        </w:tc>
        <w:tc>
          <w:tcPr>
            <w:tcW w:w="3100" w:type="dxa"/>
            <w:shd w:val="clear" w:color="auto" w:fill="1E2A38"/>
            <w:vAlign w:val="center"/>
          </w:tcPr>
          <w:p w14:paraId="75B950E0" w14:textId="77777777" w:rsidR="00695108" w:rsidRDefault="00000000">
            <w:pPr>
              <w:spacing w:after="40"/>
            </w:pPr>
            <w:r>
              <w:rPr>
                <w:b/>
                <w:bCs/>
                <w:color w:val="FFFFFF"/>
                <w:sz w:val="20"/>
                <w:szCs w:val="20"/>
              </w:rPr>
              <w:t>Evidence or tool</w:t>
            </w:r>
          </w:p>
        </w:tc>
      </w:tr>
      <w:tr w:rsidR="00695108" w14:paraId="5FB4B286" w14:textId="77777777">
        <w:tc>
          <w:tcPr>
            <w:tcW w:w="2200" w:type="dxa"/>
          </w:tcPr>
          <w:p w14:paraId="512F5304" w14:textId="77777777" w:rsidR="00695108" w:rsidRDefault="00000000">
            <w:pPr>
              <w:spacing w:after="40"/>
            </w:pPr>
            <w:r>
              <w:rPr>
                <w:sz w:val="20"/>
                <w:szCs w:val="20"/>
              </w:rPr>
              <w:t>Market and product-family definition</w:t>
            </w:r>
          </w:p>
        </w:tc>
        <w:tc>
          <w:tcPr>
            <w:tcW w:w="3200" w:type="dxa"/>
          </w:tcPr>
          <w:p w14:paraId="1F9094F9" w14:textId="77777777" w:rsidR="00695108" w:rsidRDefault="00000000">
            <w:pPr>
              <w:spacing w:after="40"/>
            </w:pPr>
            <w:r>
              <w:rPr>
                <w:sz w:val="20"/>
                <w:szCs w:val="20"/>
              </w:rPr>
              <w:t>Which repeatable module types and controlled options the plant will serve</w:t>
            </w:r>
          </w:p>
        </w:tc>
        <w:tc>
          <w:tcPr>
            <w:tcW w:w="3100" w:type="dxa"/>
          </w:tcPr>
          <w:p w14:paraId="08AFEA1B" w14:textId="77777777" w:rsidR="00695108" w:rsidRDefault="00000000">
            <w:pPr>
              <w:spacing w:after="40"/>
            </w:pPr>
            <w:r>
              <w:rPr>
                <w:sz w:val="20"/>
                <w:szCs w:val="20"/>
              </w:rPr>
              <w:t>Pipeline segmentation, order winners and qualifiers, volume-variety analysis</w:t>
            </w:r>
          </w:p>
        </w:tc>
      </w:tr>
      <w:tr w:rsidR="00695108" w14:paraId="0884BE9B" w14:textId="77777777">
        <w:tc>
          <w:tcPr>
            <w:tcW w:w="2200" w:type="dxa"/>
            <w:shd w:val="clear" w:color="auto" w:fill="F2F2F2"/>
          </w:tcPr>
          <w:p w14:paraId="323198AB" w14:textId="77777777" w:rsidR="00695108" w:rsidRDefault="00000000">
            <w:pPr>
              <w:spacing w:after="40"/>
            </w:pPr>
            <w:r>
              <w:rPr>
                <w:sz w:val="20"/>
                <w:szCs w:val="20"/>
              </w:rPr>
              <w:t>End-to-end process map</w:t>
            </w:r>
          </w:p>
        </w:tc>
        <w:tc>
          <w:tcPr>
            <w:tcW w:w="3200" w:type="dxa"/>
            <w:shd w:val="clear" w:color="auto" w:fill="F2F2F2"/>
          </w:tcPr>
          <w:p w14:paraId="33BAB7BB" w14:textId="77777777" w:rsidR="00695108" w:rsidRDefault="00000000">
            <w:pPr>
              <w:spacing w:after="40"/>
            </w:pPr>
            <w:r>
              <w:rPr>
                <w:sz w:val="20"/>
                <w:szCs w:val="20"/>
              </w:rPr>
              <w:t>How design release, procurement, manufacture, testing, logistics and installation connect</w:t>
            </w:r>
          </w:p>
        </w:tc>
        <w:tc>
          <w:tcPr>
            <w:tcW w:w="3100" w:type="dxa"/>
            <w:shd w:val="clear" w:color="auto" w:fill="F2F2F2"/>
          </w:tcPr>
          <w:p w14:paraId="1D275215" w14:textId="77777777" w:rsidR="00695108" w:rsidRDefault="00000000">
            <w:pPr>
              <w:spacing w:after="40"/>
            </w:pPr>
            <w:r>
              <w:rPr>
                <w:sz w:val="20"/>
                <w:szCs w:val="20"/>
              </w:rPr>
              <w:t>SIPOC or value-stream map with owners, inputs, outputs and hand-offs</w:t>
            </w:r>
          </w:p>
        </w:tc>
      </w:tr>
      <w:tr w:rsidR="00695108" w14:paraId="6BB21529" w14:textId="77777777">
        <w:tc>
          <w:tcPr>
            <w:tcW w:w="2200" w:type="dxa"/>
          </w:tcPr>
          <w:p w14:paraId="67910504" w14:textId="77777777" w:rsidR="00695108" w:rsidRDefault="00000000">
            <w:pPr>
              <w:spacing w:after="40"/>
            </w:pPr>
            <w:r>
              <w:rPr>
                <w:sz w:val="20"/>
                <w:szCs w:val="20"/>
              </w:rPr>
              <w:t>Capacity and layout concept</w:t>
            </w:r>
          </w:p>
        </w:tc>
        <w:tc>
          <w:tcPr>
            <w:tcW w:w="3200" w:type="dxa"/>
          </w:tcPr>
          <w:p w14:paraId="417A59F2" w14:textId="77777777" w:rsidR="00695108" w:rsidRDefault="00000000">
            <w:pPr>
              <w:spacing w:after="40"/>
            </w:pPr>
            <w:r>
              <w:rPr>
                <w:sz w:val="20"/>
                <w:szCs w:val="20"/>
              </w:rPr>
              <w:t>One shift, cells, buffers and expansion triggers matched to firm demand</w:t>
            </w:r>
          </w:p>
        </w:tc>
        <w:tc>
          <w:tcPr>
            <w:tcW w:w="3100" w:type="dxa"/>
          </w:tcPr>
          <w:p w14:paraId="0DD97D8C" w14:textId="77777777" w:rsidR="00695108" w:rsidRDefault="00000000">
            <w:pPr>
              <w:spacing w:after="40"/>
            </w:pPr>
            <w:r>
              <w:rPr>
                <w:sz w:val="20"/>
                <w:szCs w:val="20"/>
              </w:rPr>
              <w:t>Takt/cycle-time model, bottleneck analysis and scenario testing (Hopp and Spearman, 2011)</w:t>
            </w:r>
          </w:p>
        </w:tc>
      </w:tr>
      <w:tr w:rsidR="00695108" w14:paraId="07EAFA1A" w14:textId="77777777">
        <w:tc>
          <w:tcPr>
            <w:tcW w:w="2200" w:type="dxa"/>
            <w:shd w:val="clear" w:color="auto" w:fill="F2F2F2"/>
          </w:tcPr>
          <w:p w14:paraId="29E2B3AB" w14:textId="77777777" w:rsidR="00695108" w:rsidRDefault="00000000">
            <w:pPr>
              <w:spacing w:after="40"/>
            </w:pPr>
            <w:r>
              <w:rPr>
                <w:sz w:val="20"/>
                <w:szCs w:val="20"/>
              </w:rPr>
              <w:t>Design and information-release gate</w:t>
            </w:r>
          </w:p>
        </w:tc>
        <w:tc>
          <w:tcPr>
            <w:tcW w:w="3200" w:type="dxa"/>
            <w:shd w:val="clear" w:color="auto" w:fill="F2F2F2"/>
          </w:tcPr>
          <w:p w14:paraId="79135EA4" w14:textId="77777777" w:rsidR="00695108" w:rsidRDefault="00000000">
            <w:pPr>
              <w:spacing w:after="40"/>
            </w:pPr>
            <w:r>
              <w:rPr>
                <w:sz w:val="20"/>
                <w:szCs w:val="20"/>
              </w:rPr>
              <w:t>What must be approved before a module enters the frozen production window</w:t>
            </w:r>
          </w:p>
        </w:tc>
        <w:tc>
          <w:tcPr>
            <w:tcW w:w="3100" w:type="dxa"/>
            <w:shd w:val="clear" w:color="auto" w:fill="F2F2F2"/>
          </w:tcPr>
          <w:p w14:paraId="7722AA44" w14:textId="77777777" w:rsidR="00695108" w:rsidRDefault="00000000">
            <w:pPr>
              <w:spacing w:after="40"/>
            </w:pPr>
            <w:proofErr w:type="spellStart"/>
            <w:r>
              <w:rPr>
                <w:sz w:val="20"/>
                <w:szCs w:val="20"/>
              </w:rPr>
              <w:t>DfMA</w:t>
            </w:r>
            <w:proofErr w:type="spellEnd"/>
            <w:r>
              <w:rPr>
                <w:sz w:val="20"/>
                <w:szCs w:val="20"/>
              </w:rPr>
              <w:t xml:space="preserve"> checklist, controlled bill of materials, configuration status and change authority</w:t>
            </w:r>
          </w:p>
        </w:tc>
      </w:tr>
      <w:tr w:rsidR="00695108" w14:paraId="2F7D09BB" w14:textId="77777777">
        <w:tc>
          <w:tcPr>
            <w:tcW w:w="2200" w:type="dxa"/>
          </w:tcPr>
          <w:p w14:paraId="5C89739C" w14:textId="77777777" w:rsidR="00695108" w:rsidRDefault="00000000">
            <w:pPr>
              <w:spacing w:after="40"/>
            </w:pPr>
            <w:r>
              <w:rPr>
                <w:sz w:val="20"/>
                <w:szCs w:val="20"/>
              </w:rPr>
              <w:t>Governance and competence</w:t>
            </w:r>
          </w:p>
        </w:tc>
        <w:tc>
          <w:tcPr>
            <w:tcW w:w="3200" w:type="dxa"/>
          </w:tcPr>
          <w:p w14:paraId="20252268" w14:textId="77777777" w:rsidR="00695108" w:rsidRDefault="00000000">
            <w:pPr>
              <w:spacing w:after="40"/>
            </w:pPr>
            <w:r>
              <w:rPr>
                <w:sz w:val="20"/>
                <w:szCs w:val="20"/>
              </w:rPr>
              <w:t>Who owns product, process, quality, safety, data and investment decisions</w:t>
            </w:r>
          </w:p>
        </w:tc>
        <w:tc>
          <w:tcPr>
            <w:tcW w:w="3100" w:type="dxa"/>
          </w:tcPr>
          <w:p w14:paraId="4BA5B77D" w14:textId="77777777" w:rsidR="00695108" w:rsidRDefault="00000000">
            <w:pPr>
              <w:spacing w:after="40"/>
            </w:pPr>
            <w:r>
              <w:rPr>
                <w:sz w:val="20"/>
                <w:szCs w:val="20"/>
              </w:rPr>
              <w:t>RACI, skills matrix and stage-gate approval criteria</w:t>
            </w:r>
          </w:p>
        </w:tc>
      </w:tr>
    </w:tbl>
    <w:p w14:paraId="6AEB242C" w14:textId="77777777" w:rsidR="00695108" w:rsidRDefault="00695108">
      <w:pPr>
        <w:spacing w:after="60" w:line="264" w:lineRule="auto"/>
      </w:pPr>
    </w:p>
    <w:p w14:paraId="59D792A3" w14:textId="77777777" w:rsidR="00695108" w:rsidRDefault="00000000">
      <w:pPr>
        <w:spacing w:after="120" w:line="264" w:lineRule="auto"/>
      </w:pPr>
      <w:r>
        <w:t xml:space="preserve">Capacity should be approved in stages. The plant should first prove one product family on one shift, with overtime as an exception. A second shift or additional cell should be triggered only when the firm order book, supplier capability, first-pass yield and labour competence exceed agreed thresholds for several periods. This protects cash and makes capacity reversible, directly addressing the pipeline risk that led to over £180 million of losses at L&amp;G and over £50 million at </w:t>
      </w:r>
      <w:proofErr w:type="spellStart"/>
      <w:r>
        <w:t>TopHat</w:t>
      </w:r>
      <w:proofErr w:type="spellEnd"/>
      <w:r>
        <w:t xml:space="preserve"> (Construction News, 2025).</w:t>
      </w:r>
    </w:p>
    <w:p w14:paraId="3E214B5C" w14:textId="77777777" w:rsidR="00695108" w:rsidRDefault="00000000">
      <w:pPr>
        <w:pStyle w:val="Heading2"/>
        <w:spacing w:before="320" w:after="180" w:line="264" w:lineRule="auto"/>
      </w:pPr>
      <w:r>
        <w:rPr>
          <w:b/>
          <w:bCs/>
          <w:color w:val="000000"/>
          <w:sz w:val="30"/>
          <w:szCs w:val="30"/>
        </w:rPr>
        <w:t>Benefits and Challenges</w:t>
      </w:r>
    </w:p>
    <w:p w14:paraId="1E54E197" w14:textId="77777777" w:rsidR="00695108" w:rsidRDefault="00000000">
      <w:pPr>
        <w:spacing w:after="80"/>
        <w:ind w:left="400"/>
      </w:pPr>
      <w:r>
        <w:t xml:space="preserve">  •  Benefit: alignment between regional demand, product platform and staged capacity protects cash and delivery reliability by linking investment to proven performance rather than projected volume.</w:t>
      </w:r>
    </w:p>
    <w:p w14:paraId="395F172D" w14:textId="77777777" w:rsidR="00695108" w:rsidRDefault="00000000">
      <w:pPr>
        <w:spacing w:after="80"/>
        <w:ind w:left="400"/>
      </w:pPr>
      <w:r>
        <w:t xml:space="preserve">  •  Benefit: early cross-functional design release through the </w:t>
      </w:r>
      <w:proofErr w:type="spellStart"/>
      <w:r>
        <w:t>DfMA</w:t>
      </w:r>
      <w:proofErr w:type="spellEnd"/>
      <w:r>
        <w:t xml:space="preserve"> gate can prevent repeat defects being manufactured into multiple modules, reducing rework and warranty exposure.</w:t>
      </w:r>
    </w:p>
    <w:p w14:paraId="1008F177" w14:textId="77777777" w:rsidR="00695108" w:rsidRDefault="00000000">
      <w:pPr>
        <w:spacing w:after="80"/>
        <w:ind w:left="400"/>
      </w:pPr>
      <w:r>
        <w:t xml:space="preserve">  •  Challenge: demand volatility can leave an expensive factory underutilised. Mitigation: stage capacity against firm orders and retain flexible exit options at each gate.</w:t>
      </w:r>
    </w:p>
    <w:p w14:paraId="42242D16" w14:textId="77777777" w:rsidR="00695108" w:rsidRDefault="00000000">
      <w:pPr>
        <w:spacing w:after="80"/>
        <w:ind w:left="400"/>
      </w:pPr>
      <w:r>
        <w:lastRenderedPageBreak/>
        <w:t xml:space="preserve">  •  Challenge: standardisation may conflict with planning conditions, customer preferences and site variation. Mitigation: define a controlled option catalogue with escalation rules for exceptions (Slack, Brandon-Jones and Burgess, 2022).</w:t>
      </w:r>
    </w:p>
    <w:p w14:paraId="00E26A15" w14:textId="77777777" w:rsidR="00695108" w:rsidRDefault="00000000">
      <w:pPr>
        <w:spacing w:after="80"/>
        <w:ind w:left="400"/>
      </w:pPr>
      <w:r>
        <w:t xml:space="preserve">  •  Challenge: construction staff may lack production-system capability. Mitigation: recruit and train specifically for manufacturing roles rather than relabel existing site posts (Farmer, 2016).</w:t>
      </w:r>
    </w:p>
    <w:p w14:paraId="090C46E1" w14:textId="77777777" w:rsidR="00695108" w:rsidRDefault="00000000">
      <w:pPr>
        <w:pStyle w:val="Heading1"/>
        <w:pageBreakBefore/>
        <w:spacing w:before="360" w:after="240" w:line="264" w:lineRule="auto"/>
      </w:pPr>
      <w:proofErr w:type="gramStart"/>
      <w:r>
        <w:rPr>
          <w:b/>
          <w:bCs/>
          <w:color w:val="000000"/>
          <w:sz w:val="36"/>
          <w:szCs w:val="36"/>
        </w:rPr>
        <w:lastRenderedPageBreak/>
        <w:t>5  Deliver</w:t>
      </w:r>
      <w:proofErr w:type="gramEnd"/>
    </w:p>
    <w:p w14:paraId="3707CF67" w14:textId="77777777" w:rsidR="00695108" w:rsidRDefault="00000000">
      <w:pPr>
        <w:pStyle w:val="Heading2"/>
        <w:spacing w:before="320" w:after="180" w:line="264" w:lineRule="auto"/>
      </w:pPr>
      <w:r>
        <w:rPr>
          <w:b/>
          <w:bCs/>
          <w:color w:val="000000"/>
          <w:sz w:val="30"/>
          <w:szCs w:val="30"/>
        </w:rPr>
        <w:t>Selected area: Supply Chain Management and Sub-Contracting</w:t>
      </w:r>
    </w:p>
    <w:p w14:paraId="41AC6119" w14:textId="77777777" w:rsidR="00695108" w:rsidRDefault="00000000">
      <w:pPr>
        <w:spacing w:after="120" w:line="264" w:lineRule="auto"/>
      </w:pPr>
      <w:r>
        <w:t>This area is critical because one missing or non-conforming component can stop an entire module, and factory cash flow depends on synchronised demand, materials and site readiness. Christopher (2016) emphasises that supply-chain performance depends on managing end-to-end relationships and information rather than optimising individual transactions. The failures of UK modular manufacturers consistently cite supply-chain disruption and inconsistent demand as contributing factors (House of Lords Built Environment Committee, 2024).</w:t>
      </w:r>
    </w:p>
    <w:p w14:paraId="0D15C092" w14:textId="77777777" w:rsidR="00695108" w:rsidRDefault="00000000">
      <w:pPr>
        <w:pStyle w:val="Heading2"/>
        <w:spacing w:before="320" w:after="180" w:line="264" w:lineRule="auto"/>
      </w:pPr>
      <w:r>
        <w:rPr>
          <w:b/>
          <w:bCs/>
          <w:color w:val="000000"/>
          <w:sz w:val="30"/>
          <w:szCs w:val="30"/>
        </w:rPr>
        <w:t>Deliverable: Supply Chain Mobilisation and Resilience Plan</w:t>
      </w:r>
    </w:p>
    <w:p w14:paraId="16895544" w14:textId="77777777" w:rsidR="00695108" w:rsidRDefault="00000000">
      <w:pPr>
        <w:spacing w:before="120" w:after="60"/>
      </w:pPr>
      <w:r>
        <w:rPr>
          <w:b/>
          <w:bCs/>
          <w:color w:val="800020"/>
          <w:sz w:val="20"/>
          <w:szCs w:val="20"/>
        </w:rPr>
        <w:t>Table 3. Supply Chain Mobilisation and Resilience Plan</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200"/>
        <w:gridCol w:w="3100"/>
      </w:tblGrid>
      <w:tr w:rsidR="00695108" w14:paraId="3C3BD427" w14:textId="77777777">
        <w:trPr>
          <w:tblHeader/>
        </w:trPr>
        <w:tc>
          <w:tcPr>
            <w:tcW w:w="2200" w:type="dxa"/>
            <w:shd w:val="clear" w:color="auto" w:fill="1E2A38"/>
            <w:vAlign w:val="center"/>
          </w:tcPr>
          <w:p w14:paraId="2D98DC55" w14:textId="77777777" w:rsidR="00695108" w:rsidRDefault="00000000">
            <w:pPr>
              <w:spacing w:after="40"/>
            </w:pPr>
            <w:r>
              <w:rPr>
                <w:b/>
                <w:bCs/>
                <w:color w:val="FFFFFF"/>
                <w:sz w:val="20"/>
                <w:szCs w:val="20"/>
              </w:rPr>
              <w:t>Plan component</w:t>
            </w:r>
          </w:p>
        </w:tc>
        <w:tc>
          <w:tcPr>
            <w:tcW w:w="3200" w:type="dxa"/>
            <w:shd w:val="clear" w:color="auto" w:fill="1E2A38"/>
            <w:vAlign w:val="center"/>
          </w:tcPr>
          <w:p w14:paraId="5C497F6B" w14:textId="77777777" w:rsidR="00695108" w:rsidRDefault="00000000">
            <w:pPr>
              <w:spacing w:after="40"/>
            </w:pPr>
            <w:r>
              <w:rPr>
                <w:b/>
                <w:bCs/>
                <w:color w:val="FFFFFF"/>
                <w:sz w:val="20"/>
                <w:szCs w:val="20"/>
              </w:rPr>
              <w:t>Management mechanism</w:t>
            </w:r>
          </w:p>
        </w:tc>
        <w:tc>
          <w:tcPr>
            <w:tcW w:w="3100" w:type="dxa"/>
            <w:shd w:val="clear" w:color="auto" w:fill="1E2A38"/>
            <w:vAlign w:val="center"/>
          </w:tcPr>
          <w:p w14:paraId="0AAA2436" w14:textId="77777777" w:rsidR="00695108" w:rsidRDefault="00000000">
            <w:pPr>
              <w:spacing w:after="40"/>
            </w:pPr>
            <w:r>
              <w:rPr>
                <w:b/>
                <w:bCs/>
                <w:color w:val="FFFFFF"/>
                <w:sz w:val="20"/>
                <w:szCs w:val="20"/>
              </w:rPr>
              <w:t>Required output</w:t>
            </w:r>
          </w:p>
        </w:tc>
      </w:tr>
      <w:tr w:rsidR="00695108" w14:paraId="4B3D456B" w14:textId="77777777">
        <w:tc>
          <w:tcPr>
            <w:tcW w:w="2200" w:type="dxa"/>
          </w:tcPr>
          <w:p w14:paraId="5E46C045" w14:textId="77777777" w:rsidR="00695108" w:rsidRDefault="00000000">
            <w:pPr>
              <w:spacing w:after="40"/>
            </w:pPr>
            <w:r>
              <w:rPr>
                <w:sz w:val="20"/>
                <w:szCs w:val="20"/>
              </w:rPr>
              <w:t>Make-or-buy and supplier segmentation</w:t>
            </w:r>
          </w:p>
        </w:tc>
        <w:tc>
          <w:tcPr>
            <w:tcW w:w="3200" w:type="dxa"/>
          </w:tcPr>
          <w:p w14:paraId="5B4B0AAE" w14:textId="77777777" w:rsidR="00695108" w:rsidRDefault="00000000">
            <w:pPr>
              <w:spacing w:after="40"/>
            </w:pPr>
            <w:r>
              <w:rPr>
                <w:sz w:val="20"/>
                <w:szCs w:val="20"/>
              </w:rPr>
              <w:t>Assess strategic value, supply risk, competence, capital and interface risk</w:t>
            </w:r>
          </w:p>
        </w:tc>
        <w:tc>
          <w:tcPr>
            <w:tcW w:w="3100" w:type="dxa"/>
          </w:tcPr>
          <w:p w14:paraId="68E59976" w14:textId="77777777" w:rsidR="00695108" w:rsidRDefault="00000000">
            <w:pPr>
              <w:spacing w:after="40"/>
            </w:pPr>
            <w:r>
              <w:rPr>
                <w:sz w:val="20"/>
                <w:szCs w:val="20"/>
              </w:rPr>
              <w:t>Approved category strategy and responsible owner</w:t>
            </w:r>
          </w:p>
        </w:tc>
      </w:tr>
      <w:tr w:rsidR="00695108" w14:paraId="664B4408" w14:textId="77777777">
        <w:tc>
          <w:tcPr>
            <w:tcW w:w="2200" w:type="dxa"/>
            <w:shd w:val="clear" w:color="auto" w:fill="F2F2F2"/>
          </w:tcPr>
          <w:p w14:paraId="089CF5E3" w14:textId="77777777" w:rsidR="00695108" w:rsidRDefault="00000000">
            <w:pPr>
              <w:spacing w:after="40"/>
            </w:pPr>
            <w:r>
              <w:rPr>
                <w:sz w:val="20"/>
                <w:szCs w:val="20"/>
              </w:rPr>
              <w:t>Supplier qualification and assurance</w:t>
            </w:r>
          </w:p>
        </w:tc>
        <w:tc>
          <w:tcPr>
            <w:tcW w:w="3200" w:type="dxa"/>
            <w:shd w:val="clear" w:color="auto" w:fill="F2F2F2"/>
          </w:tcPr>
          <w:p w14:paraId="0891BB0B" w14:textId="77777777" w:rsidR="00695108" w:rsidRDefault="00000000">
            <w:pPr>
              <w:spacing w:after="40"/>
            </w:pPr>
            <w:r>
              <w:rPr>
                <w:sz w:val="20"/>
                <w:szCs w:val="20"/>
              </w:rPr>
              <w:t>Verify capacity, quality system, financial health, traceability and change control</w:t>
            </w:r>
          </w:p>
        </w:tc>
        <w:tc>
          <w:tcPr>
            <w:tcW w:w="3100" w:type="dxa"/>
            <w:shd w:val="clear" w:color="auto" w:fill="F2F2F2"/>
          </w:tcPr>
          <w:p w14:paraId="59C1439A" w14:textId="77777777" w:rsidR="00695108" w:rsidRDefault="00000000">
            <w:pPr>
              <w:spacing w:after="40"/>
            </w:pPr>
            <w:r>
              <w:rPr>
                <w:sz w:val="20"/>
                <w:szCs w:val="20"/>
              </w:rPr>
              <w:t>Approved supplier list and corrective-action route</w:t>
            </w:r>
          </w:p>
        </w:tc>
      </w:tr>
      <w:tr w:rsidR="00695108" w14:paraId="7FCECBF9" w14:textId="77777777">
        <w:tc>
          <w:tcPr>
            <w:tcW w:w="2200" w:type="dxa"/>
          </w:tcPr>
          <w:p w14:paraId="707DE5FB" w14:textId="77777777" w:rsidR="00695108" w:rsidRDefault="00000000">
            <w:pPr>
              <w:spacing w:after="40"/>
            </w:pPr>
            <w:r>
              <w:rPr>
                <w:sz w:val="20"/>
                <w:szCs w:val="20"/>
              </w:rPr>
              <w:t>Demand and material planning</w:t>
            </w:r>
          </w:p>
        </w:tc>
        <w:tc>
          <w:tcPr>
            <w:tcW w:w="3200" w:type="dxa"/>
          </w:tcPr>
          <w:p w14:paraId="28ECD0C9" w14:textId="77777777" w:rsidR="00695108" w:rsidRDefault="00000000">
            <w:pPr>
              <w:spacing w:after="40"/>
            </w:pPr>
            <w:r>
              <w:rPr>
                <w:sz w:val="20"/>
                <w:szCs w:val="20"/>
              </w:rPr>
              <w:t>Connect firm orders, master production schedule, bills of materials and finite capacity</w:t>
            </w:r>
          </w:p>
        </w:tc>
        <w:tc>
          <w:tcPr>
            <w:tcW w:w="3100" w:type="dxa"/>
          </w:tcPr>
          <w:p w14:paraId="20127993" w14:textId="77777777" w:rsidR="00695108" w:rsidRDefault="00000000">
            <w:pPr>
              <w:spacing w:after="40"/>
            </w:pPr>
            <w:r>
              <w:rPr>
                <w:sz w:val="20"/>
                <w:szCs w:val="20"/>
              </w:rPr>
              <w:t>Frozen window, shortage view and exception rules</w:t>
            </w:r>
          </w:p>
        </w:tc>
      </w:tr>
      <w:tr w:rsidR="00695108" w14:paraId="495751A7" w14:textId="77777777">
        <w:tc>
          <w:tcPr>
            <w:tcW w:w="2200" w:type="dxa"/>
            <w:shd w:val="clear" w:color="auto" w:fill="F2F2F2"/>
          </w:tcPr>
          <w:p w14:paraId="3B740BEA" w14:textId="77777777" w:rsidR="00695108" w:rsidRDefault="00000000">
            <w:pPr>
              <w:spacing w:after="40"/>
            </w:pPr>
            <w:r>
              <w:rPr>
                <w:sz w:val="20"/>
                <w:szCs w:val="20"/>
              </w:rPr>
              <w:t>Inbound and internal logistics</w:t>
            </w:r>
          </w:p>
        </w:tc>
        <w:tc>
          <w:tcPr>
            <w:tcW w:w="3200" w:type="dxa"/>
            <w:shd w:val="clear" w:color="auto" w:fill="F2F2F2"/>
          </w:tcPr>
          <w:p w14:paraId="6DF9DE9B" w14:textId="77777777" w:rsidR="00695108" w:rsidRDefault="00000000">
            <w:pPr>
              <w:spacing w:after="40"/>
            </w:pPr>
            <w:r>
              <w:rPr>
                <w:sz w:val="20"/>
                <w:szCs w:val="20"/>
              </w:rPr>
              <w:t>Sequence common, long-lead and project-specific materials without hiding poor performance in inventory</w:t>
            </w:r>
          </w:p>
        </w:tc>
        <w:tc>
          <w:tcPr>
            <w:tcW w:w="3100" w:type="dxa"/>
            <w:shd w:val="clear" w:color="auto" w:fill="F2F2F2"/>
          </w:tcPr>
          <w:p w14:paraId="25DDCEE8" w14:textId="77777777" w:rsidR="00695108" w:rsidRDefault="00000000">
            <w:pPr>
              <w:spacing w:after="40"/>
            </w:pPr>
            <w:r>
              <w:rPr>
                <w:sz w:val="20"/>
                <w:szCs w:val="20"/>
              </w:rPr>
              <w:t>Delivery windows, kitting rules, buffers and packaging/stillage plan</w:t>
            </w:r>
          </w:p>
        </w:tc>
      </w:tr>
      <w:tr w:rsidR="00695108" w14:paraId="42CF9745" w14:textId="77777777">
        <w:tc>
          <w:tcPr>
            <w:tcW w:w="2200" w:type="dxa"/>
          </w:tcPr>
          <w:p w14:paraId="35E4566D" w14:textId="77777777" w:rsidR="00695108" w:rsidRDefault="00000000">
            <w:pPr>
              <w:spacing w:after="40"/>
            </w:pPr>
            <w:r>
              <w:rPr>
                <w:sz w:val="20"/>
                <w:szCs w:val="20"/>
              </w:rPr>
              <w:t>Factory-to-site interface</w:t>
            </w:r>
          </w:p>
        </w:tc>
        <w:tc>
          <w:tcPr>
            <w:tcW w:w="3200" w:type="dxa"/>
          </w:tcPr>
          <w:p w14:paraId="13D45683" w14:textId="77777777" w:rsidR="00695108" w:rsidRDefault="00000000">
            <w:pPr>
              <w:spacing w:after="40"/>
            </w:pPr>
            <w:r>
              <w:rPr>
                <w:sz w:val="20"/>
                <w:szCs w:val="20"/>
              </w:rPr>
              <w:t>Release modules only when quality evidence, route, crane, groundworks and installation readiness are confirmed</w:t>
            </w:r>
          </w:p>
        </w:tc>
        <w:tc>
          <w:tcPr>
            <w:tcW w:w="3100" w:type="dxa"/>
          </w:tcPr>
          <w:p w14:paraId="54079AEF" w14:textId="77777777" w:rsidR="00695108" w:rsidRDefault="00000000">
            <w:pPr>
              <w:spacing w:after="40"/>
            </w:pPr>
            <w:r>
              <w:rPr>
                <w:sz w:val="20"/>
                <w:szCs w:val="20"/>
              </w:rPr>
              <w:t>Joint readiness gate and 14-day look-ahead (Ballard, 2000)</w:t>
            </w:r>
          </w:p>
        </w:tc>
      </w:tr>
      <w:tr w:rsidR="00695108" w14:paraId="30DF08EC" w14:textId="77777777">
        <w:tc>
          <w:tcPr>
            <w:tcW w:w="2200" w:type="dxa"/>
            <w:shd w:val="clear" w:color="auto" w:fill="F2F2F2"/>
          </w:tcPr>
          <w:p w14:paraId="30EB00BE" w14:textId="77777777" w:rsidR="00695108" w:rsidRDefault="00000000">
            <w:pPr>
              <w:spacing w:after="40"/>
            </w:pPr>
            <w:r>
              <w:rPr>
                <w:sz w:val="20"/>
                <w:szCs w:val="20"/>
              </w:rPr>
              <w:t>Resilience and failure response</w:t>
            </w:r>
          </w:p>
        </w:tc>
        <w:tc>
          <w:tcPr>
            <w:tcW w:w="3200" w:type="dxa"/>
            <w:shd w:val="clear" w:color="auto" w:fill="F2F2F2"/>
          </w:tcPr>
          <w:p w14:paraId="42884839" w14:textId="77777777" w:rsidR="00695108" w:rsidRDefault="00000000">
            <w:pPr>
              <w:spacing w:after="40"/>
            </w:pPr>
            <w:r>
              <w:rPr>
                <w:sz w:val="20"/>
                <w:szCs w:val="20"/>
              </w:rPr>
              <w:t>Define alternates, design substitutions, supplier step-in and insolvency actions</w:t>
            </w:r>
          </w:p>
        </w:tc>
        <w:tc>
          <w:tcPr>
            <w:tcW w:w="3100" w:type="dxa"/>
            <w:shd w:val="clear" w:color="auto" w:fill="F2F2F2"/>
          </w:tcPr>
          <w:p w14:paraId="01478C53" w14:textId="77777777" w:rsidR="00695108" w:rsidRDefault="00000000">
            <w:pPr>
              <w:spacing w:after="40"/>
            </w:pPr>
            <w:r>
              <w:rPr>
                <w:sz w:val="20"/>
                <w:szCs w:val="20"/>
              </w:rPr>
              <w:t>Trigger-based contingency plan and risk owner</w:t>
            </w:r>
          </w:p>
        </w:tc>
      </w:tr>
    </w:tbl>
    <w:p w14:paraId="7766051F" w14:textId="77777777" w:rsidR="00695108" w:rsidRDefault="00695108">
      <w:pPr>
        <w:spacing w:after="60" w:line="264" w:lineRule="auto"/>
      </w:pPr>
    </w:p>
    <w:p w14:paraId="1FDF753B" w14:textId="77777777" w:rsidR="00695108" w:rsidRDefault="00000000">
      <w:pPr>
        <w:spacing w:after="120" w:line="264" w:lineRule="auto"/>
      </w:pPr>
      <w:r>
        <w:t>Sun Home's existing central procurement capability is an asset, but manufacturing requires different supplier relationships than site-based construction. A housebuilder's supply chain delivers to dispersed sites on project timescales; a factory needs reliable, sequenced deliveries to a single point on production timescales. Hopp and Spearman (2011) formalise this as a law of manufacturing systems: as utilisation approaches capacity in the presence of variability, queue time rises non-linearly. Unreliable supply creates variability that the production system absorbs through longer lead times and higher work in progress.</w:t>
      </w:r>
    </w:p>
    <w:p w14:paraId="5AA11726" w14:textId="77777777" w:rsidR="00695108" w:rsidRDefault="00000000">
      <w:pPr>
        <w:pStyle w:val="Heading2"/>
        <w:spacing w:before="320" w:after="180" w:line="264" w:lineRule="auto"/>
      </w:pPr>
      <w:r>
        <w:rPr>
          <w:b/>
          <w:bCs/>
          <w:color w:val="000000"/>
          <w:sz w:val="30"/>
          <w:szCs w:val="30"/>
        </w:rPr>
        <w:t>Benefits and Challenges</w:t>
      </w:r>
    </w:p>
    <w:p w14:paraId="7101E7EA" w14:textId="77777777" w:rsidR="00695108" w:rsidRDefault="00000000">
      <w:pPr>
        <w:spacing w:after="80"/>
        <w:ind w:left="400"/>
      </w:pPr>
      <w:r>
        <w:t xml:space="preserve">  •  Benefit: earlier supplier involvement improves manufacturability, information quality and component availability, reducing the design-to-production gap.</w:t>
      </w:r>
    </w:p>
    <w:p w14:paraId="712AF769" w14:textId="77777777" w:rsidR="00695108" w:rsidRDefault="00000000">
      <w:pPr>
        <w:spacing w:after="80"/>
        <w:ind w:left="400"/>
      </w:pPr>
      <w:r>
        <w:lastRenderedPageBreak/>
        <w:t xml:space="preserve">  •  Benefit: segmentation concentrates assurance and contingency effort on safety-critical and long-lead items, directing management attention where failure cost is highest.</w:t>
      </w:r>
    </w:p>
    <w:p w14:paraId="18627DA5" w14:textId="77777777" w:rsidR="00695108" w:rsidRDefault="00000000">
      <w:pPr>
        <w:spacing w:after="80"/>
        <w:ind w:left="400"/>
      </w:pPr>
      <w:r>
        <w:t xml:space="preserve">  •  Challenge: dual sourcing improves resilience but reduces volume leverage and complicates qualification. Mitigation: dual-source safety-critical items; single-source commodities with pre-qualified alternates on standby.</w:t>
      </w:r>
    </w:p>
    <w:p w14:paraId="157AD838" w14:textId="77777777" w:rsidR="00695108" w:rsidRDefault="00000000">
      <w:pPr>
        <w:spacing w:after="80"/>
        <w:ind w:left="400"/>
      </w:pPr>
      <w:r>
        <w:t xml:space="preserve">  •  Challenge: lean inventory reduces cash and space but raises exposure to supplier and transport variation. Mitigation: buffer common items to min/max levels; sequence project-specific items to kits (Womack and Jones, 2003).</w:t>
      </w:r>
    </w:p>
    <w:p w14:paraId="24C59571" w14:textId="77777777" w:rsidR="00695108" w:rsidRDefault="00000000">
      <w:pPr>
        <w:spacing w:after="80"/>
        <w:ind w:left="400"/>
      </w:pPr>
      <w:r>
        <w:t xml:space="preserve">  •  Challenge: standard construction contracts may allocate modular design, payment and title risks poorly. Mitigation: obtain commercial and legal review before committing supply agreements.</w:t>
      </w:r>
    </w:p>
    <w:p w14:paraId="4B02D343" w14:textId="77777777" w:rsidR="00695108" w:rsidRDefault="00000000">
      <w:pPr>
        <w:pStyle w:val="Heading1"/>
        <w:pageBreakBefore/>
        <w:spacing w:before="360" w:after="240" w:line="264" w:lineRule="auto"/>
      </w:pPr>
      <w:proofErr w:type="gramStart"/>
      <w:r>
        <w:rPr>
          <w:b/>
          <w:bCs/>
          <w:color w:val="000000"/>
          <w:sz w:val="36"/>
          <w:szCs w:val="36"/>
        </w:rPr>
        <w:lastRenderedPageBreak/>
        <w:t>6  Develop</w:t>
      </w:r>
      <w:proofErr w:type="gramEnd"/>
    </w:p>
    <w:p w14:paraId="466F888E" w14:textId="77777777" w:rsidR="00695108" w:rsidRDefault="00000000">
      <w:pPr>
        <w:pStyle w:val="Heading2"/>
        <w:spacing w:before="320" w:after="180" w:line="264" w:lineRule="auto"/>
      </w:pPr>
      <w:r>
        <w:rPr>
          <w:b/>
          <w:bCs/>
          <w:color w:val="000000"/>
          <w:sz w:val="30"/>
          <w:szCs w:val="30"/>
        </w:rPr>
        <w:t>Selected area: Performance Measurement and Management</w:t>
      </w:r>
    </w:p>
    <w:p w14:paraId="3FD699E9" w14:textId="77777777" w:rsidR="00695108" w:rsidRDefault="00000000">
      <w:pPr>
        <w:spacing w:after="120" w:line="264" w:lineRule="auto"/>
      </w:pPr>
      <w:r>
        <w:t>This area is critical because a new plant needs early, reliable feedback to expose weak controls before cost, delay or defects become irreversible, without encouraging local optimisation that increases queues and work in progress. Kaplan and Norton (1996) argue that a single financial measure cannot direct operational behaviour and that customer, process and learning perspectives must be reported alongside it.</w:t>
      </w:r>
    </w:p>
    <w:p w14:paraId="26DB4FD2" w14:textId="77777777" w:rsidR="00695108" w:rsidRDefault="00000000">
      <w:pPr>
        <w:pStyle w:val="Heading2"/>
        <w:spacing w:before="320" w:after="180" w:line="264" w:lineRule="auto"/>
      </w:pPr>
      <w:r>
        <w:rPr>
          <w:b/>
          <w:bCs/>
          <w:color w:val="000000"/>
          <w:sz w:val="30"/>
          <w:szCs w:val="30"/>
        </w:rPr>
        <w:t>Deliverable: Balanced Plant Performance Management System</w:t>
      </w:r>
    </w:p>
    <w:p w14:paraId="4691EC67" w14:textId="77777777" w:rsidR="00695108" w:rsidRDefault="00000000">
      <w:pPr>
        <w:spacing w:before="120" w:after="60"/>
      </w:pPr>
      <w:r>
        <w:rPr>
          <w:b/>
          <w:bCs/>
          <w:color w:val="800020"/>
          <w:sz w:val="20"/>
          <w:szCs w:val="20"/>
        </w:rPr>
        <w:t>Table 4. Balanced Plant Performance Management System</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600"/>
        <w:gridCol w:w="3100"/>
      </w:tblGrid>
      <w:tr w:rsidR="00695108" w14:paraId="3EE525DF" w14:textId="77777777">
        <w:trPr>
          <w:tblHeader/>
        </w:trPr>
        <w:tc>
          <w:tcPr>
            <w:tcW w:w="1800" w:type="dxa"/>
            <w:shd w:val="clear" w:color="auto" w:fill="1E2A38"/>
            <w:vAlign w:val="center"/>
          </w:tcPr>
          <w:p w14:paraId="6726FF56" w14:textId="77777777" w:rsidR="00695108" w:rsidRDefault="00000000">
            <w:pPr>
              <w:spacing w:after="40"/>
            </w:pPr>
            <w:r>
              <w:rPr>
                <w:b/>
                <w:bCs/>
                <w:color w:val="FFFFFF"/>
                <w:sz w:val="20"/>
                <w:szCs w:val="20"/>
              </w:rPr>
              <w:t>Dimension</w:t>
            </w:r>
          </w:p>
        </w:tc>
        <w:tc>
          <w:tcPr>
            <w:tcW w:w="3600" w:type="dxa"/>
            <w:shd w:val="clear" w:color="auto" w:fill="1E2A38"/>
            <w:vAlign w:val="center"/>
          </w:tcPr>
          <w:p w14:paraId="5E1E70DD" w14:textId="77777777" w:rsidR="00695108" w:rsidRDefault="00000000">
            <w:pPr>
              <w:spacing w:after="40"/>
            </w:pPr>
            <w:r>
              <w:rPr>
                <w:b/>
                <w:bCs/>
                <w:color w:val="FFFFFF"/>
                <w:sz w:val="20"/>
                <w:szCs w:val="20"/>
              </w:rPr>
              <w:t>Example measures</w:t>
            </w:r>
          </w:p>
        </w:tc>
        <w:tc>
          <w:tcPr>
            <w:tcW w:w="3100" w:type="dxa"/>
            <w:shd w:val="clear" w:color="auto" w:fill="1E2A38"/>
            <w:vAlign w:val="center"/>
          </w:tcPr>
          <w:p w14:paraId="50DCBA55" w14:textId="77777777" w:rsidR="00695108" w:rsidRDefault="00000000">
            <w:pPr>
              <w:spacing w:after="40"/>
            </w:pPr>
            <w:r>
              <w:rPr>
                <w:b/>
                <w:bCs/>
                <w:color w:val="FFFFFF"/>
                <w:sz w:val="20"/>
                <w:szCs w:val="20"/>
              </w:rPr>
              <w:t>Management response</w:t>
            </w:r>
          </w:p>
        </w:tc>
      </w:tr>
      <w:tr w:rsidR="00695108" w14:paraId="63EF7CC4" w14:textId="77777777">
        <w:tc>
          <w:tcPr>
            <w:tcW w:w="1800" w:type="dxa"/>
          </w:tcPr>
          <w:p w14:paraId="77EAB16D" w14:textId="77777777" w:rsidR="00695108" w:rsidRDefault="00000000">
            <w:pPr>
              <w:spacing w:after="40"/>
            </w:pPr>
            <w:r>
              <w:rPr>
                <w:sz w:val="20"/>
                <w:szCs w:val="20"/>
              </w:rPr>
              <w:t>Safety and compliance</w:t>
            </w:r>
          </w:p>
        </w:tc>
        <w:tc>
          <w:tcPr>
            <w:tcW w:w="3600" w:type="dxa"/>
          </w:tcPr>
          <w:p w14:paraId="01A5A580" w14:textId="77777777" w:rsidR="00695108" w:rsidRDefault="00000000">
            <w:pPr>
              <w:spacing w:after="40"/>
            </w:pPr>
            <w:r>
              <w:rPr>
                <w:sz w:val="20"/>
                <w:szCs w:val="20"/>
              </w:rPr>
              <w:t>Critical-control verification, close-out time, incidents, competence coverage (HSE, 2013; ISO, 2018)</w:t>
            </w:r>
          </w:p>
        </w:tc>
        <w:tc>
          <w:tcPr>
            <w:tcW w:w="3100" w:type="dxa"/>
          </w:tcPr>
          <w:p w14:paraId="4ACADF90" w14:textId="77777777" w:rsidR="00695108" w:rsidRDefault="00000000">
            <w:pPr>
              <w:spacing w:after="40"/>
            </w:pPr>
            <w:r>
              <w:rPr>
                <w:sz w:val="20"/>
                <w:szCs w:val="20"/>
              </w:rPr>
              <w:t>Stop, contain, investigate and reauthorise work where controls fail</w:t>
            </w:r>
          </w:p>
        </w:tc>
      </w:tr>
      <w:tr w:rsidR="00695108" w14:paraId="69B795A0" w14:textId="77777777">
        <w:tc>
          <w:tcPr>
            <w:tcW w:w="1800" w:type="dxa"/>
            <w:shd w:val="clear" w:color="auto" w:fill="F2F2F2"/>
          </w:tcPr>
          <w:p w14:paraId="75924E41" w14:textId="77777777" w:rsidR="00695108" w:rsidRDefault="00000000">
            <w:pPr>
              <w:spacing w:after="40"/>
            </w:pPr>
            <w:r>
              <w:rPr>
                <w:sz w:val="20"/>
                <w:szCs w:val="20"/>
              </w:rPr>
              <w:t>Quality</w:t>
            </w:r>
          </w:p>
        </w:tc>
        <w:tc>
          <w:tcPr>
            <w:tcW w:w="3600" w:type="dxa"/>
            <w:shd w:val="clear" w:color="auto" w:fill="F2F2F2"/>
          </w:tcPr>
          <w:p w14:paraId="08D118C4" w14:textId="77777777" w:rsidR="00695108" w:rsidRDefault="00000000">
            <w:pPr>
              <w:spacing w:after="40"/>
            </w:pPr>
            <w:r>
              <w:rPr>
                <w:sz w:val="20"/>
                <w:szCs w:val="20"/>
              </w:rPr>
              <w:t>First-pass yield, defects per module, escape rate, repeat non-conformances (ISO, 2015a)</w:t>
            </w:r>
          </w:p>
        </w:tc>
        <w:tc>
          <w:tcPr>
            <w:tcW w:w="3100" w:type="dxa"/>
            <w:shd w:val="clear" w:color="auto" w:fill="F2F2F2"/>
          </w:tcPr>
          <w:p w14:paraId="58AFC223" w14:textId="77777777" w:rsidR="00695108" w:rsidRDefault="00000000">
            <w:pPr>
              <w:spacing w:after="40"/>
            </w:pPr>
            <w:r>
              <w:rPr>
                <w:sz w:val="20"/>
                <w:szCs w:val="20"/>
              </w:rPr>
              <w:t>Contain affected units, analyse cause and update design or standard work</w:t>
            </w:r>
          </w:p>
        </w:tc>
      </w:tr>
      <w:tr w:rsidR="00695108" w14:paraId="43AC94C2" w14:textId="77777777">
        <w:tc>
          <w:tcPr>
            <w:tcW w:w="1800" w:type="dxa"/>
          </w:tcPr>
          <w:p w14:paraId="42F3FDF5" w14:textId="77777777" w:rsidR="00695108" w:rsidRDefault="00000000">
            <w:pPr>
              <w:spacing w:after="40"/>
            </w:pPr>
            <w:r>
              <w:rPr>
                <w:sz w:val="20"/>
                <w:szCs w:val="20"/>
              </w:rPr>
              <w:t>Delivery and flow</w:t>
            </w:r>
          </w:p>
        </w:tc>
        <w:tc>
          <w:tcPr>
            <w:tcW w:w="3600" w:type="dxa"/>
          </w:tcPr>
          <w:p w14:paraId="256269E3" w14:textId="77777777" w:rsidR="00695108" w:rsidRDefault="00000000">
            <w:pPr>
              <w:spacing w:after="40"/>
            </w:pPr>
            <w:r>
              <w:rPr>
                <w:sz w:val="20"/>
                <w:szCs w:val="20"/>
              </w:rPr>
              <w:t>Schedule adherence, lead time, WIP, bottleneck availability, on-time-in-full</w:t>
            </w:r>
          </w:p>
        </w:tc>
        <w:tc>
          <w:tcPr>
            <w:tcW w:w="3100" w:type="dxa"/>
          </w:tcPr>
          <w:p w14:paraId="4B84E0B0" w14:textId="77777777" w:rsidR="00695108" w:rsidRDefault="00000000">
            <w:pPr>
              <w:spacing w:after="40"/>
            </w:pPr>
            <w:r>
              <w:rPr>
                <w:sz w:val="20"/>
                <w:szCs w:val="20"/>
              </w:rPr>
              <w:t xml:space="preserve">Remove constraints, rebalance or </w:t>
            </w:r>
            <w:proofErr w:type="spellStart"/>
            <w:r>
              <w:rPr>
                <w:sz w:val="20"/>
                <w:szCs w:val="20"/>
              </w:rPr>
              <w:t>resequence</w:t>
            </w:r>
            <w:proofErr w:type="spellEnd"/>
            <w:r>
              <w:rPr>
                <w:sz w:val="20"/>
                <w:szCs w:val="20"/>
              </w:rPr>
              <w:t xml:space="preserve"> within agreed limits</w:t>
            </w:r>
          </w:p>
        </w:tc>
      </w:tr>
      <w:tr w:rsidR="00695108" w14:paraId="5A648D70" w14:textId="77777777">
        <w:tc>
          <w:tcPr>
            <w:tcW w:w="1800" w:type="dxa"/>
            <w:shd w:val="clear" w:color="auto" w:fill="F2F2F2"/>
          </w:tcPr>
          <w:p w14:paraId="4ED3A1A1" w14:textId="77777777" w:rsidR="00695108" w:rsidRDefault="00000000">
            <w:pPr>
              <w:spacing w:after="40"/>
            </w:pPr>
            <w:r>
              <w:rPr>
                <w:sz w:val="20"/>
                <w:szCs w:val="20"/>
              </w:rPr>
              <w:t>Cost and cash</w:t>
            </w:r>
          </w:p>
        </w:tc>
        <w:tc>
          <w:tcPr>
            <w:tcW w:w="3600" w:type="dxa"/>
            <w:shd w:val="clear" w:color="auto" w:fill="F2F2F2"/>
          </w:tcPr>
          <w:p w14:paraId="27EC7E73" w14:textId="77777777" w:rsidR="00695108" w:rsidRDefault="00000000">
            <w:pPr>
              <w:spacing w:after="40"/>
            </w:pPr>
            <w:r>
              <w:rPr>
                <w:sz w:val="20"/>
                <w:szCs w:val="20"/>
              </w:rPr>
              <w:t>Conversion cost, rework, scrap, purchase variance, inventory and cash cycle</w:t>
            </w:r>
          </w:p>
        </w:tc>
        <w:tc>
          <w:tcPr>
            <w:tcW w:w="3100" w:type="dxa"/>
            <w:shd w:val="clear" w:color="auto" w:fill="F2F2F2"/>
          </w:tcPr>
          <w:p w14:paraId="36BBB6E7" w14:textId="77777777" w:rsidR="00695108" w:rsidRDefault="00000000">
            <w:pPr>
              <w:spacing w:after="40"/>
            </w:pPr>
            <w:r>
              <w:rPr>
                <w:sz w:val="20"/>
                <w:szCs w:val="20"/>
              </w:rPr>
              <w:t>Protect whole-system value rather than maximise local utilisation</w:t>
            </w:r>
          </w:p>
        </w:tc>
      </w:tr>
      <w:tr w:rsidR="00695108" w14:paraId="4E363E1F" w14:textId="77777777">
        <w:tc>
          <w:tcPr>
            <w:tcW w:w="1800" w:type="dxa"/>
          </w:tcPr>
          <w:p w14:paraId="5E92F381" w14:textId="77777777" w:rsidR="00695108" w:rsidRDefault="00000000">
            <w:pPr>
              <w:spacing w:after="40"/>
            </w:pPr>
            <w:r>
              <w:rPr>
                <w:sz w:val="20"/>
                <w:szCs w:val="20"/>
              </w:rPr>
              <w:t>People and learning</w:t>
            </w:r>
          </w:p>
        </w:tc>
        <w:tc>
          <w:tcPr>
            <w:tcW w:w="3600" w:type="dxa"/>
          </w:tcPr>
          <w:p w14:paraId="46947255" w14:textId="77777777" w:rsidR="00695108" w:rsidRDefault="00000000">
            <w:pPr>
              <w:spacing w:after="40"/>
            </w:pPr>
            <w:r>
              <w:rPr>
                <w:sz w:val="20"/>
                <w:szCs w:val="20"/>
              </w:rPr>
              <w:t>Skills coverage, training sign-off, improvement completion, recurring problems</w:t>
            </w:r>
          </w:p>
        </w:tc>
        <w:tc>
          <w:tcPr>
            <w:tcW w:w="3100" w:type="dxa"/>
          </w:tcPr>
          <w:p w14:paraId="47F2F1E2" w14:textId="77777777" w:rsidR="00695108" w:rsidRDefault="00000000">
            <w:pPr>
              <w:spacing w:after="40"/>
            </w:pPr>
            <w:r>
              <w:rPr>
                <w:sz w:val="20"/>
                <w:szCs w:val="20"/>
              </w:rPr>
              <w:t>Target coaching, cross-training and standard-work updates</w:t>
            </w:r>
          </w:p>
        </w:tc>
      </w:tr>
      <w:tr w:rsidR="00695108" w14:paraId="23D2FFE0" w14:textId="77777777">
        <w:tc>
          <w:tcPr>
            <w:tcW w:w="1800" w:type="dxa"/>
            <w:shd w:val="clear" w:color="auto" w:fill="F2F2F2"/>
          </w:tcPr>
          <w:p w14:paraId="11FA0EFF" w14:textId="77777777" w:rsidR="00695108" w:rsidRDefault="00000000">
            <w:pPr>
              <w:spacing w:after="40"/>
            </w:pPr>
            <w:r>
              <w:rPr>
                <w:sz w:val="20"/>
                <w:szCs w:val="20"/>
              </w:rPr>
              <w:t>Environment</w:t>
            </w:r>
          </w:p>
        </w:tc>
        <w:tc>
          <w:tcPr>
            <w:tcW w:w="3600" w:type="dxa"/>
            <w:shd w:val="clear" w:color="auto" w:fill="F2F2F2"/>
          </w:tcPr>
          <w:p w14:paraId="411DF70C" w14:textId="77777777" w:rsidR="00695108" w:rsidRDefault="00000000">
            <w:pPr>
              <w:spacing w:after="40"/>
            </w:pPr>
            <w:r>
              <w:rPr>
                <w:sz w:val="20"/>
                <w:szCs w:val="20"/>
              </w:rPr>
              <w:t>Energy, waste, material yield, transport utilisation and carbon per conforming module (ISO, 2015b)</w:t>
            </w:r>
          </w:p>
        </w:tc>
        <w:tc>
          <w:tcPr>
            <w:tcW w:w="3100" w:type="dxa"/>
            <w:shd w:val="clear" w:color="auto" w:fill="F2F2F2"/>
          </w:tcPr>
          <w:p w14:paraId="359B59DB" w14:textId="77777777" w:rsidR="00695108" w:rsidRDefault="00000000">
            <w:pPr>
              <w:spacing w:after="40"/>
            </w:pPr>
            <w:r>
              <w:rPr>
                <w:sz w:val="20"/>
                <w:szCs w:val="20"/>
              </w:rPr>
              <w:t>Prioritise losses that improve both resource efficiency and cost</w:t>
            </w:r>
          </w:p>
        </w:tc>
      </w:tr>
    </w:tbl>
    <w:p w14:paraId="70AEFBA1" w14:textId="77777777" w:rsidR="00695108" w:rsidRDefault="00695108">
      <w:pPr>
        <w:spacing w:after="60" w:line="264" w:lineRule="auto"/>
      </w:pPr>
    </w:p>
    <w:p w14:paraId="03F845BB" w14:textId="77777777" w:rsidR="00695108" w:rsidRDefault="00000000">
      <w:pPr>
        <w:spacing w:after="120" w:line="264" w:lineRule="auto"/>
      </w:pPr>
      <w:r>
        <w:t>Improvement priorities should follow constraint and loss data. Pareto analysis can distinguish the small number of defect or delay causes responsible for most disruption. Learning must cross the factory-site boundary: installation defects, client feedback and in-use performance should be coded against product configuration and returned to design and production teams. This cross-boundary feedback loop supports evidence-based collaborative decision-making across functions rather than isolated managerial judgement (UWE, 2026a; Sacks et al., 2010).</w:t>
      </w:r>
    </w:p>
    <w:p w14:paraId="6697BC52" w14:textId="77777777" w:rsidR="00695108" w:rsidRDefault="00000000">
      <w:pPr>
        <w:pStyle w:val="Heading2"/>
        <w:spacing w:before="320" w:after="180" w:line="264" w:lineRule="auto"/>
      </w:pPr>
      <w:r>
        <w:rPr>
          <w:b/>
          <w:bCs/>
          <w:color w:val="000000"/>
          <w:sz w:val="30"/>
          <w:szCs w:val="30"/>
        </w:rPr>
        <w:t>Benefits and Challenges</w:t>
      </w:r>
    </w:p>
    <w:p w14:paraId="66208821" w14:textId="77777777" w:rsidR="00695108" w:rsidRDefault="00000000">
      <w:pPr>
        <w:spacing w:after="80"/>
        <w:ind w:left="400"/>
      </w:pPr>
      <w:r>
        <w:t xml:space="preserve">  •  Benefit: a shared evidence base can align senior management, design, production, suppliers and project teams around the same priorities.</w:t>
      </w:r>
    </w:p>
    <w:p w14:paraId="09133AE0" w14:textId="77777777" w:rsidR="00695108" w:rsidRDefault="00000000">
      <w:pPr>
        <w:spacing w:after="80"/>
        <w:ind w:left="400"/>
      </w:pPr>
      <w:r>
        <w:t xml:space="preserve">  •  Benefit: leading indicators such as release readiness and control verification can expose weak controls before lagging outcomes such as defects and rework materialise.</w:t>
      </w:r>
    </w:p>
    <w:p w14:paraId="41C65188" w14:textId="77777777" w:rsidR="00695108" w:rsidRDefault="00000000">
      <w:pPr>
        <w:spacing w:after="80"/>
        <w:ind w:left="400"/>
      </w:pPr>
      <w:r>
        <w:t xml:space="preserve">  •  Challenge: excessive KPIs create reporting workload and conflicting priorities. Mitigation: restrict the scorecard to measures directly linked to decisions; start with a simpler daily board during the pilot and expand only as standard work stabilises.</w:t>
      </w:r>
    </w:p>
    <w:p w14:paraId="7032A40C" w14:textId="77777777" w:rsidR="00695108" w:rsidRDefault="00000000">
      <w:pPr>
        <w:spacing w:after="80"/>
        <w:ind w:left="400"/>
      </w:pPr>
      <w:r>
        <w:lastRenderedPageBreak/>
        <w:t xml:space="preserve">  •  Challenge: immature baselines make early targets unreliable. Mitigation: use trial periods and revise thresholds transparently rather than gaming against arbitrary initial figures.</w:t>
      </w:r>
    </w:p>
    <w:p w14:paraId="61CC51CD" w14:textId="77777777" w:rsidR="00695108" w:rsidRDefault="00000000">
      <w:pPr>
        <w:spacing w:after="80"/>
        <w:ind w:left="400"/>
      </w:pPr>
      <w:r>
        <w:t xml:space="preserve">  •  Challenge: utilisation targets can increase queues and work in progress. Mitigation: measure end-to-end flow and conforming output, not station-level busyness (Hopp and Spearman, 2011).</w:t>
      </w:r>
    </w:p>
    <w:p w14:paraId="766AFF9C" w14:textId="77777777" w:rsidR="00695108" w:rsidRDefault="00000000">
      <w:pPr>
        <w:pStyle w:val="Heading1"/>
        <w:pageBreakBefore/>
        <w:spacing w:before="360" w:after="240" w:line="264" w:lineRule="auto"/>
      </w:pPr>
      <w:proofErr w:type="gramStart"/>
      <w:r>
        <w:rPr>
          <w:b/>
          <w:bCs/>
          <w:color w:val="000000"/>
          <w:sz w:val="36"/>
          <w:szCs w:val="36"/>
        </w:rPr>
        <w:lastRenderedPageBreak/>
        <w:t>7  Integrated</w:t>
      </w:r>
      <w:proofErr w:type="gramEnd"/>
      <w:r>
        <w:rPr>
          <w:b/>
          <w:bCs/>
          <w:color w:val="000000"/>
          <w:sz w:val="36"/>
          <w:szCs w:val="36"/>
        </w:rPr>
        <w:t xml:space="preserve"> Implementation Roadmap</w:t>
      </w:r>
    </w:p>
    <w:p w14:paraId="01DCF139" w14:textId="77777777" w:rsidR="00695108" w:rsidRDefault="00000000">
      <w:pPr>
        <w:spacing w:after="120" w:line="264" w:lineRule="auto"/>
      </w:pPr>
      <w:r>
        <w:t>The three deliverables form one connected system. The Blueprint (Section 4) defines what the plant will produce and under what conditions. The Supply Chain Plan (Section 5) governs how materials flow in and modules flow out. The Performance System (Section 6) measures whether the system is working and provides the evidence for scale decisions.</w:t>
      </w:r>
    </w:p>
    <w:p w14:paraId="141EBA67" w14:textId="77777777" w:rsidR="00695108" w:rsidRDefault="00000000">
      <w:pPr>
        <w:spacing w:before="120" w:after="60"/>
      </w:pPr>
      <w:r>
        <w:rPr>
          <w:b/>
          <w:bCs/>
          <w:color w:val="800020"/>
          <w:sz w:val="20"/>
          <w:szCs w:val="20"/>
        </w:rPr>
        <w:t>Table 5. Integrated implementation roadmap</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600"/>
        <w:gridCol w:w="3100"/>
      </w:tblGrid>
      <w:tr w:rsidR="00695108" w14:paraId="484CA2D9" w14:textId="77777777">
        <w:trPr>
          <w:tblHeader/>
        </w:trPr>
        <w:tc>
          <w:tcPr>
            <w:tcW w:w="1800" w:type="dxa"/>
            <w:shd w:val="clear" w:color="auto" w:fill="1E2A38"/>
            <w:vAlign w:val="center"/>
          </w:tcPr>
          <w:p w14:paraId="79E1B8B7" w14:textId="77777777" w:rsidR="00695108" w:rsidRDefault="00000000">
            <w:pPr>
              <w:spacing w:after="40"/>
            </w:pPr>
            <w:r>
              <w:rPr>
                <w:b/>
                <w:bCs/>
                <w:color w:val="FFFFFF"/>
                <w:sz w:val="20"/>
                <w:szCs w:val="20"/>
              </w:rPr>
              <w:t>Phase</w:t>
            </w:r>
          </w:p>
        </w:tc>
        <w:tc>
          <w:tcPr>
            <w:tcW w:w="3600" w:type="dxa"/>
            <w:shd w:val="clear" w:color="auto" w:fill="1E2A38"/>
            <w:vAlign w:val="center"/>
          </w:tcPr>
          <w:p w14:paraId="63783745" w14:textId="77777777" w:rsidR="00695108" w:rsidRDefault="00000000">
            <w:pPr>
              <w:spacing w:after="40"/>
            </w:pPr>
            <w:r>
              <w:rPr>
                <w:b/>
                <w:bCs/>
                <w:color w:val="FFFFFF"/>
                <w:sz w:val="20"/>
                <w:szCs w:val="20"/>
              </w:rPr>
              <w:t>Priority outputs</w:t>
            </w:r>
          </w:p>
        </w:tc>
        <w:tc>
          <w:tcPr>
            <w:tcW w:w="3100" w:type="dxa"/>
            <w:shd w:val="clear" w:color="auto" w:fill="1E2A38"/>
            <w:vAlign w:val="center"/>
          </w:tcPr>
          <w:p w14:paraId="15ED3666" w14:textId="77777777" w:rsidR="00695108" w:rsidRDefault="00000000">
            <w:pPr>
              <w:spacing w:after="40"/>
            </w:pPr>
            <w:r>
              <w:rPr>
                <w:b/>
                <w:bCs/>
                <w:color w:val="FFFFFF"/>
                <w:sz w:val="20"/>
                <w:szCs w:val="20"/>
              </w:rPr>
              <w:t>Senior management gate</w:t>
            </w:r>
          </w:p>
        </w:tc>
      </w:tr>
      <w:tr w:rsidR="00695108" w14:paraId="2DC891C4" w14:textId="77777777">
        <w:tc>
          <w:tcPr>
            <w:tcW w:w="1800" w:type="dxa"/>
          </w:tcPr>
          <w:p w14:paraId="3F1036B9" w14:textId="77777777" w:rsidR="00695108" w:rsidRDefault="00000000">
            <w:pPr>
              <w:spacing w:after="40"/>
            </w:pPr>
            <w:proofErr w:type="gramStart"/>
            <w:r>
              <w:rPr>
                <w:sz w:val="20"/>
                <w:szCs w:val="20"/>
              </w:rPr>
              <w:t>1  Validate</w:t>
            </w:r>
            <w:proofErr w:type="gramEnd"/>
          </w:p>
        </w:tc>
        <w:tc>
          <w:tcPr>
            <w:tcW w:w="3600" w:type="dxa"/>
          </w:tcPr>
          <w:p w14:paraId="6C103384" w14:textId="77777777" w:rsidR="00695108" w:rsidRDefault="00000000">
            <w:pPr>
              <w:spacing w:after="40"/>
            </w:pPr>
            <w:r>
              <w:rPr>
                <w:sz w:val="20"/>
                <w:szCs w:val="20"/>
              </w:rPr>
              <w:t>Confirm South West pipeline, shortlist sites, define product family and test the downside business case</w:t>
            </w:r>
          </w:p>
        </w:tc>
        <w:tc>
          <w:tcPr>
            <w:tcW w:w="3100" w:type="dxa"/>
          </w:tcPr>
          <w:p w14:paraId="449546C3" w14:textId="77777777" w:rsidR="00695108" w:rsidRDefault="00000000">
            <w:pPr>
              <w:spacing w:after="40"/>
            </w:pPr>
            <w:r>
              <w:rPr>
                <w:sz w:val="20"/>
                <w:szCs w:val="20"/>
              </w:rPr>
              <w:t>Proceed only if firm demand, planning route and affordable exit options are credible</w:t>
            </w:r>
          </w:p>
        </w:tc>
      </w:tr>
      <w:tr w:rsidR="00695108" w14:paraId="50CB45F6" w14:textId="77777777">
        <w:tc>
          <w:tcPr>
            <w:tcW w:w="1800" w:type="dxa"/>
            <w:shd w:val="clear" w:color="auto" w:fill="F2F2F2"/>
          </w:tcPr>
          <w:p w14:paraId="028CC767" w14:textId="77777777" w:rsidR="00695108" w:rsidRDefault="00000000">
            <w:pPr>
              <w:spacing w:after="40"/>
            </w:pPr>
            <w:proofErr w:type="gramStart"/>
            <w:r>
              <w:rPr>
                <w:sz w:val="20"/>
                <w:szCs w:val="20"/>
              </w:rPr>
              <w:t>2  Design</w:t>
            </w:r>
            <w:proofErr w:type="gramEnd"/>
            <w:r>
              <w:rPr>
                <w:sz w:val="20"/>
                <w:szCs w:val="20"/>
              </w:rPr>
              <w:t xml:space="preserve"> and mobilise</w:t>
            </w:r>
          </w:p>
        </w:tc>
        <w:tc>
          <w:tcPr>
            <w:tcW w:w="3600" w:type="dxa"/>
            <w:shd w:val="clear" w:color="auto" w:fill="F2F2F2"/>
          </w:tcPr>
          <w:p w14:paraId="6DCA5A8F" w14:textId="77777777" w:rsidR="00695108" w:rsidRDefault="00000000">
            <w:pPr>
              <w:spacing w:after="40"/>
            </w:pPr>
            <w:r>
              <w:rPr>
                <w:sz w:val="20"/>
                <w:szCs w:val="20"/>
              </w:rPr>
              <w:t>Complete process blueprint, site due diligence, supplier strategy, design gates and competence plan</w:t>
            </w:r>
          </w:p>
        </w:tc>
        <w:tc>
          <w:tcPr>
            <w:tcW w:w="3100" w:type="dxa"/>
            <w:shd w:val="clear" w:color="auto" w:fill="F2F2F2"/>
          </w:tcPr>
          <w:p w14:paraId="07011D3C" w14:textId="77777777" w:rsidR="00695108" w:rsidRDefault="00000000">
            <w:pPr>
              <w:spacing w:after="40"/>
            </w:pPr>
            <w:r>
              <w:rPr>
                <w:sz w:val="20"/>
                <w:szCs w:val="20"/>
              </w:rPr>
              <w:t>Approve commitment only when land, power, flood, supplier and regulatory risks have owners</w:t>
            </w:r>
          </w:p>
        </w:tc>
      </w:tr>
      <w:tr w:rsidR="00695108" w14:paraId="60744968" w14:textId="77777777">
        <w:tc>
          <w:tcPr>
            <w:tcW w:w="1800" w:type="dxa"/>
          </w:tcPr>
          <w:p w14:paraId="2147CCEE" w14:textId="77777777" w:rsidR="00695108" w:rsidRDefault="00000000">
            <w:pPr>
              <w:spacing w:after="40"/>
            </w:pPr>
            <w:proofErr w:type="gramStart"/>
            <w:r>
              <w:rPr>
                <w:sz w:val="20"/>
                <w:szCs w:val="20"/>
              </w:rPr>
              <w:t>3  Prove</w:t>
            </w:r>
            <w:proofErr w:type="gramEnd"/>
          </w:p>
        </w:tc>
        <w:tc>
          <w:tcPr>
            <w:tcW w:w="3600" w:type="dxa"/>
          </w:tcPr>
          <w:p w14:paraId="5A8D82C7" w14:textId="77777777" w:rsidR="00695108" w:rsidRDefault="00000000">
            <w:pPr>
              <w:spacing w:after="40"/>
            </w:pPr>
            <w:r>
              <w:rPr>
                <w:sz w:val="20"/>
                <w:szCs w:val="20"/>
              </w:rPr>
              <w:t>Commission pilot cell, trial modules, quality records, logistics rehearsal and baseline measures</w:t>
            </w:r>
          </w:p>
        </w:tc>
        <w:tc>
          <w:tcPr>
            <w:tcW w:w="3100" w:type="dxa"/>
          </w:tcPr>
          <w:p w14:paraId="01DEEE9A" w14:textId="77777777" w:rsidR="00695108" w:rsidRDefault="00000000">
            <w:pPr>
              <w:spacing w:after="40"/>
            </w:pPr>
            <w:r>
              <w:rPr>
                <w:sz w:val="20"/>
                <w:szCs w:val="20"/>
              </w:rPr>
              <w:t>Accept the system only after safe, conforming end-to-end trials</w:t>
            </w:r>
          </w:p>
        </w:tc>
      </w:tr>
      <w:tr w:rsidR="00695108" w14:paraId="0A687F59" w14:textId="77777777">
        <w:tc>
          <w:tcPr>
            <w:tcW w:w="1800" w:type="dxa"/>
            <w:shd w:val="clear" w:color="auto" w:fill="F2F2F2"/>
          </w:tcPr>
          <w:p w14:paraId="68311537" w14:textId="77777777" w:rsidR="00695108" w:rsidRDefault="00000000">
            <w:pPr>
              <w:spacing w:after="40"/>
            </w:pPr>
            <w:proofErr w:type="gramStart"/>
            <w:r>
              <w:rPr>
                <w:sz w:val="20"/>
                <w:szCs w:val="20"/>
              </w:rPr>
              <w:t>4  Stabilise</w:t>
            </w:r>
            <w:proofErr w:type="gramEnd"/>
            <w:r>
              <w:rPr>
                <w:sz w:val="20"/>
                <w:szCs w:val="20"/>
              </w:rPr>
              <w:t xml:space="preserve"> and scale</w:t>
            </w:r>
          </w:p>
        </w:tc>
        <w:tc>
          <w:tcPr>
            <w:tcW w:w="3600" w:type="dxa"/>
            <w:shd w:val="clear" w:color="auto" w:fill="F2F2F2"/>
          </w:tcPr>
          <w:p w14:paraId="3E07C82E" w14:textId="77777777" w:rsidR="00695108" w:rsidRDefault="00000000">
            <w:pPr>
              <w:spacing w:after="40"/>
            </w:pPr>
            <w:r>
              <w:rPr>
                <w:sz w:val="20"/>
                <w:szCs w:val="20"/>
              </w:rPr>
              <w:t>Demonstrate repeatable safety, quality, delivery, cost and environmental performance</w:t>
            </w:r>
          </w:p>
        </w:tc>
        <w:tc>
          <w:tcPr>
            <w:tcW w:w="3100" w:type="dxa"/>
            <w:shd w:val="clear" w:color="auto" w:fill="F2F2F2"/>
          </w:tcPr>
          <w:p w14:paraId="4B976773" w14:textId="77777777" w:rsidR="00695108" w:rsidRDefault="00000000">
            <w:pPr>
              <w:spacing w:after="40"/>
            </w:pPr>
            <w:r>
              <w:rPr>
                <w:sz w:val="20"/>
                <w:szCs w:val="20"/>
              </w:rPr>
              <w:t>Add shifts, products or automation only when demand and capability thresholds are sustained</w:t>
            </w:r>
          </w:p>
        </w:tc>
      </w:tr>
    </w:tbl>
    <w:p w14:paraId="65EA2144" w14:textId="77777777" w:rsidR="00695108" w:rsidRDefault="00695108">
      <w:pPr>
        <w:spacing w:after="60" w:line="264" w:lineRule="auto"/>
      </w:pPr>
    </w:p>
    <w:p w14:paraId="620B26C9" w14:textId="77777777" w:rsidR="00695108" w:rsidRDefault="00000000">
      <w:pPr>
        <w:pStyle w:val="Heading1"/>
        <w:pageBreakBefore/>
        <w:spacing w:before="360" w:after="240" w:line="264" w:lineRule="auto"/>
      </w:pPr>
      <w:proofErr w:type="gramStart"/>
      <w:r>
        <w:rPr>
          <w:b/>
          <w:bCs/>
          <w:color w:val="000000"/>
          <w:sz w:val="36"/>
          <w:szCs w:val="36"/>
        </w:rPr>
        <w:lastRenderedPageBreak/>
        <w:t>8  Conclusion</w:t>
      </w:r>
      <w:proofErr w:type="gramEnd"/>
    </w:p>
    <w:p w14:paraId="60DBDB3D" w14:textId="77777777" w:rsidR="00695108" w:rsidRDefault="00000000">
      <w:pPr>
        <w:spacing w:after="120" w:line="264" w:lineRule="auto"/>
      </w:pPr>
      <w:r>
        <w:t>Sun Home should approve detailed due diligence on Unit 8, More+ Central Park, Avonmouth (BS35 4GH) as the preferred location for its volumetric prefabrication plant, retaining Bridgwater (M5 J23/J24) as the alternative until flood, planning, utility and total-cost evidence is complete. The plant should be configured through the Operations Strategy and Process Blueprint, operated through the Supply Chain Mobilisation and Resilience Plan, and governed through the Balanced Plant Performance Management System.</w:t>
      </w:r>
    </w:p>
    <w:p w14:paraId="6D76946A" w14:textId="77777777" w:rsidR="00695108" w:rsidRDefault="00000000">
      <w:pPr>
        <w:spacing w:after="120" w:line="264" w:lineRule="auto"/>
      </w:pPr>
      <w:r>
        <w:t xml:space="preserve">The greatest risk is not technical failure but organisational impatience: scaling before the system is stable, automating before standard work is proven, or measuring utilisation instead of flow. The L&amp;G and </w:t>
      </w:r>
      <w:proofErr w:type="spellStart"/>
      <w:r>
        <w:t>TopHat</w:t>
      </w:r>
      <w:proofErr w:type="spellEnd"/>
      <w:r>
        <w:t xml:space="preserve"> collapses confirm that fixed factory costs without firm-order discipline destroy value regardless of the quality of the product or the scale of the investment. If senior management enforces the gated discipline set out above, the plant can demonstrate viability within twelve months and earn the right to expand on the basis of performance rather than assumption.</w:t>
      </w:r>
    </w:p>
    <w:p w14:paraId="79289DDE" w14:textId="77777777" w:rsidR="00695108" w:rsidRDefault="00000000">
      <w:pPr>
        <w:pStyle w:val="Heading1"/>
        <w:pageBreakBefore/>
        <w:spacing w:before="360" w:after="240" w:line="264" w:lineRule="auto"/>
      </w:pPr>
      <w:r>
        <w:rPr>
          <w:b/>
          <w:bCs/>
          <w:color w:val="000000"/>
          <w:sz w:val="36"/>
          <w:szCs w:val="36"/>
        </w:rPr>
        <w:lastRenderedPageBreak/>
        <w:t>References</w:t>
      </w:r>
    </w:p>
    <w:p w14:paraId="263D3520" w14:textId="77777777" w:rsidR="00695108" w:rsidRDefault="00000000">
      <w:pPr>
        <w:spacing w:after="120" w:line="264" w:lineRule="auto"/>
      </w:pPr>
      <w:r>
        <w:t>Ballard, H.G. (2000) The last planner system of production control. PhD thesis. University of Birmingham.</w:t>
      </w:r>
    </w:p>
    <w:p w14:paraId="152BE09F" w14:textId="77777777" w:rsidR="00695108" w:rsidRDefault="00000000">
      <w:pPr>
        <w:spacing w:after="120" w:line="264" w:lineRule="auto"/>
      </w:pPr>
      <w:r>
        <w:t>Cabinet Office (2022) The construction playbook: government guidance on sourcing and contracting public works projects and programmes. Version 1.1. London: Cabinet Office. Available at: https://www.gov.uk/government/publications/the-construction-playbook (Accessed: 30 September 2026).</w:t>
      </w:r>
    </w:p>
    <w:p w14:paraId="4F54FEFD" w14:textId="77777777" w:rsidR="00695108" w:rsidRDefault="00000000">
      <w:pPr>
        <w:spacing w:after="120" w:line="264" w:lineRule="auto"/>
      </w:pPr>
      <w:r>
        <w:t xml:space="preserve">Christopher, M. (2016) Logistics and supply chain management. 5th </w:t>
      </w:r>
      <w:proofErr w:type="spellStart"/>
      <w:r>
        <w:t>edn</w:t>
      </w:r>
      <w:proofErr w:type="spellEnd"/>
      <w:r>
        <w:t>. Harlow: Pearson Education.</w:t>
      </w:r>
    </w:p>
    <w:p w14:paraId="0AC717D7" w14:textId="77777777" w:rsidR="00695108" w:rsidRDefault="00000000">
      <w:pPr>
        <w:spacing w:after="120" w:line="264" w:lineRule="auto"/>
      </w:pPr>
      <w:r>
        <w:t>Construction Index (2023) 'Legal &amp; General quits modular housing production', The Construction Index, 4 May. Available at: https://www.theconstructionindex.co.uk/news/view/legal-general-quits-modular-housing-factory (Accessed: 30 September 2026).</w:t>
      </w:r>
    </w:p>
    <w:p w14:paraId="12EA441D" w14:textId="77777777" w:rsidR="00695108" w:rsidRDefault="00000000">
      <w:pPr>
        <w:spacing w:after="120" w:line="264" w:lineRule="auto"/>
      </w:pPr>
      <w:r>
        <w:t xml:space="preserve">Construction News (2025) 'Modular firm </w:t>
      </w:r>
      <w:proofErr w:type="spellStart"/>
      <w:r>
        <w:t>TopHat</w:t>
      </w:r>
      <w:proofErr w:type="spellEnd"/>
      <w:r>
        <w:t xml:space="preserve"> reveals £50m loss', Construction News, 20 January. Available at: https://www.constructionnews.co.uk/tech/offsite-mmc/modular-firm-tophat-reveals-50m-loss-20-01-2025/ (Accessed: 30 September 2026).</w:t>
      </w:r>
    </w:p>
    <w:p w14:paraId="4043B812" w14:textId="77777777" w:rsidR="00695108" w:rsidRDefault="00000000">
      <w:r>
        <w:t>DTRE (2026) More+ Central Park, Palmer Avenue, Severn Beach, Bristol, BS35 4GH. Available at: https://dtre.com/search/properties/56104-more-central-park-avonmouth-palmer-avenue-bristol (Accessed: 30 September 2026).</w:t>
      </w:r>
    </w:p>
    <w:p w14:paraId="00F95279" w14:textId="77777777" w:rsidR="00695108" w:rsidRDefault="00000000">
      <w:pPr>
        <w:spacing w:after="120" w:line="264" w:lineRule="auto"/>
      </w:pPr>
      <w:r>
        <w:t>Farmer, M. (2016) The Farmer review of the UK construction labour model: modernise or die. London: Construction Leadership Council.</w:t>
      </w:r>
    </w:p>
    <w:p w14:paraId="77DDADD1" w14:textId="77777777" w:rsidR="00695108" w:rsidRDefault="00000000">
      <w:pPr>
        <w:spacing w:after="120" w:line="264" w:lineRule="auto"/>
      </w:pPr>
      <w:r>
        <w:t xml:space="preserve">Health and Safety Executive (2013) Managing for health and safety. HSG65. 3rd </w:t>
      </w:r>
      <w:proofErr w:type="spellStart"/>
      <w:r>
        <w:t>edn</w:t>
      </w:r>
      <w:proofErr w:type="spellEnd"/>
      <w:r>
        <w:t>. Bootle: HSE. Available at: https://www.hse.gov.uk/pubns/books/hsg65.htm (Accessed: 30 September 2026).</w:t>
      </w:r>
    </w:p>
    <w:p w14:paraId="0E621E2C" w14:textId="77777777" w:rsidR="00695108" w:rsidRDefault="00000000">
      <w:pPr>
        <w:spacing w:after="120" w:line="264" w:lineRule="auto"/>
      </w:pPr>
      <w:r>
        <w:t xml:space="preserve">Hopp, W.J. and Spearman, M.L. (2011) Factory physics. 3rd </w:t>
      </w:r>
      <w:proofErr w:type="spellStart"/>
      <w:r>
        <w:t>edn</w:t>
      </w:r>
      <w:proofErr w:type="spellEnd"/>
      <w:r>
        <w:t>. Long Grove, IL: Waveland Press.</w:t>
      </w:r>
    </w:p>
    <w:p w14:paraId="652C2492" w14:textId="77777777" w:rsidR="00695108" w:rsidRDefault="00000000">
      <w:pPr>
        <w:spacing w:after="120" w:line="264" w:lineRule="auto"/>
      </w:pPr>
      <w:r>
        <w:t>House of Lords Built Environment Committee (2024) Modern methods of construction: what's gone wrong? Letter to the Secretary of State for Levelling Up, Housing and Communities, 26 January. London: House of Lords. Available at: https://committees.parliament.uk/publications/43073/documents/214242/default/ (Accessed: 30 September 2026).</w:t>
      </w:r>
    </w:p>
    <w:p w14:paraId="6983E3C8" w14:textId="77777777" w:rsidR="00695108" w:rsidRDefault="00000000">
      <w:pPr>
        <w:spacing w:after="120" w:line="264" w:lineRule="auto"/>
      </w:pPr>
      <w:r>
        <w:t>International Organization for Standardization (2015a) ISO 9001:2015 Quality management systems: requirements. Geneva: ISO.</w:t>
      </w:r>
    </w:p>
    <w:p w14:paraId="03C65B55" w14:textId="77777777" w:rsidR="00695108" w:rsidRDefault="00000000">
      <w:pPr>
        <w:spacing w:after="120" w:line="264" w:lineRule="auto"/>
      </w:pPr>
      <w:r>
        <w:t>International Organization for Standardization (2015b) ISO 14001:2015 Environmental management systems: requirements with guidance for use. Geneva: ISO.</w:t>
      </w:r>
    </w:p>
    <w:p w14:paraId="6BAA8007" w14:textId="77777777" w:rsidR="00695108" w:rsidRDefault="00000000">
      <w:pPr>
        <w:spacing w:after="120" w:line="264" w:lineRule="auto"/>
      </w:pPr>
      <w:r>
        <w:t>International Organization for Standardization (2018) ISO 45001:2018 Occupational health and safety management systems: requirements with guidance for use. Geneva: ISO.</w:t>
      </w:r>
    </w:p>
    <w:p w14:paraId="06FE7692" w14:textId="77777777" w:rsidR="00695108" w:rsidRDefault="00000000">
      <w:pPr>
        <w:spacing w:after="120" w:line="264" w:lineRule="auto"/>
      </w:pPr>
      <w:r>
        <w:t>Kaplan, R.S. and Norton, D.P. (1996) The balanced scorecard: translating strategy into action. Boston, MA: Harvard Business School Press.</w:t>
      </w:r>
    </w:p>
    <w:p w14:paraId="6B177369" w14:textId="77777777" w:rsidR="00695108" w:rsidRDefault="00000000">
      <w:pPr>
        <w:spacing w:after="120" w:line="264" w:lineRule="auto"/>
      </w:pPr>
      <w:r>
        <w:t>Koskela, L. (2000) An exploration towards a production theory and its application to construction. VTT Publications 408. Espoo: VTT Technical Research Centre of Finland.</w:t>
      </w:r>
    </w:p>
    <w:p w14:paraId="7DB38212" w14:textId="77777777" w:rsidR="00695108" w:rsidRDefault="00000000">
      <w:pPr>
        <w:spacing w:after="120" w:line="264" w:lineRule="auto"/>
      </w:pPr>
      <w:r>
        <w:lastRenderedPageBreak/>
        <w:t>McKinsey &amp; Company (2019) Modular construction: from projects to products. New York: McKinsey &amp; Company.</w:t>
      </w:r>
    </w:p>
    <w:p w14:paraId="6A91E15A" w14:textId="77777777" w:rsidR="00695108" w:rsidRDefault="00000000">
      <w:pPr>
        <w:spacing w:after="120" w:line="264" w:lineRule="auto"/>
      </w:pPr>
      <w:r>
        <w:t>Ministry of Housing, Communities and Local Government (2024) Volumetric modular construction research. London: MHCLG. Available at: https://www.gov.uk/government/publications/volumetric-modular-construction-research (Accessed: 30 September 2026).</w:t>
      </w:r>
    </w:p>
    <w:p w14:paraId="797F1A6D" w14:textId="77777777" w:rsidR="00695108" w:rsidRDefault="00000000">
      <w:pPr>
        <w:spacing w:after="120" w:line="264" w:lineRule="auto"/>
      </w:pPr>
      <w:r>
        <w:t xml:space="preserve">Pan, W., Gibb, A.G.F. and Dainty, A.R.J. (2007) 'Perspectives of UK housebuilders on the use of offsite modern methods of construction', Construction Management and Economics, 25(2), pp. 183-194. </w:t>
      </w:r>
      <w:proofErr w:type="spellStart"/>
      <w:r>
        <w:t>doi</w:t>
      </w:r>
      <w:proofErr w:type="spellEnd"/>
      <w:r>
        <w:t>: 10.1080/01446190600827058.</w:t>
      </w:r>
    </w:p>
    <w:p w14:paraId="1C25B48C" w14:textId="77777777" w:rsidR="00695108" w:rsidRDefault="00000000">
      <w:pPr>
        <w:spacing w:after="120" w:line="264" w:lineRule="auto"/>
      </w:pPr>
      <w:r>
        <w:t xml:space="preserve">Sacks, R., Koskela, L., Dave, B.A. and Owen, R. (2010) 'Interaction of lean and building information </w:t>
      </w:r>
      <w:proofErr w:type="spellStart"/>
      <w:r>
        <w:t>modeling</w:t>
      </w:r>
      <w:proofErr w:type="spellEnd"/>
      <w:r>
        <w:t xml:space="preserve"> in construction', Journal of Construction Engineering and Management, 136(9), pp. 968-980. </w:t>
      </w:r>
      <w:proofErr w:type="spellStart"/>
      <w:r>
        <w:t>doi</w:t>
      </w:r>
      <w:proofErr w:type="spellEnd"/>
      <w:r>
        <w:t>: 10.1061/(ASCE)CO.1943-7862.0000203.</w:t>
      </w:r>
    </w:p>
    <w:p w14:paraId="6D8C1687" w14:textId="77777777" w:rsidR="00695108" w:rsidRDefault="00000000">
      <w:pPr>
        <w:spacing w:after="120" w:line="264" w:lineRule="auto"/>
      </w:pPr>
      <w:r>
        <w:t xml:space="preserve">Slack, N. and Brandon-Jones, A. (2018) Operations and process management: principles and practice for strategic impact. 5th </w:t>
      </w:r>
      <w:proofErr w:type="spellStart"/>
      <w:r>
        <w:t>edn</w:t>
      </w:r>
      <w:proofErr w:type="spellEnd"/>
      <w:r>
        <w:t>. Harlow: Pearson.</w:t>
      </w:r>
    </w:p>
    <w:p w14:paraId="324937AC" w14:textId="77777777" w:rsidR="00695108" w:rsidRDefault="00000000">
      <w:pPr>
        <w:spacing w:after="120" w:line="264" w:lineRule="auto"/>
      </w:pPr>
      <w:r>
        <w:t xml:space="preserve">Slack, N., Brandon-Jones, A. and Burgess, N. (2022) Operations management. 10th </w:t>
      </w:r>
      <w:proofErr w:type="spellStart"/>
      <w:r>
        <w:t>edn</w:t>
      </w:r>
      <w:proofErr w:type="spellEnd"/>
      <w:r>
        <w:t>. Harlow: Pearson Education.</w:t>
      </w:r>
    </w:p>
    <w:p w14:paraId="3DE99A6D" w14:textId="77777777" w:rsidR="00695108" w:rsidRDefault="00000000">
      <w:pPr>
        <w:spacing w:after="120" w:line="264" w:lineRule="auto"/>
      </w:pPr>
      <w:r>
        <w:t>South Gloucestershire Council (2025) Economic regeneration strategy 2025 to 2035. Available at: https://beta.southglos.gov.uk/ (Accessed: 30 September 2026).</w:t>
      </w:r>
    </w:p>
    <w:p w14:paraId="45D61260" w14:textId="77777777" w:rsidR="00695108" w:rsidRDefault="00000000">
      <w:pPr>
        <w:spacing w:after="120" w:line="264" w:lineRule="auto"/>
      </w:pPr>
      <w:r>
        <w:t>University of the West of England (2026a) Strategic and Operational Management assessment brief Task 1. Module UBLLXF-30-3. Bristol: UWE Bristol.</w:t>
      </w:r>
    </w:p>
    <w:p w14:paraId="408BD15B" w14:textId="77777777" w:rsidR="00695108" w:rsidRDefault="00000000">
      <w:pPr>
        <w:spacing w:after="120" w:line="264" w:lineRule="auto"/>
      </w:pPr>
      <w:r>
        <w:t>University of the West of England (2026b) Introduction to Strategic and Operational Management. Lecture slides, 29 September. Bristol: UWE Bristol.</w:t>
      </w:r>
    </w:p>
    <w:p w14:paraId="4EEB59CA" w14:textId="77777777" w:rsidR="00695108" w:rsidRDefault="00000000">
      <w:pPr>
        <w:spacing w:after="120" w:line="264" w:lineRule="auto"/>
      </w:pPr>
      <w:r>
        <w:t>West of England Combined Authority (2026) West of England investment prospectus. Bristol: West of England Combined Authority. Available at: https://www.westofengland-ca.gov.uk/ (Accessed: 30 September 2026).</w:t>
      </w:r>
    </w:p>
    <w:p w14:paraId="35E06A08" w14:textId="77777777" w:rsidR="00695108" w:rsidRDefault="00000000">
      <w:pPr>
        <w:spacing w:after="120" w:line="264" w:lineRule="auto"/>
      </w:pPr>
      <w:r>
        <w:t xml:space="preserve">Womack, J.P. and Jones, D.T. (2003) Lean thinking: banish waste and create wealth in your corporation. Rev. </w:t>
      </w:r>
      <w:proofErr w:type="spellStart"/>
      <w:r>
        <w:t>edn</w:t>
      </w:r>
      <w:proofErr w:type="spellEnd"/>
      <w:r>
        <w:t>. New York: Free Press.</w:t>
      </w:r>
    </w:p>
    <w:p w14:paraId="7581CA04" w14:textId="08DF0280" w:rsidR="00695108" w:rsidRDefault="00695108">
      <w:pPr>
        <w:spacing w:after="120" w:line="264" w:lineRule="auto"/>
      </w:pPr>
    </w:p>
    <w:sectPr w:rsidR="00695108">
      <w:headerReference w:type="default" r:id="rId8"/>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6C2F45" w14:textId="77777777" w:rsidR="00EF0975" w:rsidRDefault="00EF0975">
      <w:r>
        <w:separator/>
      </w:r>
    </w:p>
  </w:endnote>
  <w:endnote w:type="continuationSeparator" w:id="0">
    <w:p w14:paraId="6A0BE2A9" w14:textId="77777777" w:rsidR="00EF0975" w:rsidRDefault="00EF09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2ECCA5" w14:textId="77777777" w:rsidR="00695108" w:rsidRDefault="00000000">
    <w:pPr>
      <w:jc w:val="center"/>
    </w:pPr>
    <w:r>
      <w:rPr>
        <w:color w:val="800020"/>
        <w:sz w:val="18"/>
        <w:szCs w:val="18"/>
      </w:rPr>
      <w:t xml:space="preserve">Nathan Blake | </w:t>
    </w: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0D271B">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2F8E33" w14:textId="77777777" w:rsidR="00EF0975" w:rsidRDefault="00EF0975">
      <w:r>
        <w:separator/>
      </w:r>
    </w:p>
  </w:footnote>
  <w:footnote w:type="continuationSeparator" w:id="0">
    <w:p w14:paraId="3613365B" w14:textId="77777777" w:rsidR="00EF0975" w:rsidRDefault="00EF09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31C39" w14:textId="0CF1716A" w:rsidR="00695108" w:rsidRDefault="00000000" w:rsidP="008A42B1">
    <w:pPr>
      <w:jc w:val="center"/>
    </w:pPr>
    <w:r>
      <w:rPr>
        <w:color w:val="888888"/>
        <w:sz w:val="18"/>
        <w:szCs w:val="18"/>
      </w:rPr>
      <w:t>Operational Strategy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2A176C"/>
    <w:multiLevelType w:val="hybridMultilevel"/>
    <w:tmpl w:val="B7DE347A"/>
    <w:lvl w:ilvl="0" w:tplc="BB66C224">
      <w:start w:val="1"/>
      <w:numFmt w:val="bullet"/>
      <w:lvlText w:val="●"/>
      <w:lvlJc w:val="left"/>
      <w:pPr>
        <w:ind w:left="720" w:hanging="360"/>
      </w:pPr>
    </w:lvl>
    <w:lvl w:ilvl="1" w:tplc="8752CBC0">
      <w:start w:val="1"/>
      <w:numFmt w:val="bullet"/>
      <w:lvlText w:val="○"/>
      <w:lvlJc w:val="left"/>
      <w:pPr>
        <w:ind w:left="1440" w:hanging="360"/>
      </w:pPr>
    </w:lvl>
    <w:lvl w:ilvl="2" w:tplc="19C4BE98">
      <w:start w:val="1"/>
      <w:numFmt w:val="bullet"/>
      <w:lvlText w:val="■"/>
      <w:lvlJc w:val="left"/>
      <w:pPr>
        <w:ind w:left="2160" w:hanging="360"/>
      </w:pPr>
    </w:lvl>
    <w:lvl w:ilvl="3" w:tplc="82FED34C">
      <w:start w:val="1"/>
      <w:numFmt w:val="bullet"/>
      <w:lvlText w:val="●"/>
      <w:lvlJc w:val="left"/>
      <w:pPr>
        <w:ind w:left="2880" w:hanging="360"/>
      </w:pPr>
    </w:lvl>
    <w:lvl w:ilvl="4" w:tplc="864A3AEA">
      <w:start w:val="1"/>
      <w:numFmt w:val="bullet"/>
      <w:lvlText w:val="○"/>
      <w:lvlJc w:val="left"/>
      <w:pPr>
        <w:ind w:left="3600" w:hanging="360"/>
      </w:pPr>
    </w:lvl>
    <w:lvl w:ilvl="5" w:tplc="8604CCCA">
      <w:start w:val="1"/>
      <w:numFmt w:val="bullet"/>
      <w:lvlText w:val="■"/>
      <w:lvlJc w:val="left"/>
      <w:pPr>
        <w:ind w:left="4320" w:hanging="360"/>
      </w:pPr>
    </w:lvl>
    <w:lvl w:ilvl="6" w:tplc="18B2CD86">
      <w:start w:val="1"/>
      <w:numFmt w:val="bullet"/>
      <w:lvlText w:val="●"/>
      <w:lvlJc w:val="left"/>
      <w:pPr>
        <w:ind w:left="5040" w:hanging="360"/>
      </w:pPr>
    </w:lvl>
    <w:lvl w:ilvl="7" w:tplc="05B8A0B0">
      <w:start w:val="1"/>
      <w:numFmt w:val="bullet"/>
      <w:lvlText w:val="●"/>
      <w:lvlJc w:val="left"/>
      <w:pPr>
        <w:ind w:left="5760" w:hanging="360"/>
      </w:pPr>
    </w:lvl>
    <w:lvl w:ilvl="8" w:tplc="242C3694">
      <w:start w:val="1"/>
      <w:numFmt w:val="bullet"/>
      <w:lvlText w:val="●"/>
      <w:lvlJc w:val="left"/>
      <w:pPr>
        <w:ind w:left="6480" w:hanging="360"/>
      </w:pPr>
    </w:lvl>
  </w:abstractNum>
  <w:num w:numId="1" w16cid:durableId="167002069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5108"/>
    <w:rsid w:val="000553BA"/>
    <w:rsid w:val="000D271B"/>
    <w:rsid w:val="001D7B88"/>
    <w:rsid w:val="002A28D3"/>
    <w:rsid w:val="00695108"/>
    <w:rsid w:val="008A42B1"/>
    <w:rsid w:val="00EF097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1D5D6B"/>
  <w15:docId w15:val="{F5596F20-F378-4660-B719-F0DD62B1C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A42B1"/>
    <w:pPr>
      <w:tabs>
        <w:tab w:val="center" w:pos="4513"/>
        <w:tab w:val="right" w:pos="9026"/>
      </w:tabs>
    </w:pPr>
  </w:style>
  <w:style w:type="character" w:customStyle="1" w:styleId="HeaderChar">
    <w:name w:val="Header Char"/>
    <w:basedOn w:val="DefaultParagraphFont"/>
    <w:link w:val="Header"/>
    <w:uiPriority w:val="99"/>
    <w:rsid w:val="008A42B1"/>
  </w:style>
  <w:style w:type="paragraph" w:styleId="Footer">
    <w:name w:val="footer"/>
    <w:basedOn w:val="Normal"/>
    <w:link w:val="FooterChar"/>
    <w:uiPriority w:val="99"/>
    <w:unhideWhenUsed/>
    <w:rsid w:val="008A42B1"/>
    <w:pPr>
      <w:tabs>
        <w:tab w:val="center" w:pos="4513"/>
        <w:tab w:val="right" w:pos="9026"/>
      </w:tabs>
    </w:pPr>
  </w:style>
  <w:style w:type="character" w:customStyle="1" w:styleId="FooterChar">
    <w:name w:val="Footer Char"/>
    <w:basedOn w:val="DefaultParagraphFont"/>
    <w:link w:val="Footer"/>
    <w:uiPriority w:val="99"/>
    <w:rsid w:val="008A42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18</Pages>
  <Words>4003</Words>
  <Characters>22819</Characters>
  <Application>Microsoft Office Word</Application>
  <DocSecurity>0</DocSecurity>
  <Lines>190</Lines>
  <Paragraphs>53</Paragraphs>
  <ScaleCrop>false</ScaleCrop>
  <Company/>
  <LinksUpToDate>false</LinksUpToDate>
  <CharactersWithSpaces>26769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Nathan Blake</cp:lastModifiedBy>
  <cp:revision>3</cp:revision>
  <dcterms:created xsi:type="dcterms:W3CDTF">2026-09-30T11:59:00Z</dcterms:created>
  <dcterms:modified xsi:type="dcterms:W3CDTF">2026-09-30T16:02:00Z</dcterms:modified>
</cp:coreProperties>
</file>