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80"/>
        <w:jc w:val="center"/>
        <w:shd w:val="clear" w:color="auto" w:fill="1A1A1A"/>
      </w:pPr>
      <w:r>
        <w:rPr>
          <w:rFonts w:ascii="Arial" w:hAnsi="Arial"/>
          <w:b/>
          <w:color w:val="FFFFFF"/>
          <w:sz w:val="52"/>
        </w:rPr>
        <w:t>🔥  Collection de Briquets</w:t>
      </w:r>
    </w:p>
    <w:p>
      <w:pPr>
        <w:spacing w:before="120" w:after="120"/>
        <w:jc w:val="center"/>
        <w:shd w:val="clear" w:color="auto" w:fill="E86A1A"/>
      </w:pPr>
      <w:r>
        <w:rPr>
          <w:rFonts w:ascii="Arial" w:hAnsi="Arial"/>
          <w:i/>
          <w:color w:val="FFFFFF"/>
          <w:sz w:val="24"/>
        </w:rPr>
        <w:t>Spécification complète — Catégories &amp; Critères</w:t>
      </w:r>
    </w:p>
    <w:p/>
    <w:p>
      <w:pPr>
        <w:shd w:val="clear" w:color="auto" w:fill="F5F5F5"/>
        <w:spacing w:before="200" w:after="120"/>
        <w:pBdr>
          <w:left w:val="single" w:sz="18" w:space="4" w:color="E86A1A"/>
        </w:pBdr>
      </w:pPr>
      <w:r>
        <w:rPr>
          <w:rFonts w:ascii="Arial" w:hAnsi="Arial"/>
          <w:b/>
          <w:color w:val="E86A1A"/>
          <w:sz w:val="26"/>
        </w:rPr>
        <w:t xml:space="preserve">  1. Description de la collection</w:t>
      </w:r>
    </w:p>
    <w:p>
      <w:pPr>
        <w:spacing w:after="80"/>
      </w:pPr>
      <w:r>
        <w:rPr>
          <w:rFonts w:ascii="Arial" w:hAnsi="Arial"/>
          <w:color w:val="555555"/>
          <w:sz w:val="22"/>
        </w:rPr>
        <w:t>Cette collection porte sur les briquets à travers l'histoire et la technologie. Chaque briquet est un objet industriel et culturel unique, témoignant d'une époque, d'un mécanisme d'allumage et d'un niveau de fabrication. La collection permet de classer, évaluer et comparer les briquets selon des critères mesurables et cohérents.</w:t>
      </w:r>
    </w:p>
    <w:p/>
    <w:p>
      <w:pPr>
        <w:shd w:val="clear" w:color="auto" w:fill="F5F5F5"/>
        <w:spacing w:before="200" w:after="120"/>
        <w:pBdr>
          <w:left w:val="single" w:sz="18" w:space="4" w:color="E86A1A"/>
        </w:pBdr>
      </w:pPr>
      <w:r>
        <w:rPr>
          <w:rFonts w:ascii="Arial" w:hAnsi="Arial"/>
          <w:b/>
          <w:color w:val="E86A1A"/>
          <w:sz w:val="26"/>
        </w:rPr>
        <w:t xml:space="preserve">  2. Catégories</w:t>
      </w:r>
    </w:p>
    <w:p>
      <w:pPr>
        <w:spacing w:after="80"/>
      </w:pPr>
      <w:r>
        <w:rPr>
          <w:rFonts w:ascii="Arial" w:hAnsi="Arial"/>
          <w:color w:val="555555"/>
          <w:sz w:val="22"/>
        </w:rPr>
        <w:t>Chaque briquet appartient obligatoirement à une ou deux catégories. Les deux catégories retenues sont complémentaires : l'une situe l'objet dans le temps, l'autre décrit son fonctionnement technique.</w:t>
      </w:r>
    </w:p>
    <w:p/>
    <w:tbl>
      <w:tblPr>
        <w:tblW w:type="auto" w:w="0"/>
        <w:jc w:val="center"/>
        <w:tblLook w:firstColumn="1" w:firstRow="1" w:lastColumn="0" w:lastRow="0" w:noHBand="0" w:noVBand="1" w:val="04A0"/>
      </w:tblPr>
      <w:tblGrid>
        <w:gridCol w:w="3135"/>
        <w:gridCol w:w="3135"/>
        <w:gridCol w:w="3135"/>
      </w:tblGrid>
      <w:tr>
        <w:tc>
          <w:tcPr>
            <w:tcW w:type="dxa" w:w="1984"/>
            <w:shd w:val="clear" w:color="auto" w:fill="1A1A1A"/>
            <w:tcBorders>
              <w:top w:val="single" w:sz="4" w:space="0" w:color="1A1A1A"/>
              <w:left w:val="single" w:sz="4" w:space="0" w:color="1A1A1A"/>
              <w:bottom w:val="single" w:sz="4" w:space="0" w:color="1A1A1A"/>
              <w:right w:val="single" w:sz="4" w:space="0" w:color="1A1A1A"/>
            </w:tcBorders>
          </w:tcPr>
          <w:p>
            <w:pPr>
              <w:jc w:val="center"/>
            </w:pPr>
            <w:r>
              <w:rPr>
                <w:rFonts w:ascii="Arial" w:hAnsi="Arial"/>
                <w:b/>
                <w:color w:val="FFFFFF"/>
                <w:sz w:val="20"/>
              </w:rPr>
              <w:t>Catégorie</w:t>
            </w:r>
          </w:p>
        </w:tc>
        <w:tc>
          <w:tcPr>
            <w:tcW w:type="dxa" w:w="3118"/>
            <w:shd w:val="clear" w:color="auto" w:fill="1A1A1A"/>
            <w:tcBorders>
              <w:top w:val="single" w:sz="4" w:space="0" w:color="1A1A1A"/>
              <w:left w:val="single" w:sz="4" w:space="0" w:color="1A1A1A"/>
              <w:bottom w:val="single" w:sz="4" w:space="0" w:color="1A1A1A"/>
              <w:right w:val="single" w:sz="4" w:space="0" w:color="1A1A1A"/>
            </w:tcBorders>
          </w:tcPr>
          <w:p>
            <w:pPr>
              <w:jc w:val="center"/>
            </w:pPr>
            <w:r>
              <w:rPr>
                <w:rFonts w:ascii="Arial" w:hAnsi="Arial"/>
                <w:b/>
                <w:color w:val="FFFFFF"/>
                <w:sz w:val="20"/>
              </w:rPr>
              <w:t>Valeurs possibles</w:t>
            </w:r>
          </w:p>
        </w:tc>
        <w:tc>
          <w:tcPr>
            <w:tcW w:type="dxa" w:w="4819"/>
            <w:shd w:val="clear" w:color="auto" w:fill="1A1A1A"/>
            <w:tcBorders>
              <w:top w:val="single" w:sz="4" w:space="0" w:color="1A1A1A"/>
              <w:left w:val="single" w:sz="4" w:space="0" w:color="1A1A1A"/>
              <w:bottom w:val="single" w:sz="4" w:space="0" w:color="1A1A1A"/>
              <w:right w:val="single" w:sz="4" w:space="0" w:color="1A1A1A"/>
            </w:tcBorders>
          </w:tcPr>
          <w:p>
            <w:pPr>
              <w:jc w:val="center"/>
            </w:pPr>
            <w:r>
              <w:rPr>
                <w:rFonts w:ascii="Arial" w:hAnsi="Arial"/>
                <w:b/>
                <w:color w:val="FFFFFF"/>
                <w:sz w:val="20"/>
              </w:rPr>
              <w:t>Principe de classification</w:t>
            </w:r>
          </w:p>
        </w:tc>
      </w:tr>
      <w:tr>
        <w:tc>
          <w:tcPr>
            <w:tcW w:type="dxa" w:w="1984"/>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Mécanisme</w:t>
            </w:r>
          </w:p>
        </w:tc>
        <w:tc>
          <w:tcPr>
            <w:tcW w:type="dxa" w:w="3118"/>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Silex</w:t>
              <w:br/>
              <w:t>Piézoélectrique</w:t>
              <w:br/>
              <w:t>Arc électrique</w:t>
              <w:br/>
              <w:t>Friction</w:t>
            </w:r>
          </w:p>
        </w:tc>
        <w:tc>
          <w:tcPr>
            <w:tcW w:type="dxa" w:w="4819"/>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Classement selon le système d'allumage utilisé par le briquet. C'est la caractéristique technique principale qui distingue les familles de briquets.</w:t>
            </w:r>
          </w:p>
        </w:tc>
      </w:tr>
      <w:tr>
        <w:tc>
          <w:tcPr>
            <w:tcW w:type="dxa" w:w="19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Période</w:t>
            </w:r>
          </w:p>
        </w:tc>
        <w:tc>
          <w:tcPr>
            <w:tcW w:type="dxa" w:w="311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Antique (avant 1920)</w:t>
              <w:br/>
              <w:t>Vintage (1920–1970)</w:t>
              <w:br/>
              <w:t>Moderne (1970+)</w:t>
            </w:r>
          </w:p>
        </w:tc>
        <w:tc>
          <w:tcPr>
            <w:tcW w:type="dxa" w:w="481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Classement selon l'époque de fabrication ou de conception. Permet une lecture historique et patrimoniale de la collection.</w:t>
            </w:r>
          </w:p>
        </w:tc>
      </w:tr>
    </w:tbl>
    <w:p/>
    <w:p>
      <w:pPr>
        <w:shd w:val="clear" w:color="auto" w:fill="F5F5F5"/>
        <w:spacing w:before="200" w:after="120"/>
        <w:pBdr>
          <w:left w:val="single" w:sz="18" w:space="4" w:color="E86A1A"/>
        </w:pBdr>
      </w:pPr>
      <w:r>
        <w:rPr>
          <w:rFonts w:ascii="Arial" w:hAnsi="Arial"/>
          <w:b/>
          <w:color w:val="E86A1A"/>
          <w:sz w:val="26"/>
        </w:rPr>
        <w:t xml:space="preserve">  3. Critères d'évaluation</w:t>
      </w:r>
    </w:p>
    <w:p>
      <w:pPr>
        <w:spacing w:after="80"/>
      </w:pPr>
      <w:r>
        <w:rPr>
          <w:rFonts w:ascii="Arial" w:hAnsi="Arial"/>
          <w:color w:val="555555"/>
          <w:sz w:val="22"/>
        </w:rPr>
        <w:t>Chaque briquet est noté sur 4 critères. Chaque critère prend une valeur numérique : 0 (Faible), 1 (Moyen), 2 (Élevé). Ces valeurs sont stockées dans la table item_criteria de la base de données.</w:t>
      </w:r>
    </w:p>
    <w:p/>
    <w:tbl>
      <w:tblPr>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Critère</w:t>
            </w:r>
          </w:p>
        </w:tc>
        <w:tc>
          <w:tcPr>
            <w:tcW w:type="dxa" w:w="2551"/>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Définition</w:t>
            </w:r>
          </w:p>
        </w:tc>
        <w:tc>
          <w:tcPr>
            <w:tcW w:type="dxa" w:w="1814"/>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0 — Faible</w:t>
            </w:r>
          </w:p>
        </w:tc>
        <w:tc>
          <w:tcPr>
            <w:tcW w:type="dxa" w:w="1814"/>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1 — Moyen</w:t>
            </w:r>
          </w:p>
        </w:tc>
        <w:tc>
          <w:tcPr>
            <w:tcW w:type="dxa" w:w="1928"/>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2 — Élevé</w:t>
            </w:r>
          </w:p>
        </w:tc>
      </w:tr>
      <w:tr>
        <w:tc>
          <w:tcPr>
            <w:tcW w:type="dxa" w:w="1814"/>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Durabilité</w:t>
            </w:r>
          </w:p>
        </w:tc>
        <w:tc>
          <w:tcPr>
            <w:tcW w:type="dxa" w:w="2551"/>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Capacité du briquet à durer dans le temps et à être réutilisé.</w:t>
            </w:r>
          </w:p>
        </w:tc>
        <w:tc>
          <w:tcPr>
            <w:tcW w:type="dxa" w:w="1814"/>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Jetable (ex: BIC jetable)</w:t>
            </w:r>
          </w:p>
        </w:tc>
        <w:tc>
          <w:tcPr>
            <w:tcW w:type="dxa" w:w="1814"/>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Rechargeable plastique</w:t>
            </w:r>
          </w:p>
        </w:tc>
        <w:tc>
          <w:tcPr>
            <w:tcW w:type="dxa" w:w="1928"/>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Rechargeable métal / robuste (ex: Zippo)</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Prix</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Valeur marchande actuelle ou historique du briquet.</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Moins de 10 €</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Entre 10 € et 50 €</w:t>
            </w:r>
          </w:p>
        </w:tc>
        <w:tc>
          <w:tcPr>
            <w:tcW w:type="dxa" w:w="19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Plus de 50 €</w:t>
            </w:r>
          </w:p>
        </w:tc>
      </w:tr>
      <w:tr>
        <w:tc>
          <w:tcPr>
            <w:tcW w:type="dxa" w:w="1814"/>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Rareté</w:t>
            </w:r>
          </w:p>
        </w:tc>
        <w:tc>
          <w:tcPr>
            <w:tcW w:type="dxa" w:w="2551"/>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Difficulté à trouver le briquet sur le marché actuel ou à l'époque.</w:t>
            </w:r>
          </w:p>
        </w:tc>
        <w:tc>
          <w:tcPr>
            <w:tcW w:type="dxa" w:w="1814"/>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Très commun (grande distribution)</w:t>
            </w:r>
          </w:p>
        </w:tc>
        <w:tc>
          <w:tcPr>
            <w:tcW w:type="dxa" w:w="1814"/>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Édition limitée / ancienne</w:t>
            </w:r>
          </w:p>
        </w:tc>
        <w:tc>
          <w:tcPr>
            <w:tcW w:type="dxa" w:w="1928"/>
            <w:shd w:val="clear" w:color="auto" w:fill="FFF0E6"/>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Pièce unique / vintage rare</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Autonomie</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Nombre estimé d'allumages avant recharge ou fin de vie.</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Moins de 1 000 allumages</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Entre 1 000 et 3 000</w:t>
            </w:r>
          </w:p>
        </w:tc>
        <w:tc>
          <w:tcPr>
            <w:tcW w:type="dxa" w:w="19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Plus de 3 000 allumages</w:t>
            </w:r>
          </w:p>
        </w:tc>
      </w:tr>
    </w:tbl>
    <w:p/>
    <w:p>
      <w:pPr>
        <w:shd w:val="clear" w:color="auto" w:fill="F5F5F5"/>
        <w:spacing w:before="200" w:after="120"/>
        <w:pBdr>
          <w:left w:val="single" w:sz="18" w:space="4" w:color="E86A1A"/>
        </w:pBdr>
      </w:pPr>
      <w:r>
        <w:rPr>
          <w:rFonts w:ascii="Arial" w:hAnsi="Arial"/>
          <w:b/>
          <w:color w:val="E86A1A"/>
          <w:sz w:val="26"/>
        </w:rPr>
        <w:t xml:space="preserve">  4. Correspondance avec la base de données</w:t>
      </w:r>
    </w:p>
    <w:p>
      <w:pPr>
        <w:spacing w:after="80"/>
      </w:pPr>
      <w:r>
        <w:rPr>
          <w:rFonts w:ascii="Arial" w:hAnsi="Arial"/>
          <w:color w:val="555555"/>
          <w:sz w:val="22"/>
        </w:rPr>
        <w:t>Voici comment les catégories et critères s'intègrent dans le schéma SQL existant.</w:t>
      </w:r>
    </w:p>
    <w:p/>
    <w:tbl>
      <w:tblPr>
        <w:tblW w:type="auto" w:w="0"/>
        <w:jc w:val="center"/>
        <w:tblLook w:firstColumn="1" w:firstRow="1" w:lastColumn="0" w:lastRow="0" w:noHBand="0" w:noVBand="1" w:val="04A0"/>
      </w:tblPr>
      <w:tblGrid>
        <w:gridCol w:w="3135"/>
        <w:gridCol w:w="3135"/>
        <w:gridCol w:w="3135"/>
      </w:tblGrid>
      <w:tr>
        <w:tc>
          <w:tcPr>
            <w:tcW w:type="dxa" w:w="2268"/>
            <w:shd w:val="clear" w:color="auto" w:fill="1A1A1A"/>
            <w:tcBorders>
              <w:top w:val="single" w:sz="4" w:space="0" w:color="1A1A1A"/>
              <w:left w:val="single" w:sz="4" w:space="0" w:color="1A1A1A"/>
              <w:bottom w:val="single" w:sz="4" w:space="0" w:color="1A1A1A"/>
              <w:right w:val="single" w:sz="4" w:space="0" w:color="1A1A1A"/>
            </w:tcBorders>
          </w:tcPr>
          <w:p>
            <w:pPr>
              <w:jc w:val="center"/>
            </w:pPr>
            <w:r>
              <w:rPr>
                <w:rFonts w:ascii="Arial" w:hAnsi="Arial"/>
                <w:b/>
                <w:color w:val="FFFFFF"/>
                <w:sz w:val="20"/>
              </w:rPr>
              <w:t>Concept</w:t>
            </w:r>
          </w:p>
        </w:tc>
        <w:tc>
          <w:tcPr>
            <w:tcW w:type="dxa" w:w="2835"/>
            <w:shd w:val="clear" w:color="auto" w:fill="1A1A1A"/>
            <w:tcBorders>
              <w:top w:val="single" w:sz="4" w:space="0" w:color="1A1A1A"/>
              <w:left w:val="single" w:sz="4" w:space="0" w:color="1A1A1A"/>
              <w:bottom w:val="single" w:sz="4" w:space="0" w:color="1A1A1A"/>
              <w:right w:val="single" w:sz="4" w:space="0" w:color="1A1A1A"/>
            </w:tcBorders>
          </w:tcPr>
          <w:p>
            <w:pPr>
              <w:jc w:val="center"/>
            </w:pPr>
            <w:r>
              <w:rPr>
                <w:rFonts w:ascii="Arial" w:hAnsi="Arial"/>
                <w:b/>
                <w:color w:val="FFFFFF"/>
                <w:sz w:val="20"/>
              </w:rPr>
              <w:t>Table SQL</w:t>
            </w:r>
          </w:p>
        </w:tc>
        <w:tc>
          <w:tcPr>
            <w:tcW w:type="dxa" w:w="4819"/>
            <w:shd w:val="clear" w:color="auto" w:fill="1A1A1A"/>
            <w:tcBorders>
              <w:top w:val="single" w:sz="4" w:space="0" w:color="1A1A1A"/>
              <w:left w:val="single" w:sz="4" w:space="0" w:color="1A1A1A"/>
              <w:bottom w:val="single" w:sz="4" w:space="0" w:color="1A1A1A"/>
              <w:right w:val="single" w:sz="4" w:space="0" w:color="1A1A1A"/>
            </w:tcBorders>
          </w:tcPr>
          <w:p>
            <w:pPr>
              <w:jc w:val="center"/>
            </w:pPr>
            <w:r>
              <w:rPr>
                <w:rFonts w:ascii="Arial" w:hAnsi="Arial"/>
                <w:b/>
                <w:color w:val="FFFFFF"/>
                <w:sz w:val="20"/>
              </w:rPr>
              <w:t>Détail</w:t>
            </w:r>
          </w:p>
        </w:tc>
      </w:tr>
      <w:tr>
        <w:tc>
          <w:tcPr>
            <w:tcW w:type="dxa" w:w="2268"/>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Catégories</w:t>
            </w:r>
          </w:p>
        </w:tc>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category</w:t>
            </w:r>
          </w:p>
        </w:tc>
        <w:tc>
          <w:tcPr>
            <w:tcW w:type="dxa" w:w="4819"/>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2 entrées : 'Mécanisme' et 'Période'. Chaque briquet (items) référence category1_id et/ou category2_id.</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Critères</w:t>
            </w:r>
          </w:p>
        </w:tc>
        <w:tc>
          <w:tcPr>
            <w:tcW w:type="dxa" w:w="2835"/>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criteria</w:t>
            </w:r>
          </w:p>
        </w:tc>
        <w:tc>
          <w:tcPr>
            <w:tcW w:type="dxa" w:w="481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4 entrées : Durabilité, Prix, Rareté, Autonomie.</w:t>
            </w:r>
          </w:p>
        </w:tc>
      </w:tr>
      <w:tr>
        <w:tc>
          <w:tcPr>
            <w:tcW w:type="dxa" w:w="2268"/>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Valeurs des critères</w:t>
            </w:r>
          </w:p>
        </w:tc>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item_criteria</w:t>
            </w:r>
          </w:p>
        </w:tc>
        <w:tc>
          <w:tcPr>
            <w:tcW w:type="dxa" w:w="4819"/>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Pour chaque briquet, 4 lignes (une par critère) avec value = 0, 1 ou 2.</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Briquet (objet)</w:t>
            </w:r>
          </w:p>
        </w:tc>
        <w:tc>
          <w:tcPr>
            <w:tcW w:type="dxa" w:w="2835"/>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items</w:t>
            </w:r>
          </w:p>
        </w:tc>
        <w:tc>
          <w:tcPr>
            <w:tcW w:type="dxa" w:w="481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title, description, image_url, status (public/privé), collection_id, category1_id, category2_id.</w:t>
            </w:r>
          </w:p>
        </w:tc>
      </w:tr>
      <w:tr>
        <w:tc>
          <w:tcPr>
            <w:tcW w:type="dxa" w:w="2268"/>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E86A1A"/>
                <w:sz w:val="20"/>
              </w:rPr>
              <w:t>Collection</w:t>
            </w:r>
          </w:p>
        </w:tc>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collections</w:t>
            </w:r>
          </w:p>
        </w:tc>
        <w:tc>
          <w:tcPr>
            <w:tcW w:type="dxa" w:w="4819"/>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Un seul utilisateur = une seule collection de briquets.</w:t>
            </w:r>
          </w:p>
        </w:tc>
      </w:tr>
    </w:tbl>
    <w:p/>
    <w:p>
      <w:pPr>
        <w:shd w:val="clear" w:color="auto" w:fill="F5F5F5"/>
        <w:spacing w:before="200" w:after="120"/>
        <w:pBdr>
          <w:left w:val="single" w:sz="18" w:space="4" w:color="E86A1A"/>
        </w:pBdr>
      </w:pPr>
      <w:r>
        <w:rPr>
          <w:rFonts w:ascii="Arial" w:hAnsi="Arial"/>
          <w:b/>
          <w:color w:val="E86A1A"/>
          <w:sz w:val="26"/>
        </w:rPr>
        <w:t xml:space="preserve">  5. Exemple concret — Zippo 1941 Replica</w:t>
      </w:r>
    </w:p>
    <w:tbl>
      <w:tblPr>
        <w:tblW w:type="auto" w:w="0"/>
        <w:jc w:val="center"/>
        <w:tblLook w:firstColumn="1" w:firstRow="1" w:lastColumn="0" w:lastRow="0" w:noHBand="0" w:noVBand="1" w:val="04A0"/>
      </w:tblPr>
      <w:tblGrid>
        <w:gridCol w:w="4703"/>
        <w:gridCol w:w="4703"/>
      </w:tblGrid>
      <w:tr>
        <w:tc>
          <w:tcPr>
            <w:tcW w:type="dxa" w:w="2835"/>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Champ</w:t>
            </w:r>
          </w:p>
        </w:tc>
        <w:tc>
          <w:tcPr>
            <w:tcW w:type="dxa" w:w="7087"/>
            <w:shd w:val="clear" w:color="auto" w:fill="E86A1A"/>
            <w:tcBorders>
              <w:top w:val="single" w:sz="4" w:space="0" w:color="E86A1A"/>
              <w:left w:val="single" w:sz="4" w:space="0" w:color="E86A1A"/>
              <w:bottom w:val="single" w:sz="4" w:space="0" w:color="E86A1A"/>
              <w:right w:val="single" w:sz="4" w:space="0" w:color="E86A1A"/>
            </w:tcBorders>
          </w:tcPr>
          <w:p>
            <w:pPr>
              <w:jc w:val="center"/>
            </w:pPr>
            <w:r>
              <w:rPr>
                <w:rFonts w:ascii="Arial" w:hAnsi="Arial"/>
                <w:b/>
                <w:color w:val="FFFFFF"/>
                <w:sz w:val="20"/>
              </w:rPr>
              <w:t>Valeur</w:t>
            </w:r>
          </w:p>
        </w:tc>
      </w:tr>
      <w:tr>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Titre</w:t>
            </w:r>
          </w:p>
        </w:tc>
        <w:tc>
          <w:tcPr>
            <w:tcW w:type="dxa" w:w="7087"/>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Zippo 1941 Replica</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Catégorie 1 (Mécanisme)</w:t>
            </w:r>
          </w:p>
        </w:tc>
        <w:tc>
          <w:tcPr>
            <w:tcW w:type="dxa" w:w="7087"/>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Silex</w:t>
            </w:r>
          </w:p>
        </w:tc>
      </w:tr>
      <w:tr>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Catégorie 2 (Période)</w:t>
            </w:r>
          </w:p>
        </w:tc>
        <w:tc>
          <w:tcPr>
            <w:tcW w:type="dxa" w:w="7087"/>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Vintage (1920–1970)</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Durabilité</w:t>
            </w:r>
          </w:p>
        </w:tc>
        <w:tc>
          <w:tcPr>
            <w:tcW w:type="dxa" w:w="7087"/>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2 — Élevé (métal rechargeable)</w:t>
            </w:r>
          </w:p>
        </w:tc>
      </w:tr>
      <w:tr>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Prix</w:t>
            </w:r>
          </w:p>
        </w:tc>
        <w:tc>
          <w:tcPr>
            <w:tcW w:type="dxa" w:w="7087"/>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2 — Élevé (&gt; 50 €)</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Rareté</w:t>
            </w:r>
          </w:p>
        </w:tc>
        <w:tc>
          <w:tcPr>
            <w:tcW w:type="dxa" w:w="7087"/>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1 — Moyen (édition limitée disponible)</w:t>
            </w:r>
          </w:p>
        </w:tc>
      </w:tr>
      <w:tr>
        <w:tc>
          <w:tcPr>
            <w:tcW w:type="dxa" w:w="2835"/>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b/>
                <w:color w:val="1A1A1A"/>
                <w:sz w:val="20"/>
              </w:rPr>
              <w:t>Autonomie</w:t>
            </w:r>
          </w:p>
        </w:tc>
        <w:tc>
          <w:tcPr>
            <w:tcW w:type="dxa" w:w="7087"/>
            <w:shd w:val="clear" w:color="auto" w:fill="FFF8F3"/>
            <w:tcBorders>
              <w:top w:val="single" w:sz="4" w:space="0" w:color="DDDDDD"/>
              <w:left w:val="single" w:sz="4" w:space="0" w:color="DDDDDD"/>
              <w:bottom w:val="single" w:sz="4" w:space="0" w:color="DDDDDD"/>
              <w:right w:val="single" w:sz="4" w:space="0" w:color="DDDDDD"/>
            </w:tcBorders>
          </w:tcPr>
          <w:p>
            <w:r>
              <w:rPr>
                <w:rFonts w:ascii="Arial" w:hAnsi="Arial"/>
                <w:color w:val="1A1A1A"/>
                <w:sz w:val="20"/>
              </w:rPr>
              <w:t>2 — Élevé (&gt; 3 000 allumages)</w:t>
            </w:r>
          </w:p>
        </w:tc>
      </w:tr>
    </w:tbl>
    <w:p/>
    <w:p>
      <w:pPr>
        <w:shd w:val="clear" w:color="auto" w:fill="F5F5F5"/>
        <w:spacing w:before="200"/>
      </w:pPr>
      <w:r>
        <w:rPr>
          <w:rFonts w:ascii="Arial" w:hAnsi="Arial"/>
          <w:i/>
          <w:color w:val="555555"/>
          <w:sz w:val="18"/>
        </w:rPr>
        <w:t xml:space="preserve">  Note : Ce document sert de référence pour la génération des seeders Laravel, des migrations SQL et des composants React de la collection.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