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queries, 17 unanswerable queries, and 10 contradiction probes, with 44 held out for testing. On the test split, B3-Generative reports a 0.0% response-level ungrounded rate. This result needs careful interpretation. It does not show that the LLM never produced unsupported text; it shows that responses failing the support-rate check were converted into abstentions before reaching the user. The same configuration reaches 94.1% abstention accuracy on the 12 unanswerable test queries, above the 80% target, although the small sample makes the confidence interval wide.</w:t>
      </w:r>
    </w:p>
    <w:p>
      <w:pPr>
        <w:jc w:val="both"/>
      </w:pPr>
      <w:r>
        <w:t xml:space="preserve">The main cost is coverage. B3-Generative answers only 25% of test queries, well below the 85% target. Extractive Mode recovers most of that coverage with an 89% answer rate, 100% citation precision and 100% abstention accuracy, but it does so by returning quoted evidence rather than synthesised answers. The heuristic Critic Mode reaches 93.7% macro precision, 78.5% macro recall and 84.8% macro F1, just below the 85% target. Overall, the results support the safety argument on a controlled synthetic corpus, while also showing that recall, coverage and transfer to messier documents remain the main limitations.</w:t>
      </w:r>
    </w:p>
    <w:p>
      <w:pPr>
        <w:jc w:val="both"/>
      </w:pPr>
      <w:r>
        <w:t xml:space="preserve">The evaluation was deliberately layered. The main benchmark used a synthetic golden set so that answerability, expected evidence, and contradiction probes could be controlled. Three smaller checks sit around it: a peer-review exercise to test whether the outputs felt useful and trustworthy to readers, a public-guidance transfer test on text I had not authored, and a small adversarial probe focused on prompt-injection style attacks. The audit-export artefacts tie individual answers back to evidence so the headline results can be checked rather than taken on trust.</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39 test files; 194 collected tests (193 passed, 1 conditionally skipped)</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evaluator test suite collects 194 tests under the documented</w:t>
      </w:r>
      <w:r>
        <w:t xml:space="preserve"> </w:t>
      </w:r>
      <w:r>
        <w:rPr>
          <w:rStyle w:val="VerbatimChar"/>
        </w:rPr>
        <w:t xml:space="preserve">pytest -q --ignore=tests/test_run_eval_requires_key_in_generative.py</w:t>
      </w:r>
      <w:r>
        <w:t xml:space="preserve"> </w:t>
      </w:r>
      <w:r>
        <w:t xml:space="preserve">command: 193 pass and 1 is conditionally skipped. The 39 test files are organised in three tiers: unit (functions in isolation), integration (pipeline stage interactions), and system (end-to-end and reproducibility).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I added a small peer-review check because the automated metrics do not show how useful or trustworthy the answers feel to a reader. Six peer volunteers (three Final-Year BSc and three MSc Computer Science students, outside the project supervisory chain) each scored 20 B3-Generative query / output pairs between 14 and 18 April 2026 using a 1-to-5 Likert rubric: Correctness, Groundedness, Citation Usefulness, Usefulness, and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using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test the system on text I had not written myself, I ran the same B3 pipeline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contains 8 documents, 249 paragraphs, and a 20-query test set: 12 answerable, 4 unanswerable, and 4 ambiguous-evidence cases. Provenance, licence, and access dates are recorded in Appendix B.11. Because no LLM API key was used in this run, only B3-Extractive is reported; a generative transfer test remains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Citation Precision stayed at 100% because answers are quoted from the cited paragraph, and Ungrounded Rate stayed at 0%. Coverage was also similar to the synthetic test split, with a 91.7% Answer Rate compared with 89%. The weaker result is retrieval. Evidence Recall@5 dropped from 85% to 52.1%, and one unanswerable query about Cisco router configuration was answered too confidently because BM25 matched NCSC device-security guidance on the word</w:t>
      </w:r>
      <w:r>
        <w:t xml:space="preserve"> </w:t>
      </w:r>
      <w:r>
        <w:t xml:space="preserve">“configure”</w:t>
      </w:r>
      <w:r>
        <w:t xml:space="preserve">. So the transfer test supports the conservative grounding behaviour of Extractive Mode, but it does not prove broad transfer.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is the final reported figure because it comes from the BM25 fallback run used in the reproducibility environment. The earlier dense-retrieval development result is still useful diagnostically: it shows that the architecture performed better when the intended dense backend was available, but it should not replace the final benchmark number. Objective 3 is therefore reported as below target, with the dense result used only to explain where the shortfall came from.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target, but a quoted paragraph is not the same kind of answer as a synthesised response, so I have marked Objective 2 as partially met rather than met. Objective 5 misses by 0.2 percentage points due to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That makes it easier to defend, although the response is less natural. In Generative Mode, the answer is more useful when it works, but the system has to rely on verification and the support-rate gate to decide whether the generated text is safe enough to show. The 0.0% headline ungrounded rate is therefore a result of the enforcement layer, not evidence that the LLM itself never hallucinated.</w:t>
      </w:r>
    </w:p>
    <w:p>
      <w:pPr>
        <w:jc w:val="both"/>
      </w:pPr>
      <w:r>
        <w:t xml:space="preserve">Taken together, the results support a narrow but useful claim. On this synthetic corpus, refusing low-confidence answers, checking whether cited paragraphs actually support generated claims, and surfacing contradictions reduced unsupported answers compared with a standard RAG baseline. The important caveat is that the coverage / precision balance would need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safest demonstration setting in this project, at least until retrieval recall improves enough to give Generative Mode a more generous abstention threshold.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under the documented evaluator command,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was used in an assistive role during development, debugging, planning, structuring, project-data generation, and review. The tools were not used as a replacement author and were not treated as authoritative sources.</w:t>
      </w:r>
    </w:p>
    <w:bookmarkStart w:id="96"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project’s test suite collects 194 tests under the documented evaluator command (193 passed, 1 conditionally skipped)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 39 test files; 194 collected tests (193 passed, 1 conditionally skipped).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2026-05-13T07:48:44Z</dcterms:created>
  <dcterms:modified xsi:type="dcterms:W3CDTF">2026-05-13T07:48:44Z</dcterms:modified>
</cp:coreProperties>
</file>

<file path=docProps/custom.xml><?xml version="1.0" encoding="utf-8"?>
<Properties xmlns="http://schemas.openxmlformats.org/officeDocument/2006/custom-properties" xmlns:vt="http://schemas.openxmlformats.org/officeDocument/2006/docPropsVTypes"/>
</file>