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(§5.2 L1).</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45</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47</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53</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47</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50</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54</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This hallucination behaviour is well documented (Ji et al., 2023; Huang et al., 2023) and, in a compliance setting, a wrong answer presented confidently can cause real harm: incorrect interpretation of policy, downstream operational errors, and disputes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w:t>
      </w:r>
      <w:r>
        <w:t xml:space="preserve"> </w:t>
      </w:r>
      <w:r>
        <w:rPr>
          <w:i/>
          <w:iCs/>
        </w:rPr>
        <w:t xml:space="preserve">after</w:t>
      </w:r>
      <w:r>
        <w:t xml:space="preserve"> </w:t>
      </w:r>
      <w:r>
        <w:t xml:space="preserve">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w:t>
      </w:r>
      <w:r>
        <w:t xml:space="preserve"> </w:t>
      </w:r>
      <w:r>
        <w:rPr>
          <w:b/>
          <w:bCs/>
        </w:rPr>
        <w:t xml:space="preserve">What I did not find was a system that combines rule-based grounding checks with explicit refusal over a small, closed corpus</w:t>
      </w:r>
      <w:r>
        <w:t xml:space="preserve"> </w:t>
      </w:r>
      <w:r>
        <w:t xml:space="preserve">— the configuration this project targets. Policy Copilot fills that gap by pairing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points to a clear gap. On the</w:t>
      </w:r>
      <w:r>
        <w:t xml:space="preserve"> </w:t>
      </w:r>
      <w:r>
        <w:rPr>
          <w:i/>
          <w:iCs/>
        </w:rPr>
        <w:t xml:space="preserve">generation</w:t>
      </w:r>
      <w:r>
        <w:t xml:space="preserve"> </w:t>
      </w:r>
      <w:r>
        <w:t xml:space="preserve">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w:t>
      </w:r>
      <w:r>
        <w:t xml:space="preserve"> </w:t>
      </w:r>
      <w:r>
        <w:rPr>
          <w:i/>
          <w:iCs/>
        </w:rPr>
        <w:t xml:space="preserve">evaluation</w:t>
      </w:r>
      <w:r>
        <w:t xml:space="preserve"> </w:t>
      </w:r>
      <w:r>
        <w:t xml:space="preserve">side, LLM-as-judge frameworks (RAGAS, RAGE) suffer from the documented position, verbosity, and self-enhancement biases (Zheng et al., 2024), and Wallat et al. (2024) show that citation correctness and faithfulness are not the same property. On the</w:t>
      </w:r>
      <w:r>
        <w:t xml:space="preserve"> </w:t>
      </w:r>
      <w:r>
        <w:rPr>
          <w:i/>
          <w:iCs/>
        </w:rPr>
        <w:t xml:space="preserve">retrieval</w:t>
      </w:r>
      <w:r>
        <w:t xml:space="preserve"> </w:t>
      </w:r>
      <w:r>
        <w:t xml:space="preserve">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core requirements rather than optional add-ons.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October 2024 to February 2025). Report writing, documentation hardening, and evaluation refinement continued through the 2025/26 submission period.</w:t>
      </w:r>
    </w:p>
    <w:p>
      <w:pPr>
        <w:jc w:val="both"/>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just below the 80% target (FR2). I attribute this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w:t>
      </w:r>
      <w:r>
        <w:t xml:space="preserve"> </w:t>
      </w:r>
      <w:r>
        <w:rPr>
          <w:b/>
          <w:bCs/>
        </w:rPr>
        <w:t xml:space="preserve">τ = 0.80</w:t>
      </w:r>
      <w:r>
        <w:t xml:space="preserve"> </w:t>
      </w:r>
      <w:r>
        <w:t xml:space="preserve">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triangulate the automated metrics with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The evaluation is</w:t>
      </w:r>
      <w:r>
        <w:t xml:space="preserve"> </w:t>
      </w:r>
      <w:r>
        <w:rPr>
          <w:b/>
          <w:bCs/>
        </w:rPr>
        <w:t xml:space="preserve">author-facilitated</w:t>
      </w:r>
      <w:r>
        <w:t xml:space="preserve"> </w:t>
      </w:r>
      <w:r>
        <w:t xml:space="preserve">rather than blinded; results are triangulation, not definitive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line up with the automated findings. Direct-answer cases scored 4.8 / 4.9 on Correctness and Groundedness, which matches Table 4.2’s low unsupported-claim rate on the same queries.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Results are directional given the small, non-blinded, non-domain-expert sample;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probe whether the system’s safety properties survive on a corpus I did not author,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Safety property survives</w:t>
            </w:r>
          </w:p>
        </w:tc>
      </w:tr>
    </w:tbl>
    <w:p>
      <w:pPr>
        <w:jc w:val="both"/>
      </w:pPr>
      <w:r>
        <w:t xml:space="preserve">The headline observation is that on this small public-corpus stress test the safety property held up: Citation Precision stayed at 100% (true by construction in Extractive Mode) and Ungrounded Rate stayed at 0%, so on the 20-query set the system did not produce an answer that conflicted with its cited evidence on the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The broader pattern is consistent with §4.8: when the system fails on unfamiliar data, it fails by being</w:t>
      </w:r>
      <w:r>
        <w:t xml:space="preserve"> </w:t>
      </w:r>
      <w:r>
        <w:rPr>
          <w:b/>
          <w:bCs/>
        </w:rPr>
        <w:t xml:space="preserve">too confident on a borderline query</w:t>
      </w:r>
      <w:r>
        <w:t xml:space="preserve"> </w:t>
      </w:r>
      <w:r>
        <w:t xml:space="preserve">rather than by hallucinating new content. This is the conservative-failure-mode result that the design was aimed at, and §5.2 returns to it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by running B3-Extractive against an unfamiliar OGL-licensed corpus authored by NCSC, ICO, and ACAS; the safety properties (citation precision and ungrounded rate) survived that test, but retrieval recall halved on the unfamiliar text.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provides triangulation against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production-quality follow-up evaluation would employ at least two independent domain-expert raters, full blinding, and per-item ratings stored at collection time, as recommended by Es et al. (2023).</w:t>
      </w:r>
    </w:p>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private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If access to the private repository is required for marking verification, please contact the author via university email to be granted read access.)</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Every source is published under the Open Government Licence v3.0 and contains no personal data.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p>
      <w:pPr>
        <w:jc w:val="both"/>
      </w:pPr>
      <w:r>
        <w:t xml:space="preserve">The earliest entries below (Oct 2024 – Feb 2025) are from a self-directed exploratory phase that pre-dated my formal COMP3931 enrolment in the 2025/26 academic year. I kept the log running across that whole period so that nothing about the project’s actual development history is hidden. The formal report-writing phase (the Apr 2026 row) is the only entry that involved AI assistance with the report itself rather than the codebase.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LLM-based writing assistant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axis) so that I could actually compute an inter-rater agreement number.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end up around α = 0.74, which by Krippendorff’s informal cut-off (α ≥ 0.667) is in the</w:t>
      </w:r>
      <w:r>
        <w:t xml:space="preserve"> </w:t>
      </w:r>
      <w:r>
        <w:t xml:space="preserve">“tentative agreement”</w:t>
      </w:r>
      <w:r>
        <w:t xml:space="preserve"> </w:t>
      </w:r>
      <w:r>
        <w:t xml:space="preserve">band. The other two axes drop below that, but for two different reasons that I had to look at carefully. Groundedness is a textbook</w:t>
      </w:r>
      <w:r>
        <w:t xml:space="preserve"> </w:t>
      </w:r>
      <w:r>
        <w:rPr>
          <w:b/>
          <w:bCs/>
        </w:rPr>
        <w:t xml:space="preserve">ceiling-effect</w:t>
      </w:r>
      <w:r>
        <w:t xml:space="preserve"> </w:t>
      </w:r>
      <w:r>
        <w:t xml:space="preserve">case: 117 of the 120 Likert scores are either 4 or 5, and the binned pairwise agreement is 100%; the Krippendorff value comes out low not because reviewers disagreed but because there was so little variance for the metric to work with. Citation Usefulness has more genuine spread — reviewers sometimes disagreed by a point or two on whether a citation was</w:t>
      </w:r>
      <w:r>
        <w:t xml:space="preserve"> </w:t>
      </w:r>
      <w:r>
        <w:rPr>
          <w:i/>
          <w:iCs/>
        </w:rPr>
        <w:t xml:space="preserve">useful for verification</w:t>
      </w:r>
      <w:r>
        <w:t xml:space="preserve"> </w:t>
      </w:r>
      <w:r>
        <w:t xml:space="preserve">or just</w:t>
      </w:r>
      <w:r>
        <w:t xml:space="preserve"> </w:t>
      </w:r>
      <w:r>
        <w:rPr>
          <w:i/>
          <w:iCs/>
        </w:rPr>
        <w:t xml:space="preserve">present</w:t>
      </w:r>
      <w:r>
        <w:t xml:space="preserve">. The Round 2 means come out within about 0.5 of the Round 1 aggregates on every axis but are uniformly slightly lower; the cause is structural rather than substantive. In Round 1 each reviewer gave one number per axis as an overall impression of the 20 cases, while Round 2 averages 120 (participant, query) scores. Per-query averaging gives equal weight to the four over-abstention queries (Q09-Q12, where reviewers consistently scored Correctness and Usefulness 1-3), so those cases pull the per-axis means down rather than being smoothed out by overall impression. The Round 1 aggregate (Table B.3) and the Round 2 per-query CSV (</w:t>
      </w:r>
      <w:r>
        <w:rPr>
          <w:rStyle w:val="VerbatimChar"/>
        </w:rPr>
        <w:t xml:space="preserve">anonymised_scores.csv</w:t>
      </w:r>
      <w:r>
        <w:t xml:space="preserve"> </w:t>
      </w:r>
      <w:r>
        <w:t xml:space="preserve">and</w:t>
      </w:r>
      <w:r>
        <w:t xml:space="preserve"> </w:t>
      </w:r>
      <w:r>
        <w:rPr>
          <w:rStyle w:val="VerbatimChar"/>
        </w:rPr>
        <w:t xml:space="preserve">per_query_anonymised_scores.csv</w:t>
      </w:r>
      <w:r>
        <w:t xml:space="preserve"> </w:t>
      </w:r>
      <w:r>
        <w:t xml:space="preserve">under</w:t>
      </w:r>
      <w:r>
        <w:t xml:space="preserve"> </w:t>
      </w:r>
      <w:r>
        <w:rPr>
          <w:rStyle w:val="VerbatimChar"/>
        </w:rPr>
        <w:t xml:space="preserve">docs/evidence/human_eval/</w:t>
      </w:r>
      <w:r>
        <w:t xml:space="preserve">) are both archived; neither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production-quality follow-up would employ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production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the safety property of returning verbatim corpus paragraphs is confirmed empirically.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rates are reported as</w:t>
      </w:r>
      <w:r>
        <w:t xml:space="preserve"> </w:t>
      </w:r>
      <w:r>
        <w:rPr>
          <w:rStyle w:val="VerbatimChar"/>
        </w:rPr>
        <w:t xml:space="preserve">n/a</w:t>
      </w:r>
      <w:r>
        <w:t xml:space="preserve"> </w:t>
      </w:r>
      <w:r>
        <w:t xml:space="preserve">rather than fabricated,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will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2026-05-06T19:27:47Z</dcterms:created>
  <dcterms:modified xsi:type="dcterms:W3CDTF">2026-05-06T19:27:47Z</dcterms:modified>
</cp:coreProperties>
</file>

<file path=docProps/custom.xml><?xml version="1.0" encoding="utf-8"?>
<Properties xmlns="http://schemas.openxmlformats.org/officeDocument/2006/custom-properties" xmlns:vt="http://schemas.openxmlformats.org/officeDocument/2006/docPropsVTypes"/>
</file>