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queries, 17 unanswerable queries, and 10 contradiction probes, with 44 held out for testing. On the test split, B3-Generative reports a 0.0% response-level ungrounded rate. This result needs careful interpretation. It does not show that the LLM never produced unsupported text; it shows that responses failing the support-rate check were converted into abstentions before reaching the user. The same configuration reaches 94.1% abstention accuracy on the 12 unanswerable test queries, above the 80% target, although the small sample makes the confidence interval wide.</w:t>
      </w:r>
    </w:p>
    <w:p>
      <w:pPr>
        <w:jc w:val="both"/>
      </w:pPr>
      <w:r>
        <w:t xml:space="preserve">The main cost is coverage. B3-Generative answers only 25% of test queries, well below the 85% target. Extractive Mode recovers most of that coverage with an 89% answer rate, 100% citation precision and 100% abstention accuracy, but it does so by returning quoted evidence rather than synthesised answers. The heuristic Critic Mode reaches 93.7% macro precision, 78.5% macro recall and 84.8% macro F1, just below the 85% target. Overall, the results support the safety argument on a controlled synthetic corpus, while also showing that recall, coverage and transfer to messier documents remain the main limitations.</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39 test files / 194 cases (193 pass, 1 conditionally skipped) (193 pass, 1 conditionally skipped)</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 39 test files and 194 cases (193 pass, 1 conditionally skipped) (</w:t>
      </w:r>
      <w:r>
        <w:rPr>
          <w:rStyle w:val="VerbatimChar"/>
        </w:rPr>
        <w:t xml:space="preserve">pytest</w:t>
      </w:r>
      <w:r>
        <w:t xml:space="preserve">) organised in three tiers: unit (functions in isolation), integration (pipeline stage interactions), and system (end-to-end and reproducibility). All 193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I added a small peer-review check because the automated metrics do not show how useful or trustworthy the answers feel to a reader. Six peer volunteers (three Final-Year BSc and three MSc Computer Science students, outside the project supervisory chain) each scored 20 B3-Generative query / output pairs between 14 and 18 April 2026 using a 1-to-5 Likert rubric: Correctness, Groundedness, Citation Usefulness, Usefulness, and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using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test the system on text I had not written myself, I ran the same B3 pipeline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contains 8 documents, 249 paragraphs, and a 20-query test set: 12 answerable, 4 unanswerable, and 4 ambiguous-evidence cases. Provenance, licence, and access dates are recorded in Appendix B.11. Because no LLM API key was used in this run, only B3-Extractive is reported; a generative transfer test remains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Citation Precision stayed at 100% because answers are quoted from the cited paragraph, and Ungrounded Rate stayed at 0%. Coverage was also similar to the synthetic test split, with a 91.7% Answer Rate compared with 89%. The weaker result is retrieval. Evidence Recall@5 dropped from 85% to 52.1%, and one unanswerable query about Cisco router configuration was answered too confidently because BM25 matched NCSC device-security guidance on the word</w:t>
      </w:r>
      <w:r>
        <w:t xml:space="preserve"> </w:t>
      </w:r>
      <w:r>
        <w:t xml:space="preserve">“configure”</w:t>
      </w:r>
      <w:r>
        <w:t xml:space="preserve">. So the transfer test supports the conservative grounding behaviour of Extractive Mode, but it does not prove broad transfer.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is the final reported figure because it comes from the BM25 fallback run used in the reproducibility environment. The earlier dense-retrieval development result is still useful diagnostically: it shows that the architecture performed better when the intended dense backend was available, but it should not replace the final benchmark number. Objective 3 is therefore reported as below target, with the dense result used only to explain where the shortfall came from.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target, but a quoted paragraph is not the same kind of answer as a synthesised response, so I have marked Objective 2 as partially met rather than met. Objective 5 misses by 0.2 percentage points due to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That makes it easier to defend, although the response is less natural. In Generative Mode, the answer is more useful when it works, but the system has to rely on verification and the support-rate gate to decide whether the generated text is safe enough to show. The 0.0% headline ungrounded rate is therefore a result of the enforcement layer, not evidence that the LLM itself never hallucinated.</w:t>
      </w:r>
    </w:p>
    <w:p>
      <w:pPr>
        <w:jc w:val="both"/>
      </w:pPr>
      <w:r>
        <w:t xml:space="preserve">Taken together, the results support a narrow but useful claim. On this synthetic corpus, refusing low-confidence answers, checking whether cited paragraphs actually support generated claims, and surfacing contradictions reduced unsupported answers compared with a standard RAG baseline. The important caveat is that the coverage / precision balance would need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configuration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under the documented evaluator command,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was used in an assistive role during development, debugging, planning, structuring, project-data generation, and review. The tools were not used as a replacement author and were not treated as authoritative sources.</w:t>
      </w:r>
    </w:p>
    <w:bookmarkStart w:id="96"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193 automated tests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39 test files / 193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2026-05-12T23:19:15Z</dcterms:created>
  <dcterms:modified xsi:type="dcterms:W3CDTF">2026-05-12T23:19:15Z</dcterms:modified>
</cp:coreProperties>
</file>

<file path=docProps/custom.xml><?xml version="1.0" encoding="utf-8"?>
<Properties xmlns="http://schemas.openxmlformats.org/officeDocument/2006/custom-properties" xmlns:vt="http://schemas.openxmlformats.org/officeDocument/2006/docPropsVTypes"/>
</file>