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Taken together, these five evaluation rungs support a narrow but defensible claim: a strict</w:t>
      </w:r>
      <w:r>
        <w:t xml:space="preserve"> </w:t>
      </w:r>
      <w:r>
        <w:t xml:space="preserve">“cited or silent”</w:t>
      </w:r>
      <w:r>
        <w:t xml:space="preserve"> </w:t>
      </w:r>
      <w:r>
        <w:t xml:space="preserve">RAG configuration can reduce unsupported surfaced answers, but only by accepting a clear coverage-versus-safety trade-off.</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pPr>
      <w:hyperlink w:anchor="future-work">
        <w:r>
          <w:rPr>
            <w:rFonts w:ascii="Times New Roman" w:hAnsi="Times New Roman" w:cs="Times New Roman"/>
            <w:sz w:val="22"/>
            <w:color w:val="000000"/>
            <w:u w:val="none"/>
          </w:rPr>
          <w:t xml:space="preserve">5.3 Future Work</w:t>
        </w:r>
      </w:hyperlink>
    </w:p>
    <w:p>
      <w:pPr>
        <w:spacing w:line="288" w:lineRule="auto" w:before="0" w:after="40"/>
        <w:ind w:left="640"/>
        <w:jc w:val="both"/>
      </w:pPr>
      <w:hyperlink w:anchor="reflection">
        <w:r>
          <w:rPr>
            <w:rFonts w:ascii="Times New Roman" w:hAnsi="Times New Roman" w:cs="Times New Roman"/>
            <w:sz w:val="22"/>
            <w:color w:val="000000"/>
            <w:u w:val="none"/>
          </w:rPr>
          <w:t xml:space="preserve">5.4 Reflection</w:t>
        </w:r>
      </w:hyperlink>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43</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51</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56</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59</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49</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retrieval metrics under BM25 fallback</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Synthetic test split versus public-guidance transfer set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54</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56</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59</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let me build specific evaluation cases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Deliberate contradictions were injected during corpus construction, for example differing password-rotation periods.</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292 tests under the documented</w:t>
      </w:r>
      <w:r>
        <w:t xml:space="preserve"> </w:t>
      </w:r>
      <w:r>
        <w:rPr>
          <w:rStyle w:val="VerbatimChar"/>
        </w:rPr>
        <w:t xml:space="preserve">pytest -q --ignore=tests/test_run_eval_requires_key_in_generative.py</w:t>
      </w:r>
      <w:r>
        <w:t xml:space="preserve"> </w:t>
      </w:r>
      <w:r>
        <w:t xml:space="preserve">command: 290 pass and 2 are conditionally skipped. The 49 test files are organised in three tiers: unit (functions in isolation), integration (pipeline stage interactions), and system (end-to-end and reproducibility). The suite executes in under 10 s on consumer hardware. Coverage spans the pipeline’s reliability surfaces: ingestion ID stability, retrieval correctness, verifier behaviour on paraphrase and numeric edge cases, schema repair-and-retry, abstention thresholding, contradiction surfacing, and end-to-end integration of both the generative and extractive paths.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development split was used only for threshold tuning (§4.5). B1, B2 and B3-Generative were evaluated across the full golden set, while B3-Extractive was evaluated on the held-out test split. The tables below state the relevant split for each row so that the metrics are not compared as if they came from identical denominators.</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the retained outputs replayed against corrected labels (no new LLM calls); B3-Extractive and B4 use the new hybrid (dense+BM25 RRF) backend.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B4 configurations.</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Note: the hybrid backend recovers most of the retrieval-quality gap that the prior BM25 report documented as a residual limitation — Recall@5 improves by 5pp and MRR by 11 points.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0.50 (up from 0.40 with the legacy detector, and 0.20 on the BM25-replay run); precision is 0.185 (marginally below 0.19), F1 rises to 0.270 (</w:t>
      </w:r>
      <w:r>
        <w:rPr>
          <w:rStyle w:val="VerbatimChar"/>
        </w:rPr>
        <w:t xml:space="preserve">results/tables/contradiction_evaluation_v2.csv</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4.4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w:t>
      </w:r>
      <w:r>
        <w:t xml:space="preserve"> </w:t>
      </w:r>
      <w:r>
        <w:t xml:space="preserve">Because the final reproducible run uses the BM25 fallback backend (§3.3), I replayed the post-LLM support-rate gate over the retained B3-Generative</w:t>
      </w:r>
      <w:r>
        <w:t xml:space="preserve"> </w:t>
      </w:r>
      <w:r>
        <w:rPr>
          <w:rStyle w:val="VerbatimChar"/>
        </w:rPr>
        <w:t xml:space="preserve">outputs.jsonl</w:t>
      </w:r>
      <w:r>
        <w:t xml:space="preserve"> </w:t>
      </w:r>
      <w:r>
        <w:t xml:space="preserve">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[0.70, 1.00], over which Answer Rate is constant at 25.0%, Abstention Accuracy at 94.1%,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0.70 to 45% at τ = 0.65,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synthetic benchmark, not a replacement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Synthetic test split versus public-guidance transfer set (Extractive Mode).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also similar to the synthetic test split, with a 91.7% Answer Rate compared with 88%. The weaker result is retrieval. Evidence Recall@5 fell from 73.4% on the synthetic test split to 52.1% on the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golden set is small, bootstrapped 95% confidence intervals were computed for the headline B3-Generative metrics.</w:t>
      </w:r>
    </w:p>
    <w:p>
      <w:pPr>
        <w:jc w:val="both"/>
      </w:pPr>
    </w:p>
    <w:p>
      <w:pPr>
        <w:jc w:val="both"/>
      </w:pPr>
      <w:r>
        <w:rPr>
          <w:b/>
          <w:bCs/>
          <w:sz w:val="21"/>
        </w:rPr>
        <w:t xml:space="preserve">Table 4.11: 95% bootstrap CIs for B3-Generative headline metrics. Each metric is bootstrapped over its own per-query denominator (Answer Rate over the 36 answerable queries; Abstention Accuracy over the 17 unanswerable queries; Evidence Recall@5 over the 46 queries with non-empty</w:t>
      </w:r>
      <w:r>
        <w:rPr>
          <w:b/>
          <w:bCs/>
          <w:sz w:val="21"/>
        </w:rPr>
        <w:t xml:space="preserve"> </w:t>
      </w:r>
      <w:r>
        <w:rPr>
          <w:rStyle w:val="VerbatimChar"/>
          <w:b/>
          <w:bCs/>
          <w:sz w:val="21"/>
        </w:rPr>
        <w:t xml:space="preserve">gold_paragraph_ids</w:t>
      </w:r>
      <w:r>
        <w:rPr>
          <w:b/>
          <w:bCs/>
          <w:sz w:val="21"/>
        </w:rPr>
        <w:t xml:space="preserve">), seed = 42, n_resamples = 2,000. The values are produced by the committed bootstrap script and stored with the submitted results tables.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[11.1%, 38.9%]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[82.4%,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46 queries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[65.2%, 82.6%]</w:t>
            </w:r>
          </w:p>
        </w:tc>
      </w:tr>
    </w:tbl>
    <w:p>
      <w:pPr>
        <w:jc w:val="both"/>
      </w:pPr>
      <w:r>
        <w:t xml:space="preserve">The wide Answer Rate CI reflects the small number of answered queries (9 of 36); Abstention Accuracy’s upper bound at 100% indicates a ceiling effect. With n = 63, all point estimates in this chapter are indicative rather than definitive, and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B3-Extractive (92.5%); substantially closed by B5 (90.0%) under all safety floors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 to target;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all-split, n=13 unanswerable); 76.9% (Ext, hybrid, all-split)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in Gen and B4;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(for B3-Generative, B4, and B5), and the harness all meet their targets on the corrected v2 set. Objective 2 is met by B3-Extractive on hybrid (92.5%) and substantially closed by B5 Evidence-Gated Hybrid (90.0%) while preserving all safety floors; B4 raises generative-first answer rate from 25% to 50% but does not reach the 85% generative target. Objective 3 reaches 78%, two points below target, with a 95%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Strict surfaced grounding can be combined with better coverage in this closed-corpus setting, with the cost paid as controlled extractive degradation rather than relaxed safety.</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limitations above suggest a prioritised future-work programme. The nearest technical step is NLI-based verification, using FEVER-style or SciFact-style entailment models as a backstop for borderline claims (Thorne et al., 2018; Wadden et al., 2020), which directly addresses the heuristic-verification ceiling in L3. The second priority is backend-specific threshold tuning and domain-adapted embeddings, drawing on legal NLP corpora to reduce vocabulary-mismatch failures (Chalkidis et al., 2020). A stronger evaluation would expand the golden set to 200+ annotated queries, compare at least two LLM families, and validate on a real organisational policy corpus with an industry partner. Looking back, designing the evaluation was harder than implementing the reliability features: a safety-first RAG system cannot be judged by answer rate alone, and refusing often had to be reported honestly as both a strength and a limitation.</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across the 17 unanswerable queries in the full golden set (</w:t>
      </w:r>
      <w:r>
        <w:rPr>
          <w:rStyle w:val="VerbatimChar"/>
        </w:rPr>
        <w:t xml:space="preserve">split=all</w:t>
      </w:r>
      <w:r>
        <w:t xml:space="preserve">), but only at a 25.0% Answer Rate across all 63 queries.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292 tests under the documented evaluator command (290 passed, 2 conditionally skipped) across 49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290 passed, 2 skipped in 7.39s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single skipped test is</w:t>
      </w:r>
      <w:r>
        <w:t xml:space="preserve"> </w:t>
      </w:r>
      <w:r>
        <w:rPr>
          <w:rStyle w:val="VerbatimChar"/>
        </w:rPr>
        <w:t xml:space="preserve">test_exits_2_when_dense_index_missing</w:t>
      </w:r>
      <w:r>
        <w:t xml:space="preserve">, which is conditionally skipped when the</w:t>
      </w:r>
      <w:r>
        <w:t xml:space="preserve"> </w:t>
      </w:r>
      <w:r>
        <w:rPr>
          <w:rStyle w:val="VerbatimChar"/>
        </w:rPr>
        <w:t xml:space="preserve">[ml]</w:t>
      </w:r>
      <w:r>
        <w:t xml:space="preserve"> </w:t>
      </w:r>
      <w:r>
        <w:t xml:space="preserve">optional dependencies are installed (i.e. when a dense index could in principle be constructed).</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4.4)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τ = 1.00, Answer Rate 25.0%, Abstention Accuracy 94.1%, response-level Ungrounded Rate 0.0%, n_answered = 12, n_abstained = 51. The selection rule’s feasible region under the dual safety constraints is τ ∈ [0.70,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0.65 the constraint that fails first is response-level Ungrounded Rate, which jumps to 45% at τ = 0.65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[0.70,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80% safety floor is satisfied at 3/4 = 0.75 or 4/4 = 1.0. The selection rule keeps configurations whose dev abstention accuracy ≥ 0.75 AND whose full-set projection satisfies the headline 80%/95%/5% floors, then maximises full-set Answer Rate projection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49 test files collect 292 pytest cases under the documented evaluator command (290 passed, 2 conditionally skipped); the 19 files listed below are representative files cited from the report body, while the remaining files cover additional edge cases and infrastructure checks.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2026-05-14T11:06:08Z</dcterms:created>
  <dcterms:modified xsi:type="dcterms:W3CDTF">2026-05-14T11:06:08Z</dcterms:modified>
</cp:coreProperties>
</file>

<file path=docProps/custom.xml><?xml version="1.0" encoding="utf-8"?>
<Properties xmlns="http://schemas.openxmlformats.org/officeDocument/2006/custom-properties" xmlns:vt="http://schemas.openxmlformats.org/officeDocument/2006/docPropsVTypes"/>
</file>