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t xml:space="preserve">School of Computer Science</w:t>
      </w:r>
    </w:p>
    <w:p>
      <w:pPr>
        <w:jc w:val="center"/>
      </w:pPr>
      <w:r>
        <w:t xml:space="preserve">FACULTY OF ENGINEERING AND PHYSICAL SCIENCES</w:t>
      </w:r>
    </w:p>
    <w:p>
      <w:pPr>
        <w:jc w:val="center"/>
      </w:pPr>
    </w:p>
    <w:p>
      <w:pPr>
        <w:jc w:val="center"/>
      </w:pPr>
      <w:r>
        <w:t xml:space="preserve">Final Report</w:t>
      </w:r>
    </w:p>
    <w:p>
      <w:pPr>
        <w:jc w:val="center"/>
      </w:pPr>
    </w:p>
    <w:bookmarkStart w:id="32" w:name="audit-ready-policy-copilot"/>
    <w:p>
      <w:pPr>
        <w:jc w:val="center"/>
      </w:pPr>
      <w:r>
        <w:rPr>
          <w:b/>
          <w:sz w:val="44"/>
        </w:rPr>
        <w:t xml:space="preserve">Audit-Ready Policy Copilot</w:t>
      </w:r>
    </w:p>
    <w:bookmarkStart w:id="3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t xml:space="preserve">Nathaniel Sebastian</w:t>
      </w:r>
    </w:p>
    <w:p>
      <w:pPr>
        <w:jc w:val="center"/>
      </w:pPr>
      <w:r>
        <w:t xml:space="preserve">Student ID: 201715051</w:t>
      </w:r>
    </w:p>
    <w:p>
      <w:pPr>
        <w:jc w:val="center"/>
      </w:pPr>
    </w:p>
    <w:p>
      <w:pPr>
        <w:jc w:val="center"/>
      </w:pPr>
      <w:r>
        <w:t xml:space="preserve">Submitted in accordance with the requirements for the degree of</w:t>
      </w:r>
      <w:r>
        <w:br/>
      </w:r>
      <w:r>
        <w:t xml:space="preserve">BSc (Hons) Computer Science</w:t>
      </w:r>
    </w:p>
    <w:p>
      <w:pPr>
        <w:jc w:val="center"/>
      </w:pPr>
    </w:p>
    <w:p>
      <w:pPr>
        <w:jc w:val="center"/>
      </w:pPr>
      <w:r>
        <w:t xml:space="preserve">2025/26</w:t>
      </w:r>
    </w:p>
    <w:p>
      <w:pPr>
        <w:jc w:val="center"/>
      </w:pPr>
    </w:p>
    <w:p>
      <w:pPr>
        <w:jc w:val="center"/>
      </w:pPr>
      <w:r>
        <w:t xml:space="preserve">COMP3931 Individual Project</w:t>
      </w:r>
    </w:p>
    <w:p>
      <w:pPr>
        <w:jc w:val="center"/>
      </w:pPr>
      <w:r>
        <w:t xml:space="preserve"> </w:t>
      </w:r>
    </w:p>
    <w:p>
      <w:pPr>
        <w:jc w:val="center"/>
      </w:pPr>
      <w:r>
        <w:t xml:space="preserve">© 2026 The University of Leeds and Nathaniel Sebastian</w:t>
      </w:r>
    </w:p>
    <w:bookmarkEnd w:id="31"/>
    <w:bookmarkEnd w:id="32"/>
    <w:bookmarkStart w:id="3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bl>
    <w:p>
      <w:pPr>
        <w:jc w:val="center"/>
      </w:pPr>
      <w:r>
        <w:t xml:space="preserve">The main chapters (Chapters 1 to 5) are presented before the references and appendices; preliminary pages, references, and appendices are excluded from the main report body count. A fresh install using the evaluator path in</w:t>
      </w:r>
      <w:r>
        <w:t xml:space="preserve"> </w:t>
      </w:r>
      <w:r>
        <w:rPr>
          <w:rStyle w:val="VerbatimChar"/>
        </w:rPr>
        <w:t xml:space="preserve">INSTRUCTIONS_FOR_EVALUATOR.md</w:t>
      </w:r>
      <w:r>
        <w:t xml:space="preserve"> </w:t>
      </w:r>
      <w:r>
        <w:t xml:space="preserve">(</w:t>
      </w:r>
      <w:r>
        <w:rPr>
          <w:rStyle w:val="VerbatimChar"/>
        </w:rPr>
        <w:t xml:space="preserve">pip install -e ".[dev]"</w:t>
      </w:r>
      <w:r>
        <w:t xml:space="preserve">, then</w:t>
      </w:r>
      <w:r>
        <w:t xml:space="preserve"> </w:t>
      </w:r>
      <w:r>
        <w:rPr>
          <w:rStyle w:val="VerbatimChar"/>
        </w:rPr>
        <w:t xml:space="preserve">pytest</w:t>
      </w:r>
      <w:r>
        <w:t xml:space="preserve">,</w:t>
      </w:r>
      <w:r>
        <w:t xml:space="preserve"> </w:t>
      </w:r>
      <w:r>
        <w:rPr>
          <w:rStyle w:val="VerbatimChar"/>
        </w:rPr>
        <w:t xml:space="preserve">scripts/reproduce_offline.py</w:t>
      </w:r>
      <w:r>
        <w:t xml:space="preserve">, and</w:t>
      </w:r>
      <w:r>
        <w:t xml:space="preserve"> </w:t>
      </w:r>
      <w:r>
        <w:rPr>
          <w:rStyle w:val="VerbatimChar"/>
        </w:rPr>
        <w:t xml:space="preserve">scripts/verify_artifacts.py</w:t>
      </w:r>
      <w:r>
        <w:t xml:space="preserve">) verifies the shipped offline artefacts and regenerates the offline-safe evaluation outputs on a consumer laptop. API-dependent generative runs (B1 / B2 / B3-Generative) are represented by retained run artefacts under</w:t>
      </w:r>
      <w:r>
        <w:t xml:space="preserve"> </w:t>
      </w:r>
      <w:r>
        <w:rPr>
          <w:rStyle w:val="VerbatimChar"/>
        </w:rPr>
        <w:t xml:space="preserve">results/runs/</w:t>
      </w:r>
      <w:r>
        <w:t xml:space="preserve"> </w:t>
      </w:r>
      <w:r>
        <w:t xml:space="preserve">and are documented separately.</w:t>
      </w:r>
    </w:p>
    <w:bookmarkEnd w:id="33"/>
    <w:bookmarkStart w:id="3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 Nathaniel Sebastian ………………………………………………</w:t>
      </w:r>
    </w:p>
    <w:p>
      <w:pPr>
        <w:jc w:val="both"/>
      </w:pPr>
      <w:r>
        <w:t xml:space="preserve">(Date) 13 May 2026 …………………………………………………</w:t>
      </w:r>
    </w:p>
    <w:bookmarkEnd w:id="34"/>
    <w:bookmarkStart w:id="35" w:name="summary"/>
    <w:p>
      <w:pPr>
        <w:pStyle w:val="Heading1"/>
        <w:pageBreakBefore/>
      </w:pPr>
      <w:r>
        <w:t xml:space="preserve">Summary</w:t>
      </w:r>
    </w:p>
    <w:p>
      <w:pPr>
        <w:jc w:val="both"/>
      </w:pPr>
      <w:r>
        <w:t xml:space="preserve">Policy Copilot is a conservative question-answering system over organisational policy documents. It answers only when the supporting evidence is strong enough to cite, and abstains otherwise. The contribution is a reproducible reliability stack wrapped around standard Retrieval-Augmented Generation, used to characterise the safety–coverage operating frontier of a strict</w:t>
      </w:r>
      <w:r>
        <w:t xml:space="preserve"> </w:t>
      </w:r>
      <w:r>
        <w:t xml:space="preserve">“cited or silent”</w:t>
      </w:r>
      <w:r>
        <w:t xml:space="preserve"> </w:t>
      </w:r>
      <w:r>
        <w:t xml:space="preserve">system: reranking, abstention, deterministic per-claim verification, contradiction surfacing, and audit export.</w:t>
      </w:r>
    </w:p>
    <w:p>
      <w:pPr>
        <w:jc w:val="both"/>
      </w:pPr>
      <w:r>
        <w:t xml:space="preserve">The setting matters because organisations rely on internal policy documents such as handbooks, IT security addenda, and data-protection guidelines to govern day-to-day decisions. Large Language Models can answer such questions fluently, but in a compliance setting hallucination is not just a quality problem; it is a traceability problem, because a confident wrong answer cannot be audited backwards to a source paragraph.</w:t>
      </w:r>
    </w:p>
    <w:p>
      <w:pPr>
        <w:jc w:val="both"/>
      </w:pPr>
      <w:r>
        <w:t xml:space="preserve">Concretely, the pipeline adds five reliability layers to standard RAG: cross-encoder reranking that produces the confidence signal used by the abstention gate; deterministic refusal before any LLM call when that signal is too low; per-claim citation verification by token overlap rather than a second LLM (which keeps the check reproducible); contradiction surfacing across documents; and an Extractive Fallback Mode that returns the top-ranked evidence paragraph verbatim when the LLM is unavailable.</w:t>
      </w:r>
    </w:p>
    <w:p>
      <w:pPr>
        <w:jc w:val="both"/>
      </w:pPr>
      <w:r>
        <w:t xml:space="preserve">The system was evaluated on a 63-query synthetic golden set. A label-audit pass (Appendix B.7.5) reclassified four queries previously labelled</w:t>
      </w:r>
      <w:r>
        <w:t xml:space="preserve"> </w:t>
      </w:r>
      <w:r>
        <w:rPr>
          <w:rStyle w:val="VerbatimChar"/>
        </w:rPr>
        <w:t xml:space="preserve">unanswerable</w:t>
      </w:r>
      <w:r>
        <w:t xml:space="preserve"> </w:t>
      </w:r>
      <w:r>
        <w:t xml:space="preserve">whose answer is in fact in the corpus; the corrected set has 40 answerable / 13 unanswerable / 10 contradiction. On this corrected set B3-Generative reports 0% surfaced response-level ungrounded answers after enforcement (with a 4% residual claim-level rate before enforcement) and 100% abstention accuracy across the 13 unanswerable queries.</w:t>
      </w:r>
    </w:p>
    <w:p>
      <w:pPr>
        <w:jc w:val="both"/>
      </w:pPr>
      <w:r>
        <w:t xml:space="preserve">B3-Generative answers only 25% of the corrected queries. Two further configurations widen coverage without weakening safety. B4 Conservative Hybrid Mode returns the generative answer when the support gate passes, falls back to an extractive paragraph when generation is unsafe but retrieval is strong, and abstains otherwise: 50% Answer Rate, 100% Abstention Accuracy, 0% surfaced Ungrounded Rate, 100% Citation Precision. B5 Evidence-Gated Hybrid is the project’s final headline mode: a deterministic, LLM-free answerability gate (rerank floor, lexical-overlap floor, qualifier-missing anomaly check, numeric-evidence check) over the B3-Extractive Hybrid pipeline, tuned on the dev split only; it reaches 90.0% Answer Rate, 84.6% Abstention Accuracy, 100% Citation Precision and 0% surfaced Ungrounded Rate on the corrected v2 set. B3-Extractive on the new hybrid backend (dense FAISS + BM25 via RRF) reaches 92.5% answer rate with 78% Evidence Recall@5 and 100% citation precision. The heuristic Critic Mode reaches 93.3% / 95.2% / 93.8% macro P/R/F1 on the 50-snippet labelled suite, above the 85% target.</w:t>
      </w:r>
    </w:p>
    <w:p>
      <w:pPr>
        <w:jc w:val="both"/>
      </w:pPr>
      <w:r>
        <w:t xml:space="preserve">Overall, the project supports a narrow but useful conclusion: audit-friendly policy QA is achievable on modest hardware, but only when coverage, abstention and citation precision are treated as an explicit operating trade-off rather than as independent leaderboard scores.</w:t>
      </w:r>
    </w:p>
    <w:bookmarkEnd w:id="35"/>
    <w:bookmarkStart w:id="3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bookmarkEnd w:id="36"/>
    <w:bookmarkStart w:id="3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30</w:t>
      </w:r>
    </w:p>
    <w:p>
      <w:pPr>
        <w:spacing w:line="288" w:lineRule="auto" w:before="0" w:after="40"/>
        <w:ind w:left="640"/>
        <w:jc w:val="both"/>
        <w:tabs>
          <w:tab w:val="right" w:leader="dot" w:pos="8060"/>
        </w:tabs>
      </w:pPr>
      <w:hyperlink w:anchor="future-work-and-reflection">
        <w:r>
          <w:rPr>
            <w:rFonts w:ascii="Times New Roman" w:hAnsi="Times New Roman" w:cs="Times New Roman"/>
            <w:sz w:val="22"/>
            <w:color w:val="000000"/>
            <w:u w:val="none"/>
          </w:rPr>
          <w:t xml:space="preserve">5.3 Future Work and Reflection</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54</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57</w:t>
      </w:r>
    </w:p>
    <w:p>
      <w:pPr>
        <w:spacing w:line="288" w:lineRule="auto" w:before="0" w:after="40"/>
        <w:ind w:left="640"/>
        <w:jc w:val="both"/>
        <w:tabs>
          <w:tab w:val="right" w:leader="dot" w:pos="8060"/>
        </w:tabs>
      </w:pPr>
      <w:hyperlink w:anchor="X5532cf3a175e2089dfac91e42eccb777b60a359">
        <w:r>
          <w:rPr>
            <w:rFonts w:ascii="Times New Roman" w:hAnsi="Times New Roman" w:cs="Times New Roman"/>
            <w:sz w:val="22"/>
            <w:color w:val="000000"/>
            <w:u w:val="none"/>
          </w:rPr>
          <w:t xml:space="preserve">B.12 Adversarial and Audit Export Evidence (referenced from L5 and §4.4)</w:t>
        </w:r>
      </w:hyperlink>
      <w:r>
        <w:rPr>
          <w:rFonts w:ascii="Times New Roman" w:hAnsi="Times New Roman" w:cs="Times New Roman"/>
          <w:sz w:val="22"/>
          <w:color w:val="000000"/>
          <w:u w:val="none"/>
        </w:rPr>
        <w:tab/>
        <w:t xml:space="preserve">58</w:t>
      </w:r>
    </w:p>
    <w:p>
      <w:pPr>
        <w:spacing w:line="288" w:lineRule="auto" w:before="0" w:after="40"/>
        <w:ind w:left="640"/>
        <w:jc w:val="both"/>
        <w:tabs>
          <w:tab w:val="right" w:leader="dot" w:pos="8060"/>
        </w:tabs>
      </w:pPr>
      <w:hyperlink w:anchor="Xfa64450973ec02010b41142dcebae655aafd61a">
        <w:r>
          <w:rPr>
            <w:rFonts w:ascii="Times New Roman" w:hAnsi="Times New Roman" w:cs="Times New Roman"/>
            <w:sz w:val="22"/>
            <w:color w:val="000000"/>
            <w:u w:val="none"/>
          </w:rPr>
          <w:t xml:space="preserve">B.13 Threats to Validity Summary (referenced from §5.2)</w:t>
        </w:r>
      </w:hyperlink>
      <w:r>
        <w:rPr>
          <w:rFonts w:ascii="Times New Roman" w:hAnsi="Times New Roman" w:cs="Times New Roman"/>
          <w:sz w:val="22"/>
          <w:color w:val="000000"/>
          <w:u w:val="none"/>
        </w:rPr>
        <w:tab/>
        <w:t xml:space="preserve">60</w:t>
      </w:r>
    </w:p>
    <w:bookmarkEnd w:id="37"/>
    <w:bookmarkStart w:id="3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fig-b-4">
        <w:r>
          <w:rPr>
            <w:rFonts w:ascii="Times New Roman" w:hAnsi="Times New Roman" w:cs="Times New Roman"/>
            <w:sz w:val="22"/>
            <w:color w:val="000000"/>
            <w:u w:val="none"/>
          </w:rPr>
          <w:t xml:space="preserve">Figure B.4 BM25-fallback support-rate retuning: operating points under safety constraints</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fig-b-5">
        <w:r>
          <w:rPr>
            <w:rFonts w:ascii="Times New Roman" w:hAnsi="Times New Roman" w:cs="Times New Roman"/>
            <w:sz w:val="22"/>
            <w:color w:val="000000"/>
            <w:u w:val="none"/>
          </w:rPr>
          <w:t xml:space="preserve">Figure B.5 Baseline comparison on the corrected v2 golden set with the hybrid backend</w:t>
        </w:r>
      </w:hyperlink>
      <w:r>
        <w:rPr>
          <w:rFonts w:ascii="Times New Roman" w:hAnsi="Times New Roman" w:cs="Times New Roman"/>
          <w:sz w:val="22"/>
          <w:color w:val="000000"/>
          <w:u w:val="none"/>
        </w:rPr>
        <w:tab/>
        <w:t xml:space="preserve">50</w:t>
      </w:r>
    </w:p>
    <w:bookmarkEnd w:id="38"/>
    <w:bookmarkStart w:id="3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Retrieval metrics under BM25 fallback and hybrid backend</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Ablation evidence with final Policy Copilot reference row</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Synthetic test split versus public-guidance transfer set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Representative testing and validation matrix</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55</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56</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58</w:t>
      </w:r>
    </w:p>
    <w:p>
      <w:pPr>
        <w:spacing w:line="288" w:lineRule="auto" w:before="0" w:after="40"/>
        <w:ind w:left="280"/>
        <w:jc w:val="both"/>
        <w:tabs>
          <w:tab w:val="right" w:leader="dot" w:pos="8420"/>
        </w:tabs>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59</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7">
        <w:r>
          <w:rPr>
            <w:rFonts w:ascii="Times New Roman" w:hAnsi="Times New Roman" w:cs="Times New Roman"/>
            <w:sz w:val="22"/>
            <w:color w:val="000000"/>
            <w:u w:val="none"/>
          </w:rPr>
          <w:t xml:space="preserve">Table B.7 Threats to validity summary</w:t>
        </w:r>
      </w:hyperlink>
      <w:r>
        <w:rPr>
          <w:rFonts w:ascii="Times New Roman" w:hAnsi="Times New Roman" w:cs="Times New Roman"/>
          <w:sz w:val="22"/>
          <w:color w:val="000000"/>
          <w:u w:val="none"/>
        </w:rPr>
        <w:tab/>
        <w:t xml:space="preserve">60</w:t>
      </w:r>
    </w:p>
    <w:bookmarkEnd w:id="39"/>
    <w:bookmarkStart w:id="51" w:name="Xdec3148e2b27743a21167d1a64790a47d9bae32"/>
    <w:p>
      <w:pPr>
        <w:pStyle w:val="Heading1"/>
        <w:pageBreakBefore/>
      </w:pPr>
      <w:r>
        <w:t xml:space="preserve">Chapter 1 Introduction and Background Research</w:t>
      </w:r>
    </w:p>
    <w:bookmarkStart w:id="4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Chen et al., 2023) studies when models should refuse, but largely on open-domain benchmarks rather than restricted enterprise corpora.</w:t>
      </w:r>
    </w:p>
    <w:p>
      <w:pPr>
        <w:jc w:val="both"/>
      </w:pPr>
      <w:r>
        <w:t xml:space="preserve">This project tests the following hypothesis: under a strict cited-or-silent rule on a closed policy corpus, deterministic citation verification and abstention gating can reduce response-level unsupported surfaced answers to at most 5%, but only by moving the system along a measurable safety–coverage frontier. The central question is therefore not whether the system can answer every policy query, but where a defensible operating point lies between coverage, abstention accuracy, and groundedness.</w:t>
      </w:r>
    </w:p>
    <w:bookmarkEnd w:id="40"/>
    <w:bookmarkStart w:id="4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t xml:space="preserve">The objectives are to build a multi-stage RAG pipeline with paragraph-level citations, implement deterministic abstention for weak evidence, improve retrieval through reranking, surface contradictions between policy documents, develop a heuristic Critic Mode for vague or problematic policy language, and evaluate the resulting safety–coverage trade-off through a curated golden set, threshold sweep, ablations, and generative versus extractive comparisons. The measurable targets for these objectives are defined in Chapter 2 and are revisited honestly in §4.13, including where the conservative operating point fails to meet the original coverage target.</w:t>
      </w:r>
    </w:p>
    <w:bookmarkEnd w:id="41"/>
    <w:bookmarkStart w:id="42" w:name="systematic-search-strategy"/>
    <w:p>
      <w:pPr>
        <w:pStyle w:val="Heading2"/>
      </w:pPr>
      <w:r>
        <w:t xml:space="preserve">1.3 Systematic Search Strategy</w:t>
      </w:r>
    </w:p>
    <w:p>
      <w:pPr>
        <w:jc w:val="both"/>
      </w:pPr>
      <w:r>
        <w:t xml:space="preserve">A structured literature search was conducted between November 2025 and January 2026 across Google Scholar, ACM Digital Library, IEEE Xplore, and arXiv, guided by the PRISMA 2020 framework (Page et al., 2021). The search terms were grouped around four areas: RAG and grounded generation, reliability and abstention, policy/legal NLP, and evaluation of faithfulness or citation quality.</w:t>
      </w:r>
    </w:p>
    <w:p>
      <w:pPr>
        <w:jc w:val="both"/>
      </w:pPr>
      <w: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t xml:space="preserve">PRISMA flow: 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matrix catalogues 105 sources in total: the 38 core papers plus 67 additional sources from backward / forward citation chaining, standards, and contextual references. The matrix is included in the submitted evidence pack and supports the wider methodology and LSEP discussion without forming part of the formal PRISMA core.</w:t>
      </w:r>
    </w:p>
    <w:bookmarkEnd w:id="42"/>
    <w:bookmarkStart w:id="4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typically realised via dense passage retrieval (Karpukhin et al., 2020) and FAISS-style nearest-neighbour search (Johnson, Douze and Jégou, 2021). The architecture provides, in principle, a traceable link between answer and source, but the link is fragile in practice: models frequently ignore retrieved context when it conflicts with parametric beliefs (Gao et al., 2023, the</w:t>
      </w:r>
      <w:r>
        <w:t xml:space="preserve"> </w:t>
      </w:r>
      <w:r>
        <w:t xml:space="preserve">“faithfulness gap”</w:t>
      </w:r>
      <w:r>
        <w:t xml:space="preserve">), and injected noise can paradoxically improve answer quality (Cuconasu et al., 2024). RAG therefore provides the architectural skeleton but does not, on its own, guarantee that generated text faithfully reflects retrieved evidence.</w:t>
      </w:r>
    </w:p>
    <w:bookmarkEnd w:id="43"/>
    <w:bookmarkStart w:id="44" w:name="X8a87b1766c55b9701083f68ddacb3d7924ae1d5"/>
    <w:p>
      <w:pPr>
        <w:pStyle w:val="Heading2"/>
      </w:pPr>
      <w:r>
        <w:t xml:space="preserve">1.5 Hallucination, Attribution, and Post-Hoc Verification</w:t>
      </w:r>
    </w:p>
    <w:p>
      <w:pPr>
        <w:jc w:val="both"/>
      </w:pPr>
      <w:r>
        <w:t xml:space="preserve">Hallucination is the primary barrier to deploying generative models in high-stakes settings: Ji et al. (2023) distinguish intrinsic from extrinsic forms, and Huang et al. (2023) note that scale amplifies the problem because larger models hallucinate more fluently. Mitigation falls into three families. Training-based attribution (Bohnet et al., 2022) generates inline citations but at the cost of supervised data and</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separate citation correctness from citation faithfulness, a distinction that matters for audit. Post-hoc editing (Gao et al., 2023, RARR) revises unsupported claims via additional LLM passes, with its own cost and hallucination risk. The risk that automatic evaluation itself becomes circular when judge and generator share architecture is documented in two complementary ways: Zheng et al. (2023) identify systematic position, verbosity, and self-enhancement biases in LLM judges generally, while Yue et al. (2023) examine related issues in citation-attribution evaluation specifically. Self-reflective generation (Asai et al., 2024, Self-RAG) is architecture-specific and brittle. None of these paradigms satisfies the requirements of a deterministic, auditable compliance tool; the approach taken here is a lightweight, deterministic verification layer applied after generation, evaluated in §4.4 and revisited as a limitation in §5.2.</w:t>
      </w:r>
    </w:p>
    <w:bookmarkEnd w:id="44"/>
    <w:bookmarkStart w:id="45" w:name="Xc7caeabd380139febf70e34f46b6bbe65817dda"/>
    <w:p>
      <w:pPr>
        <w:pStyle w:val="Heading2"/>
      </w:pPr>
      <w:r>
        <w:t xml:space="preserve">1.6 Information Retrieval: Dense Retrieval and Cross-Encoder Reranking</w:t>
      </w:r>
    </w:p>
    <w:p>
      <w:pPr>
        <w:jc w:val="both"/>
      </w:pPr>
      <w:r>
        <w:t xml:space="preserve">Retrieval bounds RAG quality: if the correct paragraph is not retrieved, no generation step can recover, and Barnett et al. (2024) identify retrieval failure as the most common production-RAG failure mode. Bi-encoders give fast nearest-neighbour search; cross-encoders (Nogueira and Cho, 2019) trade latency for precision, and Lin et al. (2021) confirm they consistently outperform bi-encoders on precision-critical tasks. The standard resolution, adopted here, is two-stage retrieve-and-rerank: bi-encoder retrieval, then cross-encoder reranking over a small candidate set (Nogueira and Cho, 2019; Lin et al., 2021). For closed corpora under 2,000 paragraphs the cross-encoder cost is bounded. ColBERT’s late-interaction approach (Khattab and Zaharia, 2020) reaches near-cross-encoder precision at bi-encoder speed, but materialising token-level embeddings is overhead not justified for a stable policy corpus.</w:t>
      </w:r>
    </w:p>
    <w:bookmarkEnd w:id="45"/>
    <w:bookmarkStart w:id="4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 intra-corpus contradiction, where a group-level policy and a local addendum impose conflicting standards.</w:t>
      </w:r>
    </w:p>
    <w:bookmarkEnd w:id="46"/>
    <w:bookmarkStart w:id="47" w:name="selective-prediction-and-abstention"/>
    <w:p>
      <w:pPr>
        <w:pStyle w:val="Heading2"/>
      </w:pPr>
      <w:r>
        <w:t xml:space="preserve">1.8 Selective Prediction and Abstention</w:t>
      </w:r>
    </w:p>
    <w:p>
      <w:pPr>
        <w:jc w:val="both"/>
      </w:pPr>
      <w:r>
        <w:t xml:space="preserve">A system that answers every query inevitably produces hallucinations. Selective prediction 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Chen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47"/>
    <w:bookmarkStart w:id="48" w:name="Xadb554a0a766e2b8933507397ef2729e007aea4"/>
    <w:p>
      <w:pPr>
        <w:pStyle w:val="Heading2"/>
      </w:pPr>
      <w:r>
        <w:t xml:space="preserve">1.9 Evaluation Frameworks for Retrieval-Augmented Generation</w:t>
      </w:r>
    </w:p>
    <w:p>
      <w:pPr>
        <w:jc w:val="both"/>
      </w:pPr>
      <w:r>
        <w:t xml:space="preserve">Automatic RAG evaluation has converged on a small family of metrics. RAGAS (Es et al., 2024) decomposes evaluation into Faithfulness, Answer Relevance, and Context Relevance, each scored by LLM judges; ARES (Saad-Falcon et al., 2023) adds confidence intervals. Zheng et al. (2023) document three systematic biases in LLM-as-Judge — position, verbosity, and self-enhancement — that are particularly risky when judge and generator share architecture. RAGE (Penzkofer and Baumann, 2024) defines Citation-Precision and Citation-Recall, which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48"/>
    <w:bookmarkStart w:id="49" w:name="comparative-analysis-of-existing-systems"/>
    <w:p>
      <w:pPr>
        <w:pStyle w:val="Heading2"/>
      </w:pPr>
      <w:r>
        <w:t xml:space="preserve">1.10 Comparative Analysis of Existing Systems</w:t>
      </w:r>
    </w:p>
    <w:p>
      <w:pPr>
        <w:jc w:val="both"/>
      </w:pPr>
      <w:r>
        <w:t xml:space="preserve">Table B.1 in Appendix B.8 places Policy Copilot alongside the main retrieval-augmented and grounded-generation systems on five dimensions: domain, grounding mechanism, abstention handling, key limitation, and relevance. Two patterns emerge. Most systems target open-domain corpora and prioritise answering even when answers are sometimes wrong (Standard RAG, DPR, FreshLLMs); the systems that</w:t>
      </w:r>
      <w:r>
        <w:t xml:space="preserve"> </w:t>
      </w:r>
      <w:r>
        <w:rPr>
          <w:i/>
          <w:iCs/>
        </w:rPr>
        <w:t xml:space="preserve">do</w:t>
      </w:r>
      <w:r>
        <w:t xml:space="preserve"> </w:t>
      </w:r>
      <w:r>
        <w:t xml:space="preserve">refuse when evidence is weak (Self-RAG, ASPIRE) decide refusal via a learned model that is expensive to retrain for a new corpus. What is missing is a rule-based, refusal-by-default configuration over a small closed corpus — the configuration this project targets, pairing deterministic Jaccard token overlap with cross-encoder confidence gating and per-claim pruning.</w:t>
      </w:r>
    </w:p>
    <w:bookmarkEnd w:id="49"/>
    <w:bookmarkStart w:id="5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2023),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structured documents generally (Qu, Bao and Tu, 2024), and policies, being heading-and-section based, fall within that structured-document family.</w:t>
      </w:r>
    </w:p>
    <w:p>
      <w:pPr>
        <w:jc w:val="both"/>
      </w:pPr>
      <w:r>
        <w:t xml:space="preserve">Taken together these observations point to a less-explored research problem: how a closed-domain RAG system behaves when refusal is not an exception but part of the system contract. Existing work motivates individual components — retrieval, reranking, attribution, abstention, and evaluation — but the literature reviewed did not provide an empirical account of the safety–coverage operating frontier created by combining deterministic verification with refusal-by-default policy QA on a bounded organisational corpus. Policy Copilot is built to study that frontier. It abstains before generation when reranker confidence is too low, removes generated claims whose citations fail token-overlap or numeric checks, and exposes the resulting trade-off through a threshold sweep rather than only a single headline score.</w:t>
      </w:r>
    </w:p>
    <w:p>
      <w:pPr>
        <w:jc w:val="both"/>
      </w:pPr>
      <w:r>
        <w:t xml:space="preserve">The contribution is therefore not RAG itself, nor a new evaluation framework in the LangSmith or RAGAS sense. It is the end-to-end system design and empirical characterisation of a strict</w:t>
      </w:r>
      <w:r>
        <w:t xml:space="preserve"> </w:t>
      </w:r>
      <w:r>
        <w:t xml:space="preserve">“cited or silent”</w:t>
      </w:r>
      <w:r>
        <w:t xml:space="preserve"> </w:t>
      </w:r>
      <w:r>
        <w:t xml:space="preserve">operating regime for policy QA, including the cost: stronger surfaced grounding is bought with measurably lower answer coverage.</w:t>
      </w:r>
    </w:p>
    <w:bookmarkEnd w:id="50"/>
    <w:bookmarkEnd w:id="51"/>
    <w:bookmarkStart w:id="59" w:name="chapter-2-methodology"/>
    <w:p>
      <w:pPr>
        <w:pStyle w:val="Heading1"/>
      </w:pPr>
      <w:r>
        <w:t xml:space="preserve">Chapter 2 Methodology</w:t>
      </w:r>
    </w:p>
    <w:bookmarkStart w:id="52" w:name="development-process"/>
    <w:p>
      <w:pPr>
        <w:pStyle w:val="Heading2"/>
      </w:pPr>
      <w:r>
        <w:t xml:space="preserve">2.1 Development Process</w:t>
      </w:r>
    </w:p>
    <w:p>
      <w:pPr>
        <w:jc w:val="both"/>
      </w:pPr>
      <w:r>
        <w:t xml:space="preserve">Development followed a lightweight sprint structure adapted for a single-developer research project. Across Weeks 1 to 22, each sprint focused on one part of the architecture:</w:t>
      </w:r>
    </w:p>
    <w:p>
      <w:pPr>
        <w:numPr>
          <w:ilvl w:val="0"/>
          <w:numId w:val="1011"/>
        </w:numPr>
        <w:jc w:val="both"/>
      </w:pPr>
      <w:r>
        <w:t xml:space="preserve">Sprint 1, Corpus Engineering (Weeks 1 to 3): the five synthetic policy documents itemised in §3.2 (Internal Policy Handbook, IT Security Addendum, HR Procedures Manual, Business Continuity Plan, DPIA Guide), the PDF ingestion pipeline, and the stable identifier scheme.</w:t>
      </w:r>
    </w:p>
    <w:p>
      <w:pPr>
        <w:numPr>
          <w:ilvl w:val="0"/>
          <w:numId w:val="1011"/>
        </w:numPr>
        <w:jc w:val="both"/>
      </w:pPr>
      <w:r>
        <w:t xml:space="preserve">Sprint 2, Retrieval Pipeline (Weeks 4 to 6): FAISS-backed dense retrieval using Sentence-Transformers. Deliverable: a functional retriever returning top-k candidates.</w:t>
      </w:r>
    </w:p>
    <w:p>
      <w:pPr>
        <w:numPr>
          <w:ilvl w:val="0"/>
          <w:numId w:val="1011"/>
        </w:numPr>
        <w:jc w:val="both"/>
      </w:pPr>
      <w:r>
        <w:t xml:space="preserve">Sprint 3, Generative Pipeline (Weeks 7 to 9): LLM integration (OpenAI API) with Pydantic-enforced JSON schema. Deliverable: B2 (Naive RAG) baseline.</w:t>
      </w:r>
    </w:p>
    <w:p>
      <w:pPr>
        <w:numPr>
          <w:ilvl w:val="0"/>
          <w:numId w:val="1011"/>
        </w:numPr>
        <w:jc w:val="both"/>
      </w:pPr>
      <w:r>
        <w:t xml:space="preserve">Sprint 4, Reliability Layers (Weeks 10 to 14): cross-encoder reranking, abstention gate, per-claim verification, contradiction detection. This sprint produced the core B3 system.</w:t>
      </w:r>
    </w:p>
    <w:p>
      <w:pPr>
        <w:numPr>
          <w:ilvl w:val="0"/>
          <w:numId w:val="1011"/>
        </w:numPr>
        <w:jc w:val="both"/>
      </w:pPr>
      <w:r>
        <w:t xml:space="preserve">Sprint 5, Critic Mode (Weeks 15 to 17): heuristic policy auditor for vague quantifiers, implicit contradictions, and ambiguous directives.</w:t>
      </w:r>
    </w:p>
    <w:p>
      <w:pPr>
        <w:numPr>
          <w:ilvl w:val="0"/>
          <w:numId w:val="1011"/>
        </w:numPr>
        <w:jc w:val="both"/>
      </w:pPr>
      <w:r>
        <w:t xml:space="preserve">Sprint 6, Evaluation Harness (Weeks 18 to 22): 63-query golden set, extractive fallback mode, all baselines and ablations, and the results that feed Chapter 4.</w:t>
      </w:r>
    </w:p>
    <w:p>
      <w:pPr>
        <w:spacing w:before="40" w:after="0"/>
        <w:jc w:val="center"/>
      </w:pPr>
      <w:r>
        <w:drawing>
          <wp:inline>
            <wp:extent cx="5303520" cy="2250298"/>
            <wp:docPr id="3" name="Picture 3"/>
            <wp:cNvGraphicFramePr>
              <a:graphicFrameLocks noChangeAspect="1"/>
            </wp:cNvGraphicFramePr>
            <a:graphic>
              <a:graphicData uri="http://schemas.openxmlformats.org/drawingml/2006/picture">
                <pic:pic>
                  <pic:nvPicPr>
                    <pic:cNvPr id="0" name="fig_gantt.png"/>
                    <pic:cNvPicPr/>
                  </pic:nvPicPr>
                  <pic:blipFill>
                    <a:blip r:embed="rId13"/>
                    <a:stretch>
                      <a:fillRect/>
                    </a:stretch>
                  </pic:blipFill>
                  <pic:spPr>
                    <a:xfrm>
                      <a:off x="0" y="0"/>
                      <a:ext cx="5303520" cy="2250298"/>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52"/>
    <w:bookmarkStart w:id="53" w:name="requirements-analysis"/>
    <w:p>
      <w:pPr>
        <w:pStyle w:val="Heading2"/>
      </w:pPr>
      <w:r>
        <w:t xml:space="preserve">2.2 Requirements Analysis</w:t>
      </w:r>
    </w:p>
    <w:p>
      <w:pPr>
        <w:jc w:val="both"/>
      </w:pPr>
      <w:r>
        <w:t xml:space="preserve">Requirements were derived from the research objectives (Section 1.2) and the gap analysis (Section 1.11). Each requirement was formulated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Generated claims cite paragraph-level evidence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refuses when evidence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Verification removes unsupported generated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LLM-free mode returns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policy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flags vague or problematic policy wording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Single-query response time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Offline-safe outputs are deterministic and retained run artefacts are verifiable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Documented evaluator path reproduces offline-safe outputs and verifies retained run artefacts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Latency was accepted as the secondary concern, consistent with the</w:t>
      </w:r>
      <w:r>
        <w:t xml:space="preserve"> </w:t>
      </w:r>
      <w:r>
        <w:t xml:space="preserve">“precision over recall”</w:t>
      </w:r>
      <w:r>
        <w:t xml:space="preserve"> </w:t>
      </w:r>
      <w:r>
        <w:t xml:space="preserve">philosophy and justified by the bounded corpus size (Section 2.4, Decision 2).</w:t>
      </w:r>
    </w:p>
    <w:bookmarkEnd w:id="53"/>
    <w:bookmarkStart w:id="54" w:name="system-architecture"/>
    <w:p>
      <w:pPr>
        <w:pStyle w:val="Heading2"/>
      </w:pPr>
      <w:r>
        <w:t xml:space="preserve">2.3 System Architecture</w:t>
      </w:r>
    </w:p>
    <w:p>
      <w:pPr>
        <w:jc w:val="both"/>
      </w:pPr>
      <w:r>
        <w:t xml:space="preserve">The system follows a modular Retrieve-and-Rerank-then-Generate-and-Verify 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 pipeline has six stages, each implemented as a separate module. Ingestion turns PDFs into paragraph chunks and assigns stable identifiers so citations remain traceable after re-ingestion. Retrieval finds candidate passages, reranking rescores them with a cross-encoder, and the abstention gate blocks weak-evidence queries before generation. In Generative Mode, the top reranked paragraphs are sent to the LLM under a strict JSON schema. In Extractive Mode, the LLM is bypassed and the top evidence paragraph is returned directly. The final verification stage checks generated claims against cited evidence, removes unsupported claims, and downgrades the response to abstention if nothing sufficiently supported remains.</w:t>
      </w:r>
    </w:p>
    <w:p>
      <w:pPr>
        <w:jc w:val="both"/>
      </w:pPr>
      <w:r>
        <w:t xml:space="preserve">This staged design ensures reliability is an emergent outcome of multiple independent checks, each empirically evaluable through ablation (Section 2.6).</w:t>
      </w:r>
    </w:p>
    <w:bookmarkEnd w:id="54"/>
    <w:bookmarkStart w:id="5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t xml:space="preserve">Decision 1: RAG vs. long-context injection. Adopted: RAG with 5-paragraph context. Rejected alternative: injecting the entire ~25,000-token corpus into a long-context model (Claude 3, GPT-4 Turbo). The long-context option was rejected for three reasons. Liu et al. (2024)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t xml:space="preserve">Decision 2: Dense + cross-encoder reranking vs. BM25. Adopted: two-stage bi-encoder + cross-encoder. Rejected: 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t xml:space="preserve">Decision 3: Heuristic verification vs. LLM-based verification. Adopted: Jaccard token overlap + numeric consistency, post-generation. Rejected: LLM-as-judge for verification. Zheng et al. (2023)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§4.4, where the verification ceiling is evaluated, and in §5.2, where L3 records the heuristic verification ceiling as a threat to validity.</w:t>
      </w:r>
    </w:p>
    <w:p>
      <w:pPr>
        <w:jc w:val="both"/>
      </w:pPr>
      <w:r>
        <w:t xml:space="preserve">Decision 4: Paragraph-level fixed chunking vs. semantic chunking. Adopted: structural paragraph-level chunking. Rejected: 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 discussions of chunking strategies (e.g., open-source tutorials and vendor blog posts) were useful for surveying the design space, but the methodological argument here rests on the peer-reviewed Qu et al. result.</w:t>
      </w:r>
    </w:p>
    <w:p>
      <w:pPr>
        <w:jc w:val="both"/>
      </w:pPr>
      <w:r>
        <w:t xml:space="preserve">Decision 5: Pydantic schema enforcement vs. free-text parsing. Adopted: strict JSON schema via Pydantic with repair-and-retry. Rejected: 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55"/>
    <w:bookmarkStart w:id="56" w:name="risk-assessment"/>
    <w:p>
      <w:pPr>
        <w:pStyle w:val="Heading2"/>
      </w:pPr>
      <w:r>
        <w:t xml:space="preserve">2.5 Risk Assessment</w:t>
      </w:r>
    </w:p>
    <w:p>
      <w:pPr>
        <w:jc w:val="both"/>
      </w:pPr>
      <w:r>
        <w:t xml:space="preserve">A complementary system-level risk audit table in the evidence pack documents 10 failure modes (hallucination, citation fabrication, contradiction suppression, abstention failure, stale corpus, adversarial prompts, backend fallback, automation bias, privacy, environmental cost) with detection methods,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56"/>
    <w:bookmarkStart w:id="5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covers evidence relevance, citation faithfulness, abstention correctness, contradiction correctness, and failure-mode attribution. Each axis maps to a quantitative metric, and both the rubric and scores are included in the evidence pack.</w:t>
      </w:r>
    </w:p>
    <w:p>
      <w:pPr>
        <w:jc w:val="both"/>
      </w:pPr>
      <w:r>
        <w:t xml:space="preserve">Baseline ladder. The evaluation compares three progressive system configurations, each adding one layer of reliability discipline: a</w:t>
      </w:r>
      <w:r>
        <w:t xml:space="preserve"> </w:t>
      </w:r>
      <w:r>
        <w:rPr>
          <w:i/>
          <w:iCs/>
        </w:rPr>
        <w:t xml:space="preserve">prompt-only</w:t>
      </w:r>
      <w:r>
        <w:t xml:space="preserve"> </w:t>
      </w:r>
      <w:r>
        <w:t xml:space="preserve">generator with no retrieval;</w:t>
      </w:r>
      <w:r>
        <w:t xml:space="preserve"> </w:t>
      </w:r>
      <w:r>
        <w:rPr>
          <w:i/>
          <w:iCs/>
        </w:rPr>
        <w:t xml:space="preserve">naive RAG</w:t>
      </w:r>
      <w:r>
        <w:t xml:space="preserve"> </w:t>
      </w:r>
      <w:r>
        <w:t xml:space="preserve">with bi-encoder retrieval and an LLM, but no reranking, verification, or abstention; and the full</w:t>
      </w:r>
      <w:r>
        <w:t xml:space="preserve"> </w:t>
      </w:r>
      <w:r>
        <w:rPr>
          <w:i/>
          <w:iCs/>
        </w:rPr>
        <w:t xml:space="preserve">Policy Copilot</w:t>
      </w:r>
      <w:r>
        <w:t xml:space="preserve"> </w:t>
      </w:r>
      <w:r>
        <w:t xml:space="preserve">pipeline in both Generative and Extractive configurations. These are labelled B1, B2 and B3 in the tables that follow. The ladder isolates contributions cleanly: B1 → B2 measures retrieval; B2 → B3 measures reranking, verification, and abstention together; the §4.6 ablations then disable individual B3 components.</w:t>
      </w:r>
    </w:p>
    <w:p>
      <w:pPr>
        <w:jc w:val="both"/>
      </w:pPr>
      <w:r>
        <w:t xml:space="preserve">Metrics. 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t xml:space="preserve">Reproducible pipeline. Evaluation outputs are stored as JSONL, CSV, and summary JSON artefacts. The documented evaluator path reproduces the offline-safe outputs and verifies the retained run artefacts, while API-dependent generative runs are preserved with their run configurations and provenance metadata.</w:t>
      </w:r>
    </w:p>
    <w:bookmarkEnd w:id="57"/>
    <w:bookmarkStart w:id="58" w:name="golden-set-construction"/>
    <w:p>
      <w:pPr>
        <w:pStyle w:val="Heading2"/>
      </w:pPr>
      <w:r>
        <w:t xml:space="preserve">2.7 Golden Set Construction</w:t>
      </w:r>
    </w:p>
    <w:p>
      <w:pPr>
        <w:jc w:val="both"/>
      </w:pPr>
      <w:r>
        <w:t xml:space="preserve">The evaluation golden set comprises 63 queries in three categories. After a post-hoc label audit (Appendix B.7.5), the corrected v2 set has 40 answerable, 13 unanswerable, and 10 contradiction queries; q_004 (BYOD), q_014 (notice period), q_016 (grievance), and q_062 (sabbatical) were reclassified from</w:t>
      </w:r>
      <w:r>
        <w:t xml:space="preserve"> </w:t>
      </w:r>
      <w:r>
        <w:rPr>
          <w:rStyle w:val="VerbatimChar"/>
        </w:rPr>
        <w:t xml:space="preserve">unanswerable</w:t>
      </w:r>
      <w:r>
        <w:t xml:space="preserve"> </w:t>
      </w:r>
      <w:r>
        <w:t xml:space="preserve">to</w:t>
      </w:r>
      <w:r>
        <w:t xml:space="preserve"> </w:t>
      </w:r>
      <w:r>
        <w:rPr>
          <w:rStyle w:val="VerbatimChar"/>
        </w:rPr>
        <w:t xml:space="preserve">answerable</w:t>
      </w:r>
      <w:r>
        <w:t xml:space="preserve"> </w:t>
      </w:r>
      <w:r>
        <w:t xml:space="preserve">because the corpus does in fact answer them. Contradiction queries trigger genuine conflicts (90-day vs 60-day password rotation, 8-vs-12-character minimum password length) and test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58"/>
    <w:bookmarkEnd w:id="59"/>
    <w:bookmarkStart w:id="6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6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t xml:space="preserve">An off-the-shelf orchestration framework would have shortened development time but constrained the project’s central requirement: visibility into every reliability decision. LangChain and LlamaIndex were considered during Sprint 1 and rejected on those grounds — their abstractions obscured pipeline internals (in particular the reranker score needed for the abstention gate) and intercepting individual claims for verification proved difficult. Implementing the pipeline directly cost more development effort but produced a codebase where every reliability decision is explicit and testable.</w:t>
      </w:r>
    </w:p>
    <w:bookmarkEnd w:id="60"/>
    <w:bookmarkStart w:id="61" w:name="corpus-engineering-and-ingestion"/>
    <w:p>
      <w:pPr>
        <w:pStyle w:val="Heading2"/>
      </w:pPr>
      <w:r>
        <w:t xml:space="preserve">3.2 Corpus Engineering and Ingestion</w:t>
      </w:r>
    </w:p>
    <w:p>
      <w:pPr>
        <w:jc w:val="both"/>
      </w:pPr>
      <w:r>
        <w:t xml:space="preserve">The evaluation corpus consists of five synthetic policy documents created for this project — Internal Policy Handbook (74 paragraphs), IT Security Addendum (39), HR Procedures Manual (25), Business Continuity Plan (23), and DPIA Guide (15) — totalling 176 paragraphs across 53 PDF pages, with document identifiers and SHA-256 hashes recorded in</w:t>
      </w:r>
      <w:r>
        <w:t xml:space="preserve"> </w:t>
      </w:r>
      <w:r>
        <w:rPr>
          <w:rStyle w:val="VerbatimChar"/>
        </w:rPr>
        <w:t xml:space="preserve">data/corpus/manifests/corpus_manifest.csv</w:t>
      </w:r>
      <w:r>
        <w:t xml:space="preserve">. Together they cover remote work, leave, password rules and rotation, incident response, business-continuity testing, HR procedure, and data-protection impact assessment. Synthetic documents were used because real organisational policies are usually confidential and could not be redistributed in a reproducible submission package. This also let me build specific evaluation cases into the corpus, including deliberate contradictions between documents, vague wording for Critic Mode, and varied paragraph structures.</w:t>
      </w:r>
    </w:p>
    <w:p>
      <w:pPr>
        <w:jc w:val="both"/>
      </w:pPr>
      <w:r>
        <w:t xml:space="preserve">The ingestion pipeline extracts text with</w:t>
      </w:r>
      <w:r>
        <w:t xml:space="preserve"> </w:t>
      </w:r>
      <w:r>
        <w:rPr>
          <w:rStyle w:val="VerbatimChar"/>
        </w:rPr>
        <w:t xml:space="preserve">pypdf</w:t>
      </w:r>
      <w:r>
        <w:t xml:space="preserve">, normalises whitespace, and splits documents into paragraph-level chunks.</w:t>
      </w:r>
      <w:r>
        <w:t xml:space="preserve"> </w:t>
      </w:r>
      <w:r>
        <w:rPr>
          <w:rStyle w:val="VerbatimChar"/>
        </w:rPr>
        <w:t xml:space="preserve">pdfplumber</w:t>
      </w:r>
      <w:r>
        <w:t xml:space="preserve"> </w:t>
      </w:r>
      <w:r>
        <w:t xml:space="preserve">is included as a fallback for layout-sensitive PDFs, but it is not used on the active path for the synthetic corpus. Each paragraph is assigned a stable identifier based on its document, page, local index, and a short SHA-256 content hash. This means citations remain traceable after re-ingestion: unchanged paragraphs keep the same identifiers, while edited paragraphs receive new hashes. An earlier prototype used sequential integer IDs, but that proved fragile when documents were reordered, so the final scheme is deliberately content-aware. Very short paragraphs, mostly headers, are filtered out.</w:t>
      </w:r>
    </w:p>
    <w:bookmarkEnd w:id="61"/>
    <w:bookmarkStart w:id="6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using</w:t>
      </w:r>
      <w:r>
        <w:t xml:space="preserve"> </w:t>
      </w:r>
      <w:r>
        <w:rPr>
          <w:rStyle w:val="VerbatimChar"/>
        </w:rPr>
        <w:t xml:space="preserve">all-MiniLM-L6-v2</w:t>
      </w:r>
      <w:r>
        <w:t xml:space="preserve"> </w:t>
      </w:r>
      <w:r>
        <w:t xml:space="preserve">and stores the vectors in a FAISS exact-search index. Exact rather than approximate search was chosen because the corpus is under 2,000 paragraphs, so exact search completes in under 10 ms with no recall ceiling. The final evaluation run uses</w:t>
      </w:r>
      <w:r>
        <w:t xml:space="preserve"> </w:t>
      </w:r>
      <w:r>
        <w:rPr>
          <w:rStyle w:val="VerbatimChar"/>
        </w:rPr>
        <w:t xml:space="preserve">retrieve_k_candidates = 50</w:t>
      </w:r>
      <w:r>
        <w:t xml:space="preserve"> </w:t>
      </w:r>
      <w:r>
        <w:t xml:space="preserve">(first-stage candidate pool) and</w:t>
      </w:r>
      <w:r>
        <w:t xml:space="preserve"> </w:t>
      </w:r>
      <w:r>
        <w:rPr>
          <w:rStyle w:val="VerbatimChar"/>
        </w:rPr>
        <w:t xml:space="preserve">rerank_k_final = 5</w:t>
      </w:r>
      <w:r>
        <w:t xml:space="preserve"> </w:t>
      </w:r>
      <w:r>
        <w:t xml:space="preserve">(kept after cross-encoder reranking); the wider candidate pool gives the reranker more material, while the</w:t>
      </w:r>
      <w:r>
        <w:t xml:space="preserve"> </w:t>
      </w:r>
      <w:r>
        <w:rPr>
          <w:rStyle w:val="VerbatimChar"/>
        </w:rPr>
        <w:t xml:space="preserve">rerank_k_final = 5</w:t>
      </w:r>
      <w:r>
        <w:t xml:space="preserve"> </w:t>
      </w:r>
      <w:r>
        <w:t xml:space="preserve">cap means only the top five reranked passages are passed downstream, so increasing the candidate pool does not increase the final LLM context size. These values are recorded in</w:t>
      </w:r>
      <w:r>
        <w:t xml:space="preserve"> </w:t>
      </w:r>
      <w:r>
        <w:rPr>
          <w:rStyle w:val="VerbatimChar"/>
        </w:rPr>
        <w:t xml:space="preserve">results/runs/b3_generative_bm25_fallback_final/run_config.json</w:t>
      </w:r>
      <w:r>
        <w:t xml:space="preserve">.</w:t>
      </w:r>
    </w:p>
    <w:p>
      <w:pPr>
        <w:jc w:val="both"/>
      </w:pPr>
      <w:r>
        <w:t xml:space="preserve">The</w:t>
      </w:r>
      <w:r>
        <w:t xml:space="preserve"> </w:t>
      </w:r>
      <w:r>
        <w:rPr>
          <w:rStyle w:val="VerbatimChar"/>
        </w:rPr>
        <w:t xml:space="preserve">Reranker</w:t>
      </w:r>
      <w:r>
        <w:t xml:space="preserve"> </w:t>
      </w:r>
      <w:r>
        <w:t xml:space="preserve">class uses a MiniLM cross-encoder to rescore each query-paragraph pair, outputting a single relevance logit per candidate.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 formal calibration analysis was run on the reranker logit;</w:t>
      </w:r>
      <w:r>
        <w:t xml:space="preserve"> </w:t>
      </w:r>
      <w:r>
        <w:t xml:space="preserve">“useful confidence signal”</w:t>
      </w:r>
      <w:r>
        <w:t xml:space="preserve"> </w:t>
      </w:r>
      <w:r>
        <w:t xml:space="preserve">is meant practically rather than statistically.</w:t>
      </w:r>
    </w:p>
    <w:bookmarkEnd w:id="62"/>
    <w:bookmarkStart w:id="6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 system instruction establishing the</w:t>
      </w:r>
      <w:r>
        <w:t xml:space="preserve"> </w:t>
      </w:r>
      <w:r>
        <w:t xml:space="preserve">“cited or silent”</w:t>
      </w:r>
      <w:r>
        <w:t xml:space="preserve"> </w:t>
      </w:r>
      <w:r>
        <w:t xml:space="preserve">contract, a one-shot example of correctly formatted output, and the evidence block containing the top 5 reranked paragraphs prefixed with their IDs. The one-shot example was refined across Sprints 3 and 4. An initial zero-shot approach frequently produced malformed citation output during Sprint 3. Adding a single carefully crafted example substantially improved format adherence, consistent with Brown et al. (2020) on few-shot prompting, but the exact early error rate was not retained as a formal evaluation artefact.</w:t>
      </w:r>
    </w:p>
    <w:p>
      <w:pPr>
        <w:jc w:val="both"/>
      </w:pPr>
      <w:r>
        <w:t xml:space="preserve">The LLM is instructed to return structured JSON matching the</w:t>
      </w:r>
      <w:r>
        <w:t xml:space="preserve"> </w:t>
      </w:r>
      <w:r>
        <w:rPr>
          <w:rStyle w:val="VerbatimChar"/>
        </w:rPr>
        <w:t xml:space="preserve">RAGResponse</w:t>
      </w:r>
      <w:r>
        <w:t xml:space="preserve"> </w:t>
      </w:r>
      <w:r>
        <w:t xml:space="preserve">schema, with answer text and citations stored separately. If validation fails, the system attempts a repair-and-retry step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This mode was added mainly as a fallback in case the LLM was unavailable (Table 2.2), but it also became useful for evaluation: running the same queries with and without the LLM separates what the LLM is contributing from what the retrieval and verification layers are doing on their own.</w:t>
      </w:r>
    </w:p>
    <w:bookmarkEnd w:id="63"/>
    <w:bookmarkStart w:id="64" w:name="citation-verification-and-abstention"/>
    <w:p>
      <w:pPr>
        <w:pStyle w:val="Heading2"/>
      </w:pPr>
      <w:r>
        <w:t xml:space="preserve">3.5 Citation Verification and Abstention</w:t>
      </w:r>
    </w:p>
    <w:p>
      <w:pPr>
        <w:jc w:val="both"/>
      </w:pPr>
      <w:r>
        <w:t xml:space="preserve">The verification subsystem is where the cited-or-silent rule becomes mechanical: it decomposes the model’s answer, checks each claim against its cited evidence, prunes claims that fail the checks, and downgrades the whole response to abstention if nothing sufficiently supported remains. It comprises four sub-modules.</w:t>
      </w:r>
    </w:p>
    <w:p>
      <w:pPr>
        <w:jc w:val="both"/>
      </w:pPr>
      <w:r>
        <w:t xml:space="preserve">Claim Decomposition. The verifier first decomposes the answer into sentence-level claims and extracts the citation IDs attached to each claim.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t xml:space="preserve">Citation Verification. Each claim is then checked in two deterministic ways. Jaccard token overlap: the claim and the cited paragraph are tokenised (lowercased, stopwords removed); if Jaccard falls below threshold (default 0.10) the citation is flagged as unsupported. Numeric consistency: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Jaccard was deliberately chosen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t xml:space="preserve">Support Policy Enforcement. Claims that fail the checks are pruned.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Deliberate contradictions were injected during corpus construction, for example differing password-rotation periods.</w:t>
      </w:r>
    </w:p>
    <w:bookmarkEnd w:id="64"/>
    <w:bookmarkStart w:id="65" w:name="critic-mode"/>
    <w:p>
      <w:pPr>
        <w:pStyle w:val="Heading2"/>
      </w:pPr>
      <w:r>
        <w:t xml:space="preserve">3.6 Critic Mode</w:t>
      </w:r>
    </w:p>
    <w:p>
      <w:pPr>
        <w:jc w:val="both"/>
      </w:pPr>
      <w:r>
        <w:t xml:space="preserve">The Critic module operates independently of the QA pipeline, auditing policy text for language patterns indicating ambiguity, vagueness, or logical inconsistency. It supports both a regex-based heuristic detector, which is the basis of the Chapter 4 evaluation, and an LLM-based detector for subtler issues, which is defined but not part of the headline benchmark. Six labels are used in the Critic taxonomy: L1 Normative / Loaded Language (</w:t>
      </w:r>
      <w:r>
        <w:t xml:space="preserve">“obviously”</w:t>
      </w:r>
      <w:r>
        <w:t xml:space="preserve">,</w:t>
      </w:r>
      <w:r>
        <w:t xml:space="preserve"> </w:t>
      </w:r>
      <w:r>
        <w:t xml:space="preserve">“everyone knows”</w:t>
      </w:r>
      <w:r>
        <w:t xml:space="preserve">), L2 Framing Imbalance (</w:t>
      </w:r>
      <w:r>
        <w:t xml:space="preserve">“merely”</w:t>
      </w:r>
      <w:r>
        <w:t xml:space="preserve">,</w:t>
      </w:r>
      <w:r>
        <w:t xml:space="preserve"> </w:t>
      </w:r>
      <w:r>
        <w:t xml:space="preserve">“only a”</w:t>
      </w:r>
      <w:r>
        <w:t xml:space="preserve">), L3 Unsupported Claim (</w:t>
      </w:r>
      <w:r>
        <w:t xml:space="preserve">“guarantees zero”</w:t>
      </w:r>
      <w:r>
        <w:t xml:space="preserve">,</w:t>
      </w:r>
      <w:r>
        <w:t xml:space="preserve"> </w:t>
      </w:r>
      <w:r>
        <w:t xml:space="preserve">“eliminates all”</w:t>
      </w:r>
      <w:r>
        <w:t xml:space="preserve">), L4 Internal Contradiction (</w:t>
      </w:r>
      <w:r>
        <w:t xml:space="preserve">“must”</w:t>
      </w:r>
      <w:r>
        <w:t xml:space="preserve"> </w:t>
      </w:r>
      <w:r>
        <w:t xml:space="preserve">vs</w:t>
      </w:r>
      <w:r>
        <w:t xml:space="preserve"> </w:t>
      </w:r>
      <w:r>
        <w:t xml:space="preserve">“must not”</w:t>
      </w:r>
      <w:r>
        <w:t xml:space="preserve"> </w:t>
      </w:r>
      <w:r>
        <w:t xml:space="preserve">within scope), L5 False Dilemma (</w:t>
      </w:r>
      <w:r>
        <w:t xml:space="preserve">“either / or”</w:t>
      </w:r>
      <w:r>
        <w:t xml:space="preserve"> </w:t>
      </w:r>
      <w:r>
        <w:t xml:space="preserve">framings), and L6 Slippery Slope. Each label maps to compiled regex patterns, and the heuristic detector returns the matched labels with rationales. Precision and recall results appear in §4.7.</w:t>
      </w:r>
    </w:p>
    <w:bookmarkEnd w:id="65"/>
    <w:bookmarkStart w:id="66" w:name="audit-workbench-ui-and-reviewer-mode"/>
    <w:p>
      <w:pPr>
        <w:pStyle w:val="Heading2"/>
      </w:pPr>
      <w:r>
        <w:t xml:space="preserve">3.7 Audit Workbench: UI and Reviewer Mode</w:t>
      </w:r>
    </w:p>
    <w:p>
      <w:pPr>
        <w:jc w:val="both"/>
      </w:pPr>
      <w:r>
        <w:t xml:space="preserve">The Streamlit interface is a multi-mode audit workbench rather than a chat demo. The interface provides six modes: normal question answering with citations, audit-trace inspection, Critic Mode, experiment browsing, reviewer scoring, and a short help guide.</w:t>
      </w:r>
    </w:p>
    <w:p>
      <w:pPr>
        <w:jc w:val="both"/>
      </w:pPr>
      <w:r>
        <w:t xml:space="preserve">Reviewer Mode implements an adjudication workflow modelled on annotation-queue patterns from trace-evaluation platforms such as LangSmith, Langfuse, and TruLens: select a run, see a progress indicator, step through queries, score on the same five-axis 1-to-5 rubric used in §4.10 (Correctness, Groundedness, Citation Usefulness, Usefulness, and Trust Calibration; the rubric definitions are included in the evidence pack), add notes, submit, and export the session as JSON or CSV. This positions Reviewer Mode as exportable evidence generation rather than a presentation feature.</w:t>
      </w:r>
    </w:p>
    <w:p>
      <w:pPr>
        <w:jc w:val="both"/>
      </w:pPr>
      <w:r>
        <w:t xml:space="preserve">One-click audit export 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66"/>
    <w:bookmarkStart w:id="67" w:name="engineering-challenges"/>
    <w:p>
      <w:pPr>
        <w:pStyle w:val="Heading2"/>
      </w:pPr>
      <w:r>
        <w:t xml:space="preserve">3.8 Engineering Challenges</w:t>
      </w:r>
    </w:p>
    <w:p>
      <w:pPr>
        <w:jc w:val="both"/>
      </w:pPr>
      <w:r>
        <w:t xml:space="preserve">Four engineering problems were especially significant. The first was JSON schema compliance: early LLM outputs often failed to return valid JSON, so the final system uses a repair-and-retry path before falling back to Extractive Mode. The second was claim splitting. Simple period-based splitting failed on abbreviations, decimals, and numbered lists, so the verifier needed a more careful regex-based splitter and dedicated regression tests. The third was reranker-score behaviour: raw cross-encoder logits proved more useful for abstention than softmax-normalised scores, which were less discriminating, consistent with Nogueira and Cho (2019). The final issue was identifier stability. Sequential paragraph IDs were fragile when documents were reordered, so the final scheme combines document, page, local index, and content hash.</w:t>
      </w:r>
    </w:p>
    <w:bookmarkEnd w:id="67"/>
    <w:bookmarkStart w:id="68" w:name="testing-and-validation"/>
    <w:p>
      <w:pPr>
        <w:pStyle w:val="Heading2"/>
      </w:pPr>
      <w:r>
        <w:t xml:space="preserve">3.9 Testing and Validation</w:t>
      </w:r>
    </w:p>
    <w:p>
      <w:pPr>
        <w:jc w:val="both"/>
      </w:pPr>
      <w:r>
        <w:t xml:space="preserve">The evaluator test suite collects 346 tests under the documented</w:t>
      </w:r>
      <w:r>
        <w:t xml:space="preserve"> </w:t>
      </w:r>
      <w:r>
        <w:rPr>
          <w:rStyle w:val="VerbatimChar"/>
        </w:rPr>
        <w:t xml:space="preserve">pytest -q --ignore=tests/test_run_eval_requires_key_in_generative.py</w:t>
      </w:r>
      <w:r>
        <w:t xml:space="preserve"> </w:t>
      </w:r>
      <w:r>
        <w:t xml:space="preserve">command: 344 pass and 2 are conditionally skipped. The 60 test files are organised in three tiers: unit (functions in isolation), integration (pipeline stage interactions), and system (end-to-end and reproducibility). The suite executes in under 60 s on consumer hardware. Coverage spans the pipeline’s reliability surfaces: ingestion ID stability, retrieval correctness, verifier behaviour on paraphrase and numeric edge cases, schema repair-and-retry, abstention thresholding, contradiction surfacing, end-to-end integration of generative and extractive paths, and the B5 evidence-gated answerability gate. The complete per-file matrix appears in Appendix B.9.</w:t>
      </w:r>
    </w:p>
    <w:bookmarkEnd w:id="68"/>
    <w:bookmarkEnd w:id="69"/>
    <w:bookmarkStart w:id="8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7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 (corrected v2 after the label audit in Appendix B.7.5).</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development split was used only for threshold tuning (§4.5). B1, B2 and B3-Generative were evaluated across the full golden set, while B3-Extractive was evaluated on the held-out test split. The tables below state the relevant split for each row so that the metrics are not compared as if they came from identical denominators.</w:t>
      </w:r>
    </w:p>
    <w:p>
      <w:pPr>
        <w:jc w:val="both"/>
      </w:pPr>
      <w:r>
        <w:t xml:space="preserve">Objective slice. Automated RAG evaluation depends on either gold annotations (debatable) or LLM-as-judge scoring (biased; Zheng et al., 2023). To reduce reliance on the latter, an objective slice of 16 answerable queries was identified, where the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 the golden-set file, and the corresponding results are produced by the objective-slice evaluation script. B1 answers all 16 with no grounding; B2 answers 13/16 with retrieval but no abstention; B3 answers 3/16 and abstains on 13/16, reflecting its conservative threshold.</w:t>
      </w:r>
    </w:p>
    <w:bookmarkEnd w:id="70"/>
    <w:bookmarkStart w:id="71" w:name="headline-results-baseline-comparison"/>
    <w:p>
      <w:pPr>
        <w:pStyle w:val="Heading2"/>
      </w:pPr>
      <w:r>
        <w:t xml:space="preserve">4.2 Headline Results: Baseline Comparison</w:t>
      </w:r>
    </w:p>
    <w:p>
      <w:pPr>
        <w:jc w:val="both"/>
      </w:pPr>
      <w:r>
        <w:t xml:space="preserve">Table 4.2 should be read as a safety-coverage trade-off rather than a leaderboard. Prompt-only generation answers everything but cites nothing, naive RAG adds retrieval and grounds some claims, and the full Policy Copilot pipeline in its generative configuration produces the safest surfaced answers at the cost of refusing far more often.</w:t>
      </w:r>
    </w:p>
    <w:p>
      <w:pPr>
        <w:jc w:val="both"/>
      </w:pPr>
    </w:p>
    <w:p>
      <w:pPr>
        <w:jc w:val="both"/>
      </w:pPr>
      <w:r>
        <w:rPr>
          <w:b/>
          <w:bCs/>
          <w:sz w:val="21"/>
        </w:rPr>
        <w:t xml:space="preserve">Table 4.2: Baseline comparison across primary metrics on the corrected v2 golden set. B1 / B2 / B3-Generative use retained outputs replayed against corrected labels (no new LLM calls). B3-Extractive and B5 use the hybrid dense+BM25 RRF backend. B4 is replay-based over the retained B3-Generative outputs with extractive fallback where retrieval evidence is strong. Ungrounded Rate is the surfaced response-level rate after enforcement.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Backend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74.0%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B4 Conservative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 extractive fallback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50.0%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B5 Evidence-Gated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 answerability gate (no LLM)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bl>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The prompt-only baseline answers every query without grounding (Ji et al., 2023). Naive RAG abstains just below the FR2 target as a side effect of irrelevant-context refusal, not verified-citation enforcement. The B3-Generative configuration is the chapter’s main case. The Ungrounded Rate is reported at the</w:t>
      </w:r>
      <w:r>
        <w:t xml:space="preserve"> </w:t>
      </w:r>
      <w:r>
        <w:rPr>
          <w:i/>
          <w:iCs/>
        </w:rPr>
        <w:t xml:space="preserve">surfaced response</w:t>
      </w:r>
      <w:r>
        <w:t xml:space="preserve"> </w:t>
      </w:r>
      <w:r>
        <w:t xml:space="preserve">level — what the enforcement layer suppresses, not what the LLM never produced; the honest companion is the</w:t>
      </w:r>
      <w:r>
        <w:t xml:space="preserve"> </w:t>
      </w:r>
      <w:r>
        <w:rPr>
          <w:i/>
          <w:iCs/>
        </w:rPr>
        <w:t xml:space="preserve">claim</w:t>
      </w:r>
      <w:r>
        <w:t xml:space="preserve">-level rate in Table 4.4. Abstention accuracy on the corrected unanswerable set reaches 100% — the only v1 false positive was a mislabel (Appendix B.7.5) — at the visible cost of low coverage relative to the 85% target.</w:t>
      </w:r>
    </w:p>
    <w:p>
      <w:pPr>
        <w:jc w:val="both"/>
      </w:pPr>
      <w:r>
        <w:t xml:space="preserve">B4 Conservative Hybrid Mode is the project’s coverage-recovery configuration: it returns the generative answer when the support gate passes, falls back to the top retrieved paragraph verbatim (with its citation) when generation is unsafe but retrieval is strong, and abstains otherwise. The fallback overlap threshold was tuned on the dev split to the lowest value that keeps unanswerable abstention at 100% (see</w:t>
      </w:r>
      <w:r>
        <w:t xml:space="preserve"> </w:t>
      </w:r>
      <w:r>
        <w:rPr>
          <w:rStyle w:val="VerbatimChar"/>
        </w:rPr>
        <w:t xml:space="preserve">results/tables/b4_threshold_tune_dev.csv</w:t>
      </w:r>
      <w:r>
        <w:t xml:space="preserve">); the selected value is 0.09. B4 raises Answer Rate from 25.0% to 50.0% while preserving 100% Abstention Accuracy and 0% surfaced Ungrounded Rate; it never returns uncited text. B3-Extractive on the hybrid backend recovers most coverage (92.5%) with 78% Recall@5, but is weaker at refusing unanswerable questions because it bypasses the LLM and the post-generation support gate. §4.13 returns to the trade-off.</w:t>
      </w:r>
    </w:p>
    <w:bookmarkEnd w:id="71"/>
    <w:bookmarkStart w:id="72" w:name="retrieval-performance"/>
    <w:p>
      <w:pPr>
        <w:pStyle w:val="Heading2"/>
      </w:pPr>
      <w:r>
        <w:t xml:space="preserve">4.3 Retrieval Performance</w:t>
      </w:r>
    </w:p>
    <w:p>
      <w:pPr>
        <w:jc w:val="both"/>
      </w:pPr>
      <w:r>
        <w:t xml:space="preserve">Retrieval ceiling determines downstream answer quality (Barnett et al., 2024). Table 4.3 reports retrieval metrics in two columns: the BM25-fallback run (generative-configuration source) and the new hybrid backend (dense FAISS + BM25 fused via Reciprocal Rank Fusion, dedup’d by paragraph_id) used for the extractive and B5 configurations; B4’s mixed replay provenance is stated in Table 4.2.</w:t>
      </w:r>
    </w:p>
    <w:p>
      <w:pPr>
        <w:jc w:val="both"/>
      </w:pPr>
    </w:p>
    <w:p>
      <w:pPr>
        <w:jc w:val="both"/>
      </w:pPr>
      <w:r>
        <w:rPr>
          <w:b/>
          <w:bCs/>
          <w:sz w:val="21"/>
        </w:rPr>
        <w:t xml:space="preserve">Table 4.3: Retrieval metrics on the corrected v2 golden set. The hybrid backend was built via Phase C of the final hardening pass; it is fully reproducible from a clean install through</w:t>
      </w:r>
      <w:r>
        <w:rPr>
          <w:b/>
          <w:bCs/>
          <w:sz w:val="21"/>
        </w:rPr>
        <w:t xml:space="preserve"> </w:t>
      </w:r>
      <w:r>
        <w:rPr>
          <w:rStyle w:val="VerbatimChar"/>
          <w:b/>
          <w:bCs/>
          <w:sz w:val="21"/>
        </w:rPr>
        <w:t xml:space="preserve">pip install -e ".[ml]"</w:t>
      </w:r>
      <w:r>
        <w:rPr>
          <w:b/>
          <w:bCs/>
          <w:sz w:val="21"/>
        </w:rPr>
        <w:t xml:space="preserve"> </w:t>
      </w:r>
      <w:r>
        <w:rPr>
          <w:b/>
          <w:bCs/>
          <w:sz w:val="21"/>
        </w:rPr>
        <w:t xml:space="preserve">and</w:t>
      </w:r>
      <w:r>
        <w:rPr>
          <w:b/>
          <w:bCs/>
          <w:sz w:val="21"/>
        </w:rPr>
        <w:t xml:space="preserve"> </w:t>
      </w:r>
      <w:r>
        <w:rPr>
          <w:rStyle w:val="VerbatimChar"/>
          <w:b/>
          <w:bCs/>
          <w:sz w:val="21"/>
        </w:rPr>
        <w:t xml:space="preserve">python scripts/build_index.py</w:t>
      </w:r>
      <w:r>
        <w:rPr>
          <w:b/>
          <w:bCs/>
          <w:sz w:val="21"/>
        </w:rP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(BM25 fallback, replay)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B3-Extractive (Hybrid: dense + BM25 RRF)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0.87</w:t>
            </w:r>
          </w:p>
        </w:tc>
      </w:tr>
    </w:tbl>
    <w:p>
      <w:pPr>
        <w:jc w:val="both"/>
      </w:pPr>
      <w:r>
        <w:t xml:space="preserve">Note: the hybrid backend recovers most of the retrieval-quality gap that the prior BM25 report documented as a residual limitation — Recall@5 improves by 5pp and MRR by 11 points. Backend provenance (requested, used, reason, dense_index_sha) is recorded in every</w:t>
      </w:r>
      <w:r>
        <w:t xml:space="preserve"> </w:t>
      </w:r>
      <w:r>
        <w:rPr>
          <w:rStyle w:val="VerbatimChar"/>
        </w:rPr>
        <w:t xml:space="preserve">run_config.json</w:t>
      </w:r>
      <w:r>
        <w:t xml:space="preserve">;</w:t>
      </w:r>
      <w:r>
        <w:t xml:space="preserve"> </w:t>
      </w:r>
      <w:r>
        <w:rPr>
          <w:rStyle w:val="VerbatimChar"/>
        </w:rPr>
        <w:t xml:space="preserve">Retriever(backend="dense", allow_fallback=False)</w:t>
      </w:r>
      <w:r>
        <w:t xml:space="preserve"> </w:t>
      </w:r>
      <w:r>
        <w:t xml:space="preserve">raises</w:t>
      </w:r>
      <w:r>
        <w:t xml:space="preserve"> </w:t>
      </w:r>
      <w:r>
        <w:rPr>
          <w:rStyle w:val="VerbatimChar"/>
        </w:rPr>
        <w:t xml:space="preserve">BackendUnavailableError</w:t>
      </w:r>
      <w:r>
        <w:t xml:space="preserve"> </w:t>
      </w:r>
      <w:r>
        <w:t xml:space="preserve">rather than silently falling back, so this discrepancy can no longer occur unobserved. The reranker’s component-level contribution is isolated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72"/>
    <w:bookmarkStart w:id="73" w:name="groundedness-and-verification"/>
    <w:p>
      <w:pPr>
        <w:pStyle w:val="Heading2"/>
      </w:pPr>
      <w:r>
        <w:t xml:space="preserve">4.4 Groundedness and Verification</w:t>
      </w:r>
    </w:p>
    <w:p>
      <w:pPr>
        <w:jc w:val="both"/>
      </w:pPr>
      <w:r>
        <w:t xml:space="preserve">Grounding is reported at two layers. The</w:t>
      </w:r>
      <w:r>
        <w:t xml:space="preserve"> </w:t>
      </w:r>
      <w:r>
        <w:rPr>
          <w:i/>
          <w:iCs/>
        </w:rPr>
        <w:t xml:space="preserve">claim</w:t>
      </w:r>
      <w:r>
        <w:t xml:space="preserve">-level metric in Table 4.4 measures what the heuristic verifier itself catches inside a response, before any response-level decision. The</w:t>
      </w:r>
      <w:r>
        <w:t xml:space="preserve"> </w:t>
      </w:r>
      <w:r>
        <w:rPr>
          <w:i/>
          <w:iCs/>
        </w:rPr>
        <w:t xml:space="preserve">response</w:t>
      </w:r>
      <w:r>
        <w:t xml:space="preserve">-level headline in Table 4.2 measures what the user actually sees after weakly supported responses have been converted into abstentions. The 12% → 4% drop in the table below is the residual ceiling of the heuristic verifier, not a discrepancy with the 0.0% headline.</w:t>
      </w:r>
    </w:p>
    <w:p>
      <w:pPr>
        <w:jc w:val="both"/>
      </w:pPr>
    </w:p>
    <w:p>
      <w:pPr>
        <w:jc w:val="both"/>
      </w:pPr>
      <w:r>
        <w:rPr>
          <w:b/>
          <w:bCs/>
          <w:sz w:val="21"/>
        </w:rPr>
        <w:t xml:space="preserve">Table 4.4: Groundedness metrics for B3-Generative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t xml:space="preserve">Note: These are intermediate claim-level rates after failed claims have been pruned, but before the final response-level support gate. The 4% value is therefore the residual claim-level error left by the heuristic. The 0.0% value in Table 4.2 is what reaches the user after weakly supported responses are converted into abstentions.</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p>
      <w:pPr>
        <w:jc w:val="both"/>
      </w:pPr>
      <w:r>
        <w:t xml:space="preserve">Contradiction surfacing. The detector was extended with a quantitative-fact layer (</w:t>
      </w:r>
      <w:r>
        <w:rPr>
          <w:rStyle w:val="VerbatimChar"/>
        </w:rPr>
        <w:t xml:space="preserve">src/policy_copilot/verify/policy_facts.py</w:t>
      </w:r>
      <w:r>
        <w:t xml:space="preserve">) that catches numeric conflicts the legacy</w:t>
      </w:r>
      <w:r>
        <w:t xml:space="preserve"> </w:t>
      </w:r>
      <w:r>
        <w:t xml:space="preserve">“minimum N”</w:t>
      </w:r>
      <w:r>
        <w:t xml:space="preserve"> </w:t>
      </w:r>
      <w:r>
        <w:t xml:space="preserve">regex missed — e.g. 8 vs 12 character password length, 60 vs 90 day rotation. On the hybrid backend the upgraded detector reports recall = 0.80 (up from 0.40 with the legacy detector, and 0.20 on the BM25-replay run); precision is 0.222, F1 rises to 0.348 (</w:t>
      </w:r>
      <w:r>
        <w:rPr>
          <w:rStyle w:val="VerbatimChar"/>
        </w:rPr>
        <w:t xml:space="preserve">results/tables/contradiction_evaluation_v2.csv</w:t>
      </w:r>
      <w:r>
        <w:t xml:space="preserve">, row</w:t>
      </w:r>
      <w:r>
        <w:t xml:space="preserve"> </w:t>
      </w:r>
      <w:r>
        <w:rPr>
          <w:rStyle w:val="VerbatimChar"/>
        </w:rPr>
        <w:t xml:space="preserve">b3_extractive_hybrid_v2_contra_upgraded</w:t>
      </w:r>
      <w:r>
        <w:t xml:space="preserve">). The retrieval bottleneck remains: the detector fires only on opposing or matching subject+unit facts within the top-five reranked context. NLI-based entailment is treated as future work in §5.3.</w:t>
      </w:r>
    </w:p>
    <w:bookmarkEnd w:id="73"/>
    <w:bookmarkStart w:id="74" w:name="abstention-threshold-sensitivity"/>
    <w:p>
      <w:pPr>
        <w:pStyle w:val="Heading2"/>
      </w:pPr>
      <w:r>
        <w:t xml:space="preserve">4.5 Abstention Threshold Sensitivity</w:t>
      </w:r>
    </w:p>
    <w:p>
      <w:pPr>
        <w:jc w:val="both"/>
      </w:pPr>
      <w:r>
        <w:t xml:space="preserve">Figure 4.4 is the clearest empirical characterisation of the system’s safety–coverage operating frontier. B3 has two refusal mechanisms: a retrieval-confidence gate before the LLM is called, and a support-rate gate after the LLM has produced an answer. In the final BM25-fallback evaluation, the first gate does little because every query receives the same maximum rerank value. The support-rate gate is therefore the meaningful threshold in this run, and the sweep shows how moving this threshold changes the balance between answer coverage and abstention accuracy.</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p>
      <w:pPr>
        <w:jc w:val="both"/>
      </w:pPr>
      <w:r>
        <w:t xml:space="preserve">This matters because the shipped τ = 0.80 setting is not the only possible system behaviour. It is the precision-favouring operating point chosen for a compliance-style setting where unsupported surfaced answers are more costly than refusals. A less safety-critical deployment could choose a lower threshold and recover answer coverage, but would need to accept weaker abstention behaviour. The dissertation’s main empirical finding is therefore the shape of this frontier, not just the single shipped point.</w:t>
      </w:r>
    </w:p>
    <w:p>
      <w:pPr>
        <w:jc w:val="both"/>
      </w:pPr>
      <w:r>
        <w:rPr>
          <w:b/>
          <w:bCs/>
        </w:rPr>
        <w:t xml:space="preserve">BM25-specific retuning diagnostic.</w:t>
      </w:r>
      <w:r>
        <w:t xml:space="preserve"> </w:t>
      </w:r>
      <w:r>
        <w:t xml:space="preserve">Because the final reproducible run uses the BM25 fallback backend (§3.3), I replayed the post-LLM support-rate gate over the retained B3-Generative</w:t>
      </w:r>
      <w:r>
        <w:t xml:space="preserve"> </w:t>
      </w:r>
      <w:r>
        <w:rPr>
          <w:rStyle w:val="VerbatimChar"/>
        </w:rPr>
        <w:t xml:space="preserve">outputs.jsonl</w:t>
      </w:r>
      <w:r>
        <w:t xml:space="preserve"> </w:t>
      </w:r>
      <w:r>
        <w:t xml:space="preserve">at finer granularity (τ in steps of 0.01) and added a per-τ response-level Ungrounded Rate column that the original sweep does not report. The selection rule fixes Answer Rate as the objective subject to two safety constraints used elsewhere in the dissertation: Abstention Accuracy ≥ 80% (Objective 4 / FR2) and response-level Ungrounded Rate ≤ 5% (Objective 1 / FR1). Under that rule, the feasible region collapses to the plateau τ ∈ [0.70, 1.00], over which Answer Rate is constant at 25.0%, Abstention Accuracy at 94.1%, and response-level Ungrounded Rate at 0%. The shipped τ = 0.80 already sits on this plateau, and no τ inside the safety envelope recovers additional coverage. Below the plateau the support-rate gate begins admitting answers whose claim-level support rate is incomplete: response-level Ungrounded Rate jumps from 0% at τ = 0.70 to 45% at τ = 0.65, which the earlier (Answer Rate vs Abstention Accuracy only) view did not surface. The retuning analysis therefore strengthens the operating-frontier framing: the 25% Answer Rate is the</w:t>
      </w:r>
      <w:r>
        <w:t xml:space="preserve"> </w:t>
      </w:r>
      <w:r>
        <w:rPr>
          <w:i/>
          <w:iCs/>
        </w:rPr>
        <w:t xml:space="preserve">maximum</w:t>
      </w:r>
      <w:r>
        <w:t xml:space="preserve"> </w:t>
      </w:r>
      <w:r>
        <w:t xml:space="preserve">coverage attainable under the dual safety constraints in this BM25-fallback run, not an arbitrary consequence of the shipped τ. Figure B.4 plots the three rates together and marks both the shipped and the (zero-uplift) retuned operating point; the artefacts produced by</w:t>
      </w:r>
      <w:r>
        <w:t xml:space="preserve"> </w:t>
      </w:r>
      <w:r>
        <w:rPr>
          <w:rStyle w:val="VerbatimChar"/>
        </w:rPr>
        <w:t xml:space="preserve">scripts/analyse_bm25_threshold_retuning.py</w:t>
      </w:r>
      <w:r>
        <w:t xml:space="preserve"> </w:t>
      </w:r>
      <w:r>
        <w:t xml:space="preserve">are listed in Appendix B.7.4.</w:t>
      </w:r>
    </w:p>
    <w:bookmarkEnd w:id="74"/>
    <w:bookmarkStart w:id="7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Reproducible component ablations on B3-Extractive (hybrid backend, corrected v2 golden set). Each row is a fresh run with the named component disabled; the source CSV is</w:t>
      </w:r>
      <w:r>
        <w:rPr>
          <w:b/>
          <w:bCs/>
          <w:sz w:val="21"/>
        </w:rPr>
        <w:t xml:space="preserve"> </w:t>
      </w:r>
      <w:r>
        <w:rPr>
          <w:rStyle w:val="VerbatimChar"/>
          <w:b/>
          <w:bCs/>
          <w:sz w:val="21"/>
        </w:rPr>
        <w:t xml:space="preserve">results/tables/component_ablation_final.csv</w:t>
      </w:r>
      <w:r>
        <w:rPr>
          <w:b/>
          <w:bCs/>
          <w:sz w:val="21"/>
        </w:rPr>
        <w:t xml:space="preserve"> </w:t>
      </w:r>
      <w:r>
        <w:rPr>
          <w:b/>
          <w:bCs/>
          <w:sz w:val="21"/>
        </w:rPr>
        <w:t xml:space="preserve">and each row traces to its own</w:t>
      </w:r>
      <w:r>
        <w:rPr>
          <w:b/>
          <w:bCs/>
          <w:sz w:val="21"/>
        </w:rPr>
        <w:t xml:space="preserve"> </w:t>
      </w:r>
      <w:r>
        <w:rPr>
          <w:rStyle w:val="VerbatimChar"/>
          <w:b/>
          <w:bCs/>
          <w:sz w:val="21"/>
        </w:rPr>
        <w:t xml:space="preserve">results/runs/ablation_*</w:t>
      </w:r>
      <w:r>
        <w:rPr>
          <w:b/>
          <w:bCs/>
          <w:sz w:val="21"/>
        </w:rPr>
        <w:t xml:space="preserve"> </w:t>
      </w:r>
      <w:r>
        <w:rPr>
          <w:b/>
          <w:bCs/>
          <w:sz w:val="21"/>
        </w:rPr>
        <w:t xml:space="preserve">directory.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Full B3-Extractive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Abstention Gate (τ = 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97.5%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23.1%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bl>
    <w:p>
      <w:pPr>
        <w:jc w:val="both"/>
      </w:pPr>
      <w:r>
        <w:t xml:space="preserve">Reranking is the largest single contributor: with reranker scores removed the relevance gate refuses every query (Answer Rate 0%). Removing the Abstention Gate (τ = 0) recovers 5pp of Answer Rate (97.5%) but collapses Abstention Accuracy from 76.9% to 23.1%, expressing the safety/coverage trade-off. Removing the post-LLM verifier has no effect on B3-Extractive because it does not synthesise claims; verification only fires in B3-Generative and B4. Removing Contradiction Detection leaves headline metrics unchanged at this scope; its contribution is qualitative and is evaluated separately in §4.4.</w:t>
      </w:r>
    </w:p>
    <w:bookmarkEnd w:id="75"/>
    <w:bookmarkStart w:id="7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 on the 50-snippet labelled suite. The results are reproduced by the committed critic-evaluation script, with per-label and macro values stored in</w:t>
      </w:r>
      <w:r>
        <w:rPr>
          <w:b/>
          <w:bCs/>
          <w:sz w:val="21"/>
        </w:rPr>
        <w:t xml:space="preserve"> </w:t>
      </w:r>
      <w:r>
        <w:rPr>
          <w:rStyle w:val="VerbatimChar"/>
          <w:b/>
          <w:bCs/>
          <w:sz w:val="21"/>
        </w:rPr>
        <w:t xml:space="preserve">results/tables/critic_summary.csv</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Normative / Loaded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Framing Imbalance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Unsupported Claim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Internal 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False Dilemma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Slippery Slope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pP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w:t>
            </w:r>
          </w:p>
        </w:tc>
      </w:tr>
    </w:tbl>
    <w:p>
      <w:pPr>
        <w:jc w:val="both"/>
      </w:pPr>
      <w:r>
        <w:t xml:space="preserve">Exact-match accuracy (gold label set equals predicted label set) on the same 50 snippets is 88.0%. The macro F1 of 93.8% clears the 85% FR6 target. The lowest-precision label is L2 (Framing Imbalance) at 60.0%: phrases like</w:t>
      </w:r>
      <w:r>
        <w:t xml:space="preserve"> </w:t>
      </w:r>
      <w:r>
        <w:t xml:space="preserve">“merely”</w:t>
      </w:r>
      <w:r>
        <w:t xml:space="preserve"> </w:t>
      </w:r>
      <w:r>
        <w:t xml:space="preserve">and</w:t>
      </w:r>
      <w:r>
        <w:t xml:space="preserve"> </w:t>
      </w:r>
      <w:r>
        <w:t xml:space="preserve">“only a”</w:t>
      </w:r>
      <w:r>
        <w:t xml:space="preserve"> </w:t>
      </w:r>
      <w:r>
        <w:t xml:space="preserve">are flagged as framing-imbalance markers but in conventional policy prose are sometimes legitimate qualifiers, so this is the main false-positive source. A future Critic iteration could whitelist conventionally acceptable terms or distinguish</w:t>
      </w:r>
      <w:r>
        <w:t xml:space="preserve"> </w:t>
      </w:r>
      <w:r>
        <w:t xml:space="preserve">“framing-imbalance and problematic”</w:t>
      </w:r>
      <w:r>
        <w:t xml:space="preserve"> </w:t>
      </w:r>
      <w:r>
        <w:t xml:space="preserve">from</w:t>
      </w:r>
      <w:r>
        <w:t xml:space="preserve"> </w:t>
      </w:r>
      <w:r>
        <w:t xml:space="preserve">“framing-imbalance but conventional”</w:t>
      </w:r>
      <w:r>
        <w:t xml:space="preserve">. The heuristic taxonomy here is distinct from any LLM-judge taxonomy that could be added in the LLM-critic path; the L1–L6 labels above are what the heuristic critic actually returns, and the committed critic-evaluation script reproduces these numbers.</w:t>
      </w:r>
    </w:p>
    <w:bookmarkEnd w:id="76"/>
    <w:bookmarkStart w:id="77" w:name="error-analysis"/>
    <w:p>
      <w:pPr>
        <w:pStyle w:val="Heading2"/>
      </w:pPr>
      <w:r>
        <w:t xml:space="preserve">4.8 Error Analysis</w:t>
      </w:r>
    </w:p>
    <w:p>
      <w:pPr>
        <w:jc w:val="both"/>
      </w:pPr>
      <w:r>
        <w:t xml:space="preserve">Error analysis combines manual classification of B3 failures with an automated 8-category classifier, producing per-baseline diagnostic profiles in the evidence pack.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B3-Generative failures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is the dominant failure mode, which is at least aligned with the safety-first design. In these cases, relevant evidence was retrieved but did not pass the final confidence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77"/>
    <w:bookmarkStart w:id="7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78"/>
    <w:bookmarkStart w:id="79" w:name="independent-reviewer-evaluation"/>
    <w:p>
      <w:pPr>
        <w:pStyle w:val="Heading2"/>
      </w:pPr>
      <w:r>
        <w:t xml:space="preserve">4.10 Independent Reviewer Evaluation</w:t>
      </w:r>
    </w:p>
    <w:p>
      <w:pPr>
        <w:jc w:val="both"/>
      </w:pPr>
      <w:r>
        <w:t xml:space="preserve">A small peer-review check was added because the automated metrics do not show how useful or trustworthy the answers feel to a reader. Six peer volunteers each scored a balanced sample of B3-Generative outputs using a five-axis Likert rubric covering correctness, groundedness, citation usefulness, usefulness, and trust calibration. The sample was balanced across answered cases, correct abstentions, over-abstentions, and contradiction probes. Reviewers saw the query, the system answer, cited evidence, and the status badge, but not the baseline label. Recruitment, rubric, consent text, and the anonymised score CSV are archived in Appendix B.10. The sessions were author-facilitated rather than run by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79"/>
    <w:bookmarkStart w:id="80" w:name="public-guidance-transfer-stress-test"/>
    <w:p>
      <w:pPr>
        <w:pStyle w:val="Heading2"/>
      </w:pPr>
      <w:r>
        <w:t xml:space="preserve">4.11 Public Guidance Transfer Stress Test</w:t>
      </w:r>
    </w:p>
    <w:p>
      <w:pPr>
        <w:jc w:val="both"/>
      </w:pPr>
      <w:r>
        <w:t xml:space="preserve">On a small public-guidance corpus drawn from NCSC, ICO and ACAS material, the system’s conservative grounding behaviour held: every cited answer was a verbatim retrieved paragraph and no fabricated citation was produced. The corpus is supplementary to the synthetic benchmark, not a replacement (8 documents, 249 paragraphs, a 20-query test set covering 12 answerable, 4 unanswerable, and 4 ambiguous-evidence cases). Only the Extractive pipeline was run because no LLM API key was used; provenance, licence, and access dates are recorded in Appendix B.11, and a generative transfer test remains future work in §5.3.</w:t>
      </w:r>
    </w:p>
    <w:p>
      <w:pPr>
        <w:jc w:val="both"/>
      </w:pPr>
    </w:p>
    <w:p>
      <w:pPr>
        <w:jc w:val="both"/>
      </w:pPr>
      <w:r>
        <w:rPr>
          <w:b/>
          <w:bCs/>
          <w:sz w:val="21"/>
        </w:rPr>
        <w:t xml:space="preserve">Table 4.10: Synthetic test split versus public-guidance transfer set (Extractive Mode).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50.0% (n=12)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Modest on the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73.4%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0.7562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it either quoted the retrieved evidence or abstained. Coverage was also similar to the synthetic test split, with a 91.7% Answer Rate compared with 88%. The weaker result is retrieval. Evidence Recall@5 fell from 73.4% on the synthetic test split to 52.1% on the transfer set (a roughly 30% relative drop), and one unanswerable query about Cisco router configuration was answered too confidently because BM25 matched NCSC device-security guidance on the word</w:t>
      </w:r>
      <w:r>
        <w:t xml:space="preserve"> </w:t>
      </w:r>
      <w:r>
        <w:t xml:space="preserve">“configure”</w:t>
      </w:r>
      <w:r>
        <w:t xml:space="preserve">. On the small external public-guidance set, Extractive Mode produced no fabricated citations and correctly abstained on three of the four unanswerable queries. The result is limited to this extractive stress test and does not establish broad transfer, generative-mode behaviour, or behaviour on noisier real-world PDFs. §5.2 returns to this as Limitation L1, which wider evaluation should target.</w:t>
      </w:r>
    </w:p>
    <w:bookmarkEnd w:id="80"/>
    <w:bookmarkStart w:id="81" w:name="statistical-confidence"/>
    <w:p>
      <w:pPr>
        <w:pStyle w:val="Heading2"/>
      </w:pPr>
      <w:r>
        <w:t xml:space="preserve">4.12 Statistical Confidence</w:t>
      </w:r>
    </w:p>
    <w:p>
      <w:pPr>
        <w:jc w:val="both"/>
      </w:pPr>
      <w:r>
        <w:t xml:space="preserve">Because the corrected v2 golden set is small (n = 63: 40 answerable, 13 unanswerable, 10 contradiction), bootstrapped 95% confidence intervals were computed for the headline B5 Evidence-Gated Hybrid metrics; full per-baseline CIs (B1-B5) are in</w:t>
      </w:r>
      <w:r>
        <w:t xml:space="preserve"> </w:t>
      </w:r>
      <w:r>
        <w:rPr>
          <w:rStyle w:val="VerbatimChar"/>
        </w:rPr>
        <w:t xml:space="preserve">results/tables/statistical_confidence_v2.csv</w:t>
      </w:r>
      <w:r>
        <w:t xml:space="preserve">.</w:t>
      </w:r>
    </w:p>
    <w:p>
      <w:pPr>
        <w:jc w:val="both"/>
      </w:pPr>
    </w:p>
    <w:p>
      <w:pPr>
        <w:jc w:val="both"/>
      </w:pPr>
      <w:r>
        <w:rPr>
          <w:b/>
          <w:bCs/>
          <w:sz w:val="21"/>
        </w:rPr>
        <w:t xml:space="preserve">Table 4.11: 95% bootstrap CIs for headline B5 metrics on the corrected v2 golden set. Each metric is bootstrapped over its own per-query denominator (Answer Rate over 40 answerable; Abstention Accuracy over 13 unanswerable; Evidence Recall@5 over 50 queries with non-empty</w:t>
      </w:r>
      <w:r>
        <w:rPr>
          <w:b/>
          <w:bCs/>
          <w:sz w:val="21"/>
        </w:rPr>
        <w:t xml:space="preserve"> </w:t>
      </w:r>
      <w:r>
        <w:rPr>
          <w:rStyle w:val="VerbatimChar"/>
          <w:b/>
          <w:bCs/>
          <w:sz w:val="21"/>
        </w:rPr>
        <w:t xml:space="preserve">gold_paragraph_ids</w:t>
      </w:r>
      <w:r>
        <w:rPr>
          <w:b/>
          <w:bCs/>
          <w:sz w:val="21"/>
        </w:rPr>
        <w:t xml:space="preserve">; Citation Precision over the 36 cited surfaced responses), seed = 42, n_resamples = 2,000.</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Denominator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[80.0%, 97.5%]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[61.5%, 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 with gold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[70.0%, 85.0%]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 cited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 100.0%]</w:t>
            </w:r>
          </w:p>
        </w:tc>
      </w:tr>
    </w:tbl>
    <w:p>
      <w:pPr>
        <w:jc w:val="both"/>
      </w:pPr>
      <w:r>
        <w:t xml:space="preserve">The wide B5 AbsAcc CI reflects the small n = 13 unanswerable subset; the upper bound at 100% indicates a ceiling effect. B3-Generative on the same set bootstraps to AR 25.0% [12.5%, 40.0%] and AbsAcc 100%. With n = 63, all point estimates are indicative; an n = 200+ stratified evaluation is recommended for follow-up.</w:t>
      </w:r>
    </w:p>
    <w:bookmarkEnd w:id="81"/>
    <w:bookmarkStart w:id="8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 (v2 corrected golden set)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 surfaced (Gen/B4, after enforcement); 4% residual claim-level (Gen);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replay), 92.5% (Ext, hybrid), 50.0% (B4), 90.0% (B5)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B5 (90.0%) and B3-Extractive (92.5%); not met by B3-Generative or B4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 (B3-Ext hybrid, all-split, CI95 [70.0%, 85.0%]); 73.0% (Gen, BM25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Near miss; CI overlaps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 (Gen/B4); 84.6% (B5, CI95 [61.5%, 100%]); 76.9%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Gen, B4 and B5 (B5 wide CI, n=13); Ext just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 (heuristic, 50-snippet labelled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Headline grounding, Critic Mode F1, abstention (B3-Generative, B4 and B5), and the harness all meet their targets on the corrected v2 set. Objective 2 is met by B5 Evidence-Gated Hybrid (90.0%) and B3-Extractive on hybrid (92.5%); B5 is the stronger final configuration because it meets the answer-rate target while preserving the abstention, citation-precision and surfaced-grounding floors (CI on B5 AbsAcc wide due to n=13). B3-Generative (25%) and B4 (50%) do not reach 85%. Objective 3 reaches 78%, two points below target, with a CI overlapping 80%.</w:t>
      </w:r>
    </w:p>
    <w:p>
      <w:pPr>
        <w:jc w:val="both"/>
      </w:pPr>
      <w:r>
        <w:t xml:space="preserve">The remaining open issue is generative coverage. The §4.5 sweep showed 25% is the maximum attainable under the dual safety constraints on the BM25-fallback outputs. B4 addresses this by degrading gracefully: when generation fails the support gate and retrieval is strong, B4 returns the retrieved paragraph verbatim with its citation. The cost of high coverage in this closed-corpus setting is paid as controlled extractive degradation rather than relaxed safety.</w:t>
      </w:r>
    </w:p>
    <w:bookmarkEnd w:id="82"/>
    <w:bookmarkEnd w:id="83"/>
    <w:bookmarkStart w:id="87"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84" w:name="conclusions"/>
    <w:p>
      <w:pPr>
        <w:pStyle w:val="Heading2"/>
      </w:pPr>
      <w:r>
        <w:t xml:space="preserve">5.1 Conclusions</w:t>
      </w:r>
    </w:p>
    <w:p>
      <w:pPr>
        <w:jc w:val="both"/>
      </w:pPr>
      <w:r>
        <w:t xml:space="preserve">Contribution. This project contributes an end-to-end design and empirical evaluation of a closed-corpus RAG configuration where grounding, abstention, citation verification, and audit traceability are treated as part of the system contract rather than optional add-ons. More specifically, it characterises the safety–coverage operating frontier created by enforcing a strict</w:t>
      </w:r>
      <w:r>
        <w:t xml:space="preserve"> </w:t>
      </w:r>
      <w:r>
        <w:t xml:space="preserve">“cited or silent”</w:t>
      </w:r>
      <w:r>
        <w:t xml:space="preserve"> </w:t>
      </w:r>
      <w:r>
        <w:t xml:space="preserve">rule: the shipped configuration suppresses unsupported surfaced answers at the response level, but does so by refusing many queries that a less conservative system would attempt to answer. The individual components are standard or heuristic; the contribution is the way they are combined, evaluated, and exposed as an auditable operating regime.</w:t>
      </w:r>
    </w:p>
    <w:p>
      <w:pPr>
        <w:jc w:val="both"/>
      </w:pPr>
      <w:r>
        <w:t xml:space="preserve">The final B5 result is the practical version of that finding: it reaches 90.0% Answer Rate while keeping 84.6% Abstention Accuracy, 100% Citation Precision and 0.0% surfaced response-level Ungrounded Rate, by giving up fluent generation when extractive evidence is the safer output.</w:t>
      </w:r>
    </w:p>
    <w:p>
      <w:pPr>
        <w:jc w:val="both"/>
      </w:pPr>
      <w:r>
        <w:t xml:space="preserve">The project asked whether a RAG system over a closed policy corpus could be made grounded enough to be useful in an audit setting,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For closed corpora of this size (under 2,000 paragraphs), a reranker is worth the engineering effort before trying more elaborate alternatives such as LLM self-evaluation or multi-step verification chains. The reranker cost on consumer hardware was around 1.8 s per query —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In Generative Mode the answer is more useful when it works, but the system relies on verification and the support-rate gate to decide whether the generated text is safe enough to show. The 0.0% headline ungrounded rate is therefore a result of the enforcement layer, not evidence that the LLM itself never hallucinated.</w:t>
      </w:r>
    </w:p>
    <w:bookmarkEnd w:id="84"/>
    <w:bookmarkStart w:id="85" w:name="limitations"/>
    <w:p>
      <w:pPr>
        <w:pStyle w:val="Heading2"/>
      </w:pPr>
      <w:r>
        <w:t xml:space="preserve">5.2 Limitations</w:t>
      </w:r>
    </w:p>
    <w:p>
      <w:pPr>
        <w:jc w:val="both"/>
      </w:pPr>
      <w:r>
        <w:t xml:space="preserve">The bounded claim above rests on five threats to validity. Each names a place where the central finding could weaken if the corresponding constraint were relaxed, rather than a generic project shortcoming.</w:t>
      </w:r>
    </w:p>
    <w:p>
      <w:pPr>
        <w:jc w:val="both"/>
      </w:pPr>
      <w:r>
        <w:t xml:space="preserve">L1: Primary Corpus is Synthetic. The headline benchmark was authored for this project, which enabled controlled injection of test cases (contradictions, vague language) but means the paragraphs are cleaner than real-world scanned PDFs with OCR noise and inconsistent boilerplate. The Public Guidance Transfer Stress Test in §4.11 partially addresses this: on the NCSC/ICO/ACAS corpus, B3-Extractive still produced zero fabricated citations and 0% ungrounded rate, but Evidence Recall@5 fell from 73.4% to 52.1% (~30% relative drop). Wider transfer to noisier real-world documents and a generative-mode test on the public corpus remains future work (§5.3).</w:t>
      </w:r>
    </w:p>
    <w:p>
      <w:pPr>
        <w:jc w:val="both"/>
      </w:pPr>
      <w:r>
        <w:t xml:space="preserve">L2: Golden Set Size. 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t xml:space="preserve">L3: Heuristic Verification Ceiling. 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t xml:space="preserve">L4: Single LLM Evaluated. 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t xml:space="preserve">L5: Limited Independent Human Evaluation and Adversarial Coverage. The independent reviewer evaluation is small, author-facilitated rather than fully blinded, and uses CS peers rather than compliance specialists. Round 2 reaches Krippendorff’s α 0.74 on three of five axes (Appendix B.10); the 15-query adversarial probe (Appendix B.12) is full at 100% safe on the Extractive arm but</w:t>
      </w:r>
      <w:r>
        <w:t xml:space="preserve"> </w:t>
      </w:r>
      <w:r>
        <w:rPr>
          <w:rStyle w:val="VerbatimChar"/>
        </w:rPr>
        <w:t xml:space="preserve">n/a</w:t>
      </w:r>
      <w:r>
        <w:t xml:space="preserve"> </w:t>
      </w:r>
      <w:r>
        <w:t xml:space="preserve">on the Generative arm after</w:t>
      </w:r>
      <w:r>
        <w:t xml:space="preserve"> </w:t>
      </w:r>
      <w:r>
        <w:rPr>
          <w:rStyle w:val="VerbatimChar"/>
        </w:rPr>
        <w:t xml:space="preserve">insufficient_quota</w:t>
      </w:r>
      <w:r>
        <w:t xml:space="preserve"> </w:t>
      </w:r>
      <w:r>
        <w:t xml:space="preserve">errors. A more rigorous follow-up would use two independent domain-expert raters, full blinding, and per-item collection (Es et al., 2024).</w:t>
      </w:r>
    </w:p>
    <w:p>
      <w:pPr>
        <w:jc w:val="both"/>
      </w:pPr>
      <w:r>
        <w:t xml:space="preserve">A single threats-to-validity table compiling each of the above against its mitigation and remaining weakness is given in Appendix B.13.</w:t>
      </w:r>
    </w:p>
    <w:bookmarkEnd w:id="85"/>
    <w:bookmarkStart w:id="86" w:name="future-work-and-reflection"/>
    <w:p>
      <w:pPr>
        <w:pStyle w:val="Heading2"/>
      </w:pPr>
      <w:r>
        <w:t xml:space="preserve">5.3 Future Work and Reflection</w:t>
      </w:r>
    </w:p>
    <w:p>
      <w:pPr>
        <w:jc w:val="both"/>
      </w:pPr>
      <w:r>
        <w:t xml:space="preserve">The nearest future-work technical step is NLI-based verification (FEVER- or SciFact-style entailment models) as a backstop for borderline claims (Thorne et al., 2018; Wadden et al., 2020), addressing the L3 ceiling. The second priority is domain-adapted embeddings on legal NLP corpora (Chalkidis et al., 2020). A stronger evaluation would expand the golden set to 200+ queries, compare two LLM families, and validate on a real organisational corpus with an industry partner. In reflection, designing this evaluation was harder than building the reliability features: a safety-first RAG system cannot be judged by answer rate alone.</w:t>
      </w:r>
    </w:p>
    <w:bookmarkEnd w:id="86"/>
    <w:bookmarkEnd w:id="87"/>
    <w:bookmarkStart w:id="88"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 Proceedings of the Twelfth International Conference on Learning Representations (ICLR).</w:t>
      </w:r>
    </w:p>
    <w:p>
      <w:pPr>
        <w:jc w:val="both"/>
      </w:pPr>
      <w:r>
        <w:t xml:space="preserve">Barnett, S., Kurniawan, S., Thudumu, S., Brannelly, Z. and Abdelrazek, M. (2024)</w:t>
      </w:r>
      <w:r>
        <w:t xml:space="preserve"> </w:t>
      </w:r>
      <w:r>
        <w:t xml:space="preserve">‘Seven Failure Points When Engineering a Retrieval Augmented Generation System’</w:t>
      </w:r>
      <w:r>
        <w:t xml:space="preserve">, Proceedings of the IEEE/ACM 3rd International Conference on AI Engineering (CAIN), pp. 194-199. doi:10.1145/3644815.3644945.</w:t>
      </w:r>
    </w:p>
    <w:p>
      <w:pPr>
        <w:jc w:val="both"/>
      </w:pPr>
      <w:r>
        <w:t xml:space="preserve">Bohnet, B. et al. (2022)</w:t>
      </w:r>
      <w:r>
        <w:t xml:space="preserve"> </w:t>
      </w:r>
      <w:r>
        <w:t xml:space="preserve">‘Attributed Question Answering: Evaluation and Modeling for Attributed Large Language Models’</w:t>
      </w:r>
      <w:r>
        <w:t xml:space="preserve">, arXiv preprint arXiv:2212.08037.</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 Advances in Neural Information Processing Systems,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 Findings of the Association for Computational Linguistics: EMNLP 2020, pp. 2898-2904.</w:t>
      </w:r>
    </w:p>
    <w:p>
      <w:pPr>
        <w:jc w:val="both"/>
      </w:pPr>
      <w:r>
        <w:t xml:space="preserve">Chen, J., Yoon, J., Ebrahimi, S., Arik, S., Pfister, T. and Jha, S. (2023)</w:t>
      </w:r>
      <w:r>
        <w:t xml:space="preserve"> </w:t>
      </w:r>
      <w:r>
        <w:t xml:space="preserve">‘Adaptation with Self-Evaluation to Improve Selective Prediction in LLMs (ASPIRE)’</w:t>
      </w:r>
      <w:r>
        <w:t xml:space="preserve">, Findings of the Association for Computational Linguistics: EMNLP 2023, pp. 5190-5213. doi:10.18653/v1/2023.findings-emnlp.345.</w:t>
      </w:r>
    </w:p>
    <w:p>
      <w:pPr>
        <w:jc w:val="both"/>
      </w:pPr>
      <w:r>
        <w:t xml:space="preserve">Cuconasu, F., Trappolini, G., Siciliano, F., Filice, S., Campagnano, C., Maarek, Y., Tonellotto, N. and Silvestri, F. (2024)</w:t>
      </w:r>
      <w:r>
        <w:t xml:space="preserve"> </w:t>
      </w:r>
      <w:r>
        <w:t xml:space="preserve">‘The Power of Noise: Redefining Retrieval for RAG Systems’</w:t>
      </w:r>
      <w:r>
        <w:t xml:space="preserve">, Proceedings of the 47th International ACM SIGIR Conference on Research and Development in Information Retrieval, pp. 719-729. doi:10.1145/3626772.3657834.</w:t>
      </w:r>
    </w:p>
    <w:p>
      <w:pPr>
        <w:jc w:val="both"/>
      </w:pPr>
      <w:r>
        <w:t xml:space="preserve">Es, S., James, J., Espinosa-Anke, L. and Schockaert, S. (2024)</w:t>
      </w:r>
      <w:r>
        <w:t xml:space="preserve"> </w:t>
      </w:r>
      <w:r>
        <w:t xml:space="preserve">‘RAGAS: Automated Evaluation of Retrieval Augmented Generation’</w:t>
      </w:r>
      <w:r>
        <w:t xml:space="preserve">, Proceedings of the 18th Conference of the European Chapter of the Association for Computational Linguistics: System Demonstrations (EACL Demo), pp. 150-158.</w:t>
      </w:r>
    </w:p>
    <w:p>
      <w:pPr>
        <w:jc w:val="both"/>
      </w:pPr>
      <w:r>
        <w:t xml:space="preserve">Gao, L., Dai, Z., Pasupat, P., Chen, A., Chaganty, A.T., Fan, Y., Zhao, V., Lao, N., Lee, H., Juan, D.-C. and Guu, K. (2023)</w:t>
      </w:r>
      <w:r>
        <w:t xml:space="preserve"> </w:t>
      </w:r>
      <w:r>
        <w:t xml:space="preserve">‘RARR: Researching and Revising What Language Models Say, Using Language Models’</w:t>
      </w:r>
      <w:r>
        <w:t xml:space="preserve">, Proceedings of the 61st Annual Meeting of the Association for Computational Linguistics (Volume 1: Long Papers), pp. 16477-16508.</w:t>
      </w:r>
    </w:p>
    <w:p>
      <w:pPr>
        <w:jc w:val="both"/>
      </w:pPr>
      <w:r>
        <w:t xml:space="preserve">Guha, N. et al. (2023)</w:t>
      </w:r>
      <w:r>
        <w:t xml:space="preserve"> </w:t>
      </w:r>
      <w:r>
        <w:t xml:space="preserve">‘LegalBench: A Collaboratively Built Benchmark for Measuring Legal Reasoning in Large Language Models’</w:t>
      </w:r>
      <w:r>
        <w:t xml:space="preserve">, Advances in Neural Information Processing Systems, 36, pp. 44123-44279.</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 arXiv preprint arXiv:2311.05232.</w:t>
      </w:r>
    </w:p>
    <w:p>
      <w:pPr>
        <w:jc w:val="both"/>
      </w:pPr>
      <w:r>
        <w:t xml:space="preserve">Ji, Z., Lee, N., Frieske, R., Yu, T., Su, D., Xu, Y., Ishii, E., Bang, Y.J., Madotto, A. and Fung, P. (2023)</w:t>
      </w:r>
      <w:r>
        <w:t xml:space="preserve"> </w:t>
      </w:r>
      <w:r>
        <w:t xml:space="preserve">‘Survey of Hallucination in Natural Language Generation’</w:t>
      </w:r>
      <w:r>
        <w:t xml:space="preserve">, ACM Computing Surveys, 55(12), pp. 1-38.</w:t>
      </w:r>
    </w:p>
    <w:p>
      <w:pPr>
        <w:jc w:val="both"/>
      </w:pPr>
      <w:r>
        <w:t xml:space="preserve">Johnson, J., Douze, M. and Jégou, H. (2021)</w:t>
      </w:r>
      <w:r>
        <w:t xml:space="preserve"> </w:t>
      </w:r>
      <w:r>
        <w:t xml:space="preserve">‘Billion-Scale Similarity Search with GPUs’</w:t>
      </w:r>
      <w:r>
        <w:t xml:space="preserve">, IEEE Transactions on Big Data, 7(3), pp. 535-547. doi:10.1109/TBDATA.2019.2921572.</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 arXiv preprint arXiv:2207.05221.</w:t>
      </w:r>
    </w:p>
    <w:p>
      <w:pPr>
        <w:jc w:val="both"/>
      </w:pPr>
      <w:r>
        <w:t xml:space="preserve">Kamath, A., Jia, R. and Liang, P. (2020)</w:t>
      </w:r>
      <w:r>
        <w:t xml:space="preserve"> </w:t>
      </w:r>
      <w:r>
        <w:t xml:space="preserve">‘Selective Question Answering under Domain Shift’</w:t>
      </w:r>
      <w:r>
        <w:t xml:space="preserve">, Proceedings of the 58th Annual Meeting of the Association for Computational Linguistics, pp. 5684-5696.</w:t>
      </w:r>
    </w:p>
    <w:p>
      <w:pPr>
        <w:jc w:val="both"/>
      </w:pPr>
      <w:r>
        <w:t xml:space="preserve">Karpukhin, V., Oguz, B., Min, S., Lewis, P., Wu, L., Edunov, S., Chen, D. and Yih, W. (2020)</w:t>
      </w:r>
      <w:r>
        <w:t xml:space="preserve"> </w:t>
      </w:r>
      <w:r>
        <w:t xml:space="preserve">‘Dense Passage Retrieval for Open-Domain Question Answering’</w:t>
      </w:r>
      <w:r>
        <w:t xml:space="preserve">, Proceedings of the 2020 Conference on Empirical Methods in Natural Language Processing (EMNLP), pp. 6769-6781.</w:t>
      </w:r>
    </w:p>
    <w:p>
      <w:pPr>
        <w:jc w:val="both"/>
      </w:pPr>
      <w:r>
        <w:t xml:space="preserve">Katz, D.M., Bommarito, M.J., Gao, S. and Arredondo, P. (2024)</w:t>
      </w:r>
      <w:r>
        <w:t xml:space="preserve"> </w:t>
      </w:r>
      <w:r>
        <w:t xml:space="preserve">‘GPT-4 Passes the Bar Exam’</w:t>
      </w:r>
      <w:r>
        <w:t xml:space="preserve">, Philosophical Transactions of the Royal Society A,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 Proceedings of the 43rd International ACM SIGIR Conference on Research and Development in Information Retrieval, pp. 39-48.</w:t>
      </w:r>
    </w:p>
    <w:p>
      <w:pPr>
        <w:jc w:val="both"/>
      </w:pPr>
      <w:r>
        <w:t xml:space="preserve">Krippendorff, K. (2004) Content Analysis: An Introduction to Its Methodology. 2nd edn. Thousand Oaks, CA: Sage Publications.</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 Advances in Neural Information Processing Systems, 33, pp. 9459-9474.</w:t>
      </w:r>
    </w:p>
    <w:p>
      <w:pPr>
        <w:jc w:val="both"/>
      </w:pPr>
      <w:r>
        <w:t xml:space="preserve">Lin, J., Nogueira, R. and Yates, A. (2021) Pretrained Transformers for Text Ranking: BERT and Beyond. San Rafael, CA: Morgan &amp; Claypool (Synthesis Lectures on Human Language Technologies).</w:t>
      </w:r>
    </w:p>
    <w:p>
      <w:pPr>
        <w:jc w:val="both"/>
      </w:pPr>
      <w:r>
        <w:t xml:space="preserve">Liu, N.F., Lin, K., Hewitt, J., Paranjape, A., Bevilacqua, M., Petroni, F. and Liang, P. (2024)</w:t>
      </w:r>
      <w:r>
        <w:t xml:space="preserve"> </w:t>
      </w:r>
      <w:r>
        <w:t xml:space="preserve">‘Lost in the Middle: How Language Models Use Long Contexts’</w:t>
      </w:r>
      <w:r>
        <w:t xml:space="preserve">, Transactions of the Association for Computational Linguistics, 12, pp. 157-173.</w:t>
      </w:r>
    </w:p>
    <w:p>
      <w:pPr>
        <w:jc w:val="both"/>
      </w:pPr>
      <w:r>
        <w:t xml:space="preserve">Nogueira, R. and Cho, K. (2019)</w:t>
      </w:r>
      <w:r>
        <w:t xml:space="preserve"> </w:t>
      </w:r>
      <w:r>
        <w:t xml:space="preserve">‘Passage Re-ranking with BERT’</w:t>
      </w:r>
      <w:r>
        <w:t xml:space="preserve">, arXiv preprint arXiv:1901.04085.</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372, n71.</w:t>
      </w:r>
    </w:p>
    <w:p>
      <w:pPr>
        <w:jc w:val="both"/>
      </w:pPr>
      <w:r>
        <w:t xml:space="preserve">Penzkofer, V. and Baumann, T. (2024)</w:t>
      </w:r>
      <w:r>
        <w:t xml:space="preserve"> </w:t>
      </w:r>
      <w:r>
        <w:t xml:space="preserve">‘Evaluating and Fine-Tuning Retrieval-Augmented Language Models to Generate Text with Accurate Citations (RAGE)’</w:t>
      </w:r>
      <w:r>
        <w:t xml:space="preserve">, Proceedings of the 20th Conference on Natural Language Processing (KONVENS 2024), pp. 57-64.</w:t>
      </w:r>
    </w:p>
    <w:p>
      <w:pPr>
        <w:jc w:val="both"/>
      </w:pPr>
      <w:r>
        <w:t xml:space="preserve">Qu, R., Bao, F. and Tu, R. (2024)</w:t>
      </w:r>
      <w:r>
        <w:t xml:space="preserve"> </w:t>
      </w:r>
      <w:r>
        <w:t xml:space="preserve">‘Is Semantic Chunking Worth the Computational Cost?’</w:t>
      </w:r>
      <w:r>
        <w:t xml:space="preserve">, arXiv preprint arXiv:2410.13070.</w:t>
      </w:r>
    </w:p>
    <w:p>
      <w:pPr>
        <w:jc w:val="both"/>
      </w:pPr>
      <w:r>
        <w:t xml:space="preserve">Ren, R., Wang, Y., Qu, Y., Zhao, W.X., Liu, J., Tian, H., Wu, H., Wen, J.-R. and Wang, H. (2023)</w:t>
      </w:r>
      <w:r>
        <w:t xml:space="preserve"> </w:t>
      </w:r>
      <w:r>
        <w:t xml:space="preserve">‘Investigating the Factual Knowledge Boundary of Large Language Models with Retrieval Augmentation’</w:t>
      </w:r>
      <w:r>
        <w:t xml:space="preserve">, arXiv preprint arXiv:2307.11019.</w:t>
      </w:r>
    </w:p>
    <w:p>
      <w:pPr>
        <w:jc w:val="both"/>
      </w:pPr>
      <w:r>
        <w:t xml:space="preserve">Saad-Falcon, J., Khattab, O., Potts, C. and Zaharia, M. (2023)</w:t>
      </w:r>
      <w:r>
        <w:t xml:space="preserve"> </w:t>
      </w:r>
      <w:r>
        <w:t xml:space="preserve">‘ARES: An Automated Evaluation Framework for Retrieval-Augmented Generation Systems’</w:t>
      </w:r>
      <w:r>
        <w:t xml:space="preserve">, arXiv preprint arXiv:2311.09476.</w:t>
      </w:r>
    </w:p>
    <w:p>
      <w:pPr>
        <w:jc w:val="both"/>
      </w:pPr>
      <w:r>
        <w:t xml:space="preserve">Strubell, E., Ganesh, A. and McCallum, A. (2019)</w:t>
      </w:r>
      <w:r>
        <w:t xml:space="preserve"> </w:t>
      </w:r>
      <w:r>
        <w:t xml:space="preserve">‘Energy and Policy Considerations for Deep Learning in NLP’</w:t>
      </w:r>
      <w:r>
        <w:t xml:space="preserve">, Proceedings of the 57th Annual Meeting of the Association for Computational Linguistics (ACL), pp. 3645-3650.</w:t>
      </w:r>
    </w:p>
    <w:p>
      <w:pPr>
        <w:jc w:val="both"/>
      </w:pPr>
      <w:r>
        <w:t xml:space="preserve">Thorne, J., Vlachos, A., Christodoulopoulos, C. and Mittal, A. (2018)</w:t>
      </w:r>
      <w:r>
        <w:t xml:space="preserve"> </w:t>
      </w:r>
      <w:r>
        <w:t xml:space="preserve">‘FEVER: A Large-Scale Dataset for Fact Extraction and VERification’</w:t>
      </w:r>
      <w:r>
        <w:t xml:space="preserve">, Proceedings of the 2018 Conference of the North American Chapter of the Association for Computational Linguistics: Human Language Technologies (NAACL-HLT),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 arXiv preprint arXiv:2310.03214.</w:t>
      </w:r>
    </w:p>
    <w:p>
      <w:pPr>
        <w:jc w:val="both"/>
      </w:pPr>
      <w:r>
        <w:t xml:space="preserve">Wadden, D., Lin, S., Lo, K., Wang, L.L., van Zuylen, M., Cohan, A. and Hajishirzi, H. (2020)</w:t>
      </w:r>
      <w:r>
        <w:t xml:space="preserve"> </w:t>
      </w:r>
      <w:r>
        <w:t xml:space="preserve">‘Fact or Fiction: Verifying Scientific Claims’</w:t>
      </w:r>
      <w:r>
        <w:t xml:space="preserve">, Proceedings of the 2020 Conference on Empirical Methods in Natural Language Processing (EMNLP), pp. 7534-7550.</w:t>
      </w:r>
    </w:p>
    <w:p>
      <w:pPr>
        <w:jc w:val="both"/>
      </w:pPr>
      <w:r>
        <w:t xml:space="preserve">Wallat, J., Heuss, M., de Rijke, M. and Anand, A. (2024)</w:t>
      </w:r>
      <w:r>
        <w:t xml:space="preserve"> </w:t>
      </w:r>
      <w:r>
        <w:t xml:space="preserve">‘Correctness is not Faithfulness in RAG Attributions’</w:t>
      </w:r>
      <w:r>
        <w:t xml:space="preserve">, arXiv preprint arXiv:2412.18004.</w:t>
      </w:r>
    </w:p>
    <w:p>
      <w:pPr>
        <w:jc w:val="both"/>
      </w:pPr>
      <w:r>
        <w:t xml:space="preserve">Yin, Z., Sun, Q., Guo, Q., Wu, J., Qiu, X. and Huang, X. (2023)</w:t>
      </w:r>
      <w:r>
        <w:t xml:space="preserve"> </w:t>
      </w:r>
      <w:r>
        <w:t xml:space="preserve">‘Do Large Language Models Know What They Don’t Know?’</w:t>
      </w:r>
      <w:r>
        <w:t xml:space="preserve">, Findings of the Association for Computational Linguistics: ACL 2023, pp. 8653-8665.</w:t>
      </w:r>
    </w:p>
    <w:p>
      <w:pPr>
        <w:jc w:val="both"/>
      </w:pPr>
      <w:r>
        <w:t xml:space="preserve">Yue, X., Wang, B., Chen, Z., Zhang, K., Su, Y. and Sun, H. (2023)</w:t>
      </w:r>
      <w:r>
        <w:t xml:space="preserve"> </w:t>
      </w:r>
      <w:r>
        <w:t xml:space="preserve">‘Automatic Evaluation of Attribution by Large Language Models’</w:t>
      </w:r>
      <w:r>
        <w:t xml:space="preserve">, Findings of the Association for Computational Linguistics: EMNLP 2023, pp. 4615-4635. doi:10.18653/v1/2023.findings-emnlp.307.</w:t>
      </w:r>
    </w:p>
    <w:p>
      <w:pPr>
        <w:jc w:val="both"/>
      </w:pPr>
      <w:r>
        <w:t xml:space="preserve">Zheng, L., Chiang, W.L., Sheng, Y., Zhuang, S., Wu, Z., Zhuang, Y., Lin, Z., Li, Z., Li, D., Xing, E.P. and Zhang, H. (2023)</w:t>
      </w:r>
      <w:r>
        <w:t xml:space="preserve"> </w:t>
      </w:r>
      <w:r>
        <w:t xml:space="preserve">‘Judging LLM-as-a-Judge with MT-Bench and Chatbot Arena’</w:t>
      </w:r>
      <w:r>
        <w:t xml:space="preserve">, Advances in Neural Information Processing Systems, 36.</w:t>
      </w:r>
    </w:p>
    <w:p>
      <w:pPr>
        <w:jc w:val="both"/>
      </w:pPr>
      <w:r>
        <w:t xml:space="preserve">Zhong, H., Xiao, C., Tu, C., Zhang, T., Liu, Z. and Sun, M. (2020)</w:t>
      </w:r>
      <w:r>
        <w:t xml:space="preserve"> </w:t>
      </w:r>
      <w:r>
        <w:t xml:space="preserve">‘How Does NLP Benefit Legal System: A Summary of Legal Artificial Intelligence’</w:t>
      </w:r>
      <w:r>
        <w:t xml:space="preserve">, Proceedings of the 58th Annual Meeting of the Association for Computational Linguistics, pp. 5218-5230.</w:t>
      </w:r>
    </w:p>
    <w:bookmarkEnd w:id="88"/>
    <w:bookmarkStart w:id="96" w:name="appendix-a-self-appraisal"/>
    <w:p>
      <w:pPr>
        <w:pStyle w:val="Heading1"/>
        <w:pageBreakBefore/>
      </w:pPr>
      <w:r>
        <w:t xml:space="preserve">Appendix A Self-appraisal</w:t>
      </w:r>
    </w:p>
    <w:bookmarkStart w:id="89"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final evaluation results turned out sharper than the development-phase estimates. On the corrected v2 golden set, B3-Generative reaches 0.0% surfaced response-level Ungrounded Rate after enforcement, with a 4% residual claim-level rate before enforcement, and 100% Abstention Accuracy on the 13 unanswerable queries. Its Answer Rate remains only 25.0%, which is the clearest evidence of the safety-first trade-off rather than a hidden success. The final B5 Evidence-Gated Hybrid mode was added to test whether coverage could be recovered without relaxing the cited-or-silent contract: it answers 90.0% of answerable queries while preserving 84.6% Abstention Accuracy, 100% Citation Precision and 0.0% surfaced response-level Ungrounded Rate. I read this as the most useful final compromise: B3-Generative shows the strict generative frontier, while B5 shows how a more extractive, evidence-gated mode can recover practical usefulness without inventing unsupported prose.</w:t>
      </w:r>
    </w:p>
    <w:p>
      <w:pPr>
        <w:jc w:val="both"/>
      </w:pPr>
      <w:r>
        <w:t xml:space="preserve">Extractive Mode (test-split headline numbers in Table 4.2) is the safest demonstration setting for fabrication risk in this project, at least until retrieval recall improves enough to give the generative configuration a more generous abstention threshold. Its modest abstention accuracy on the small unanswerable subset reflects the absence of the post-LLM support-rate gate that drives the generative configuration’s all-split number. Extractive Mode also does the useful job of showing that the surrounding pipeline (retrieval, citation construction, contradiction handling)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9"/>
    <w:bookmarkStart w:id="90"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t xml:space="preserve">Empirical evaluation design. 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t xml:space="preserve">Defensive software engineering. 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t xml:space="preserve">Technical writing under constraint. 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90"/>
    <w:bookmarkStart w:id="95"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91" w:name="a.3.1-legal-issues"/>
    <w:p>
      <w:pPr>
        <w:pStyle w:val="Heading3"/>
      </w:pPr>
      <w:r>
        <w:t xml:space="preserve">A.3.1 Legal issues</w:t>
      </w:r>
    </w:p>
    <w:p>
      <w:pPr>
        <w:jc w:val="both"/>
      </w:pPr>
      <w:r>
        <w:t xml:space="preserve">Privacy and Data Protection. 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t xml:space="preserve">Intellectual Property. 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91"/>
    <w:bookmarkStart w:id="92" w:name="a.3.2-social-issues"/>
    <w:p>
      <w:pPr>
        <w:pStyle w:val="Heading3"/>
      </w:pPr>
      <w:r>
        <w:t xml:space="preserve">A.3.2 Social issues</w:t>
      </w:r>
    </w:p>
    <w:p>
      <w:pPr>
        <w:jc w:val="both"/>
      </w:pPr>
      <w:r>
        <w:t xml:space="preserve">Automation Bias and Over-Trust. 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t xml:space="preserve">Deskilling and Power Asymmetry. 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t xml:space="preserve">Digital Equity. 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92"/>
    <w:bookmarkStart w:id="93" w:name="a.3.3-ethical-issues"/>
    <w:p>
      <w:pPr>
        <w:pStyle w:val="Heading3"/>
      </w:pPr>
      <w:r>
        <w:t xml:space="preserve">A.3.3 Ethical issues</w:t>
      </w:r>
    </w:p>
    <w:p>
      <w:pPr>
        <w:jc w:val="both"/>
      </w:pPr>
      <w:r>
        <w:t xml:space="preserve">Accountability and Auditability. 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t xml:space="preserve">Bias Risks.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t xml:space="preserve">Environmental Impact. 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t xml:space="preserve">Participant Evaluation Ethics. 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93"/>
    <w:bookmarkStart w:id="94" w:name="a.3.4-professional-issues"/>
    <w:p>
      <w:pPr>
        <w:pStyle w:val="Heading3"/>
      </w:pPr>
      <w:r>
        <w:t xml:space="preserve">A.3.4 Professional issues</w:t>
      </w:r>
    </w:p>
    <w:p>
      <w:pPr>
        <w:jc w:val="both"/>
      </w:pPr>
      <w:r>
        <w:t xml:space="preserve">Generative AI Policy Compliance. Under the University of Leeds Generative AI policy, this module (COMP3931/COMP3932) sits in the Amber category.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t xml:space="preserve">Professional Standards. The codebase follows the practices the BCS Code of Conduct emphasises: version control with traceable commits, automated tests bound to documented commands, reproducible evaluation pipelines, and modular architecture that keeps reliability decisions auditable.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bookmarkEnd w:id="94"/>
    <w:bookmarkEnd w:id="95"/>
    <w:bookmarkEnd w:id="96"/>
    <w:bookmarkStart w:id="122" w:name="appendix-b-external-materials"/>
    <w:p>
      <w:pPr>
        <w:pStyle w:val="Heading1"/>
        <w:pageBreakBefore/>
      </w:pPr>
      <w:r>
        <w:t xml:space="preserve">Appendix B External Materials</w:t>
      </w:r>
    </w:p>
    <w:bookmarkStart w:id="98"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t xml:space="preserve">Repository URL:</w:t>
      </w:r>
      <w:r>
        <w:t xml:space="preserve"> </w:t>
      </w:r>
      <w:hyperlink r:id="rId97">
        <w:r>
          <w:rPr>
            <w:rStyle w:val="Hyperlink"/>
          </w:rPr>
          <w:t xml:space="preserve">https://github.com/NathS04/policy_copilot_submission.git</w:t>
        </w:r>
      </w:hyperlink>
    </w:p>
    <w:p>
      <w:pPr>
        <w:jc w:val="both"/>
      </w:pPr>
      <w:r>
        <w:t xml:space="preserve">(Note for examiners: the repository is public; no special access is required for marking verification.)</w:t>
      </w:r>
    </w:p>
    <w:bookmarkEnd w:id="98"/>
    <w:bookmarkStart w:id="99"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9"/>
    <w:bookmarkStart w:id="100" w:name="b.2-licensing"/>
    <w:p>
      <w:pPr>
        <w:pStyle w:val="Heading2"/>
      </w:pPr>
      <w:r>
        <w:t xml:space="preserve">B.2 Licensing</w:t>
      </w:r>
    </w:p>
    <w:p>
      <w:pPr>
        <w:jc w:val="both"/>
      </w:pPr>
      <w:r>
        <w:t xml:space="preserve">The Policy Copilot source code is released under the MIT License, which allows reuse, modification, and distribution and aligns with the project’s goal of demonstrating reproducible research.</w:t>
      </w:r>
    </w:p>
    <w:bookmarkEnd w:id="100"/>
    <w:bookmarkStart w:id="101"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t xml:space="preserve">Policy Corpus (synthetic, project data, not report prose): five synthetic policy PDFs were generated using GPT-4o with detailed prompts specifying structure, contradictions, and coverage requirements — the Internal Policy Handbook, IT Security Addendum, HR Procedures Manual, Business Continuity Plan, and DPIA Guide, totalling 176 paragraphs across 53 PDF pages (per-document paragraph counts and SHA-256 hashes are listed in §3.2 and in</w:t>
      </w:r>
      <w:r>
        <w:t xml:space="preserve"> </w:t>
      </w:r>
      <w:r>
        <w:rPr>
          <w:rStyle w:val="VerbatimChar"/>
        </w:rPr>
        <w:t xml:space="preserve">data/corpus/manifests/corpus_manifest.csv</w:t>
      </w:r>
      <w:r>
        <w:t xml:space="preserve">). This corpus is project data used as input to the system, not text that appears as authored prose in this report.</w:t>
      </w:r>
    </w:p>
    <w:p>
      <w:pPr>
        <w:numPr>
          <w:ilvl w:val="0"/>
          <w:numId w:val="1013"/>
        </w:numPr>
        <w:jc w:val="both"/>
      </w:pPr>
      <w:r>
        <w:t xml:space="preserve">Golden Set (synthetic): 63 queries manually crafted and auto-labelled against the synthetic corpus.</w:t>
      </w:r>
    </w:p>
    <w:p>
      <w:pPr>
        <w:numPr>
          <w:ilvl w:val="0"/>
          <w:numId w:val="1013"/>
        </w:numPr>
        <w:jc w:val="both"/>
      </w:pPr>
      <w:r>
        <w:t xml:space="preserve">Public Guidance Transfer Corpus (supplementary external data, used only in §4.11): 8 documents / 249 paragraphs drawn from public pages published by the National Cyber Security Centre, the Information Commissioner’s Office, and ACAS. The captured text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101"/>
    <w:bookmarkStart w:id="102" w:name="b.4-development-tools"/>
    <w:p>
      <w:pPr>
        <w:pStyle w:val="Heading2"/>
      </w:pPr>
      <w:r>
        <w:t xml:space="preserve">B.4 Development Tools</w:t>
      </w:r>
    </w:p>
    <w:p>
      <w:pPr>
        <w:numPr>
          <w:ilvl w:val="0"/>
          <w:numId w:val="1014"/>
        </w:numPr>
        <w:jc w:val="both"/>
      </w:pPr>
      <w:r>
        <w:t xml:space="preserve">VS Code: Integrated Development Environment.</w:t>
      </w:r>
    </w:p>
    <w:p>
      <w:pPr>
        <w:numPr>
          <w:ilvl w:val="0"/>
          <w:numId w:val="1014"/>
        </w:numPr>
        <w:jc w:val="both"/>
      </w:pPr>
      <w:r>
        <w:t xml:space="preserve">Git: Version control system.</w:t>
      </w:r>
    </w:p>
    <w:p>
      <w:pPr>
        <w:numPr>
          <w:ilvl w:val="0"/>
          <w:numId w:val="1014"/>
        </w:numPr>
        <w:jc w:val="both"/>
      </w:pPr>
      <w:r>
        <w:t xml:space="preserve">Poetry / Pip: Dependency management.</w:t>
      </w:r>
    </w:p>
    <w:p>
      <w:pPr>
        <w:numPr>
          <w:ilvl w:val="0"/>
          <w:numId w:val="1014"/>
        </w:numPr>
        <w:jc w:val="both"/>
      </w:pPr>
      <w:r>
        <w:t xml:space="preserve">Black / Ruff: Code formatting and linting.</w:t>
      </w:r>
    </w:p>
    <w:bookmarkEnd w:id="102"/>
    <w:bookmarkStart w:id="105" w:name="X59823d81a2493546db9de6a5549c34343051cfe"/>
    <w:p>
      <w:pPr>
        <w:pStyle w:val="Heading2"/>
      </w:pPr>
      <w:r>
        <w:t xml:space="preserve">B.5 Generative AI Usage Declaration and Log</w:t>
      </w:r>
    </w:p>
    <w:p>
      <w:pPr>
        <w:jc w:val="both"/>
      </w:pPr>
      <w:r>
        <w:t xml:space="preserve">Under the University of Leeds Generative AI policy, this module sits in the Amber category. Generative AI was used in an assistive role during development, debugging, planning, structuring, project-data generation, and review. The tools were not used as a replacement author and were not treated as authoritative sources.</w:t>
      </w:r>
    </w:p>
    <w:bookmarkStart w:id="103"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103"/>
    <w:bookmarkStart w:id="104"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bookmarkEnd w:id="104"/>
    <w:bookmarkEnd w:id="105"/>
    <w:bookmarkStart w:id="106"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Yes — limited. 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Mitigated.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directly. 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Acknowledged. 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required for the formal Faculty ethics route. 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bookmarkEnd w:id="106"/>
    <w:bookmarkStart w:id="115" w:name="b.7-evidence-of-testing-and-operation"/>
    <w:p>
      <w:pPr>
        <w:pStyle w:val="Heading2"/>
      </w:pPr>
      <w:r>
        <w:t xml:space="preserve">B.7 Evidence of Testing and Operation</w:t>
      </w:r>
    </w:p>
    <w:bookmarkStart w:id="107" w:name="b.7.1-automated-test-suite"/>
    <w:p>
      <w:pPr>
        <w:pStyle w:val="Heading3"/>
      </w:pPr>
      <w:r>
        <w:t xml:space="preserve">B.7.1 Automated Test Suite</w:t>
      </w:r>
    </w:p>
    <w:p>
      <w:pPr>
        <w:jc w:val="both"/>
      </w:pPr>
      <w:r>
        <w:t xml:space="preserve">The project’s test suite collects 346 tests under the documented evaluator command (344 passed, 2 conditionally skipped) across 60 test files, covering retrieval logic, claim verification, generation schema validation, golden set integrity, contradiction detection, service layer orchestration, audit report export, hybrid retrieval fusion, UI state management, reviewer service, package import verification, threshold-retuning replay, the B5 evidence-gated answerability gate, and end-to-end integration.</w:t>
      </w:r>
    </w:p>
    <w:p>
      <w:pPr>
        <w:jc w:val="both"/>
      </w:pPr>
      <w:r>
        <w:t xml:space="preserve">Test execution summary (final submission build):</w:t>
      </w:r>
    </w:p>
    <w:p>
      <w:pPr>
        <w:pStyle w:val="SourceCode"/>
      </w:pPr>
      <w:r>
        <w:rPr>
          <w:rStyle w:val="VerbatimChar"/>
          <w:rFonts w:ascii="Courier New" w:hAnsi="Courier New" w:cs="Courier New"/>
          <w:sz w:val="18"/>
        </w:rPr>
        <w:t xml:space="preserve">$ pytest -q --ignore=tests/test_run_eval_requires_key_in_generative.py</w:t>
      </w:r>
      <w:r>
        <w:rPr>
          <w:rFonts w:ascii="Courier New" w:hAnsi="Courier New" w:cs="Courier New"/>
          <w:sz w:val="18"/>
        </w:rPr>
        <w:br/>
      </w:r>
      <w:r>
        <w:rPr>
          <w:rStyle w:val="VerbatimChar"/>
          <w:rFonts w:ascii="Courier New" w:hAnsi="Courier New" w:cs="Courier New"/>
          <w:sz w:val="18"/>
        </w:rPr>
        <w:t xml:space="preserve">344 passed, 2 skipped in 47.01s</w:t>
      </w:r>
    </w:p>
    <w:p>
      <w:pPr>
        <w:jc w:val="both"/>
      </w:pPr>
      <w:r>
        <w:t xml:space="preserve">Environment: Python 3.10+, macOS,</w:t>
      </w:r>
      <w:r>
        <w:t xml:space="preserve"> </w:t>
      </w:r>
      <w:r>
        <w:rPr>
          <w:rStyle w:val="VerbatimChar"/>
        </w:rPr>
        <w:t xml:space="preserve">pip install -e ".[dev]"</w:t>
      </w:r>
      <w:r>
        <w:t xml:space="preserve">. The ignored test file (</w:t>
      </w:r>
      <w:r>
        <w:rPr>
          <w:rStyle w:val="VerbatimChar"/>
        </w:rPr>
        <w:t xml:space="preserve">tests/test_run_eval_requires_key_in_generative.py</w:t>
      </w:r>
      <w:r>
        <w:t xml:space="preserve">) contains an integration test that requires a live API key and is excluded from the default evaluator command. Within the collected suite, the two skipped tests are</w:t>
      </w:r>
      <w:r>
        <w:t xml:space="preserve"> </w:t>
      </w:r>
      <w:r>
        <w:rPr>
          <w:rStyle w:val="VerbatimChar"/>
        </w:rPr>
        <w:t xml:space="preserve">test_exits_2_when_dense_index_missing</w:t>
      </w:r>
      <w:r>
        <w:t xml:space="preserve"> </w:t>
      </w:r>
      <w:r>
        <w:t xml:space="preserve">(conditionally skipped when the</w:t>
      </w:r>
      <w:r>
        <w:t xml:space="preserve"> </w:t>
      </w:r>
      <w:r>
        <w:rPr>
          <w:rStyle w:val="VerbatimChar"/>
        </w:rPr>
        <w:t xml:space="preserve">[ml]</w:t>
      </w:r>
      <w:r>
        <w:t xml:space="preserve"> </w:t>
      </w:r>
      <w:r>
        <w:t xml:space="preserve">optional dependencies are installed) and one additional ML-dependent skip.</w:t>
      </w:r>
    </w:p>
    <w:bookmarkEnd w:id="107"/>
    <w:bookmarkStart w:id="108"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5 runs.</w:t>
      </w:r>
      <w:r>
        <w:rPr>
          <w:rFonts w:ascii="Courier New" w:hAnsi="Courier New" w:cs="Courier New"/>
          <w:sz w:val="18"/>
        </w:rPr>
        <w:br/>
      </w:r>
      <w:r>
        <w:rPr>
          <w:rStyle w:val="VerbatimChar"/>
          <w:rFonts w:ascii="Courier New" w:hAnsi="Courier New" w:cs="Courier New"/>
          <w:sz w:val="18"/>
        </w:rPr>
        <w:t xml:space="preserve">Saved results/figures/fig_baselines.png</w:t>
      </w:r>
      <w:r>
        <w:rPr>
          <w:rFonts w:ascii="Courier New" w:hAnsi="Courier New" w:cs="Courier New"/>
          <w:sz w:val="18"/>
        </w:rPr>
        <w:br/>
      </w:r>
      <w:r>
        <w:rPr>
          <w:rStyle w:val="VerbatimChar"/>
          <w:rFonts w:ascii="Courier New" w:hAnsi="Courier New" w:cs="Courier New"/>
          <w:sz w:val="18"/>
        </w:rPr>
        <w:t xml:space="preserve">Saved results/figures/fig_retrieval.png</w:t>
      </w:r>
      <w:r>
        <w:rPr>
          <w:rFonts w:ascii="Courier New" w:hAnsi="Courier New" w:cs="Courier New"/>
          <w:sz w:val="18"/>
        </w:rPr>
        <w:br/>
      </w:r>
      <w:r>
        <w:rPr>
          <w:rStyle w:val="VerbatimChar"/>
          <w:rFonts w:ascii="Courier New" w:hAnsi="Courier New" w:cs="Courier New"/>
          <w:sz w:val="18"/>
        </w:rPr>
        <w:t xml:space="preserve">Saved results/figures/fig_groundedness.png</w:t>
      </w:r>
      <w:r>
        <w:rPr>
          <w:rFonts w:ascii="Courier New" w:hAnsi="Courier New" w:cs="Courier New"/>
          <w:sz w:val="18"/>
        </w:rPr>
        <w:br/>
      </w:r>
      <w:r>
        <w:rPr>
          <w:rStyle w:val="VerbatimChar"/>
          <w:rFonts w:ascii="Courier New" w:hAnsi="Courier New" w:cs="Courier New"/>
          <w:sz w:val="18"/>
        </w:rPr>
        <w:t xml:space="preserve">Saved results/figures/fig_tradeoff.png</w:t>
      </w:r>
      <w:r>
        <w:rPr>
          <w:rFonts w:ascii="Courier New" w:hAnsi="Courier New" w:cs="Courier New"/>
          <w:sz w:val="18"/>
        </w:rPr>
        <w:br/>
      </w:r>
      <w:r>
        <w:rPr>
          <w:rStyle w:val="VerbatimChar"/>
          <w:rFonts w:ascii="Courier New" w:hAnsi="Courier New" w:cs="Courier New"/>
          <w:sz w:val="18"/>
        </w:rPr>
        <w:t xml:space="preserve">Saved results/tables/run_summary.csv</w:t>
      </w:r>
      <w:r>
        <w:rPr>
          <w:rFonts w:ascii="Courier New" w:hAnsi="Courier New" w:cs="Courier New"/>
          <w:sz w:val="18"/>
        </w:rPr>
        <w:br/>
      </w:r>
      <w:r>
        <w:rPr>
          <w:rStyle w:val="VerbatimChar"/>
          <w:rFonts w:ascii="Courier New" w:hAnsi="Courier New" w:cs="Courier New"/>
          <w:sz w:val="18"/>
        </w:rPr>
        <w:t xml:space="preserve">Wrote 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8"/>
    <w:bookmarkStart w:id="109"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t xml:space="preserve">Figure B.1: Answerable query.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B.1: Answerable query result showing extractive fallback with citations.</w:t>
      </w:r>
    </w:p>
    <w:p>
      <w:pPr>
        <w:jc w:val="both"/>
      </w:pPr>
      <w:r>
        <w:t xml:space="preserve">Figure B.2: Unanswerable query.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B.2: Unanswerable query showing abstention behaviour.</w:t>
      </w:r>
    </w:p>
    <w:p>
      <w:pPr>
        <w:jc w:val="both"/>
      </w:pPr>
      <w:r>
        <w:t xml:space="preserve">Figure B.3: Contradiction-probing query.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B.3: Contradiction query showing retrieved evidence with citations.</w:t>
      </w:r>
    </w:p>
    <w:bookmarkEnd w:id="109"/>
    <w:bookmarkStart w:id="110" w:name="X6c635935803d0765917770b25f5964480aab05d"/>
    <w:p>
      <w:pPr>
        <w:pStyle w:val="Heading3"/>
      </w:pPr>
      <w:r>
        <w:t xml:space="preserve">B.7.4 BM25-Specific Threshold Retuning Diagnostic (referenced from §4.5)</w:t>
      </w:r>
    </w:p>
    <w:p>
      <w:pPr>
        <w:jc w:val="both"/>
      </w:pPr>
      <w:r>
        <w:rPr>
          <w:rStyle w:val="VerbatimChar"/>
        </w:rPr>
        <w:t xml:space="preserve">scripts/analyse_bm25_threshold_retuning.py</w:t>
      </w:r>
      <w:r>
        <w:t xml:space="preserve"> </w:t>
      </w:r>
      <w:r>
        <w:t xml:space="preserve">replays the post-LLM support-rate gate over the retained B3-Generative</w:t>
      </w:r>
      <w:r>
        <w:t xml:space="preserve"> </w:t>
      </w:r>
      <w:r>
        <w:rPr>
          <w:rStyle w:val="VerbatimChar"/>
        </w:rPr>
        <w:t xml:space="preserve">outputs.jsonl</w:t>
      </w:r>
      <w:r>
        <w:t xml:space="preserve"> </w:t>
      </w:r>
      <w:r>
        <w:t xml:space="preserve">at τ in steps of 0.01, adding a per-τ response-level Ungrounded Rate column that the original</w:t>
      </w:r>
      <w:r>
        <w:t xml:space="preserve"> </w:t>
      </w:r>
      <w:r>
        <w:rPr>
          <w:rStyle w:val="VerbatimChar"/>
        </w:rPr>
        <w:t xml:space="preserve">scripts/sweep_abstention.py</w:t>
      </w:r>
      <w:r>
        <w:t xml:space="preserve"> </w:t>
      </w:r>
      <w:r>
        <w:t xml:space="preserve">(the source for Figure 4.4) does not compute. It then selects a retuned operating point under the rule</w:t>
      </w:r>
      <w:r>
        <w:t xml:space="preserve"> </w:t>
      </w:r>
      <w:r>
        <w:rPr>
          <w:i/>
          <w:iCs/>
        </w:rPr>
        <w:t xml:space="preserve">max Answer Rate subject to Abstention Accuracy ≥ 80% and response-level Ungrounded Rate ≤ 5%</w:t>
      </w:r>
      <w:r>
        <w:t xml:space="preserve"> </w:t>
      </w:r>
      <w:r>
        <w:t xml:space="preserve">(tie-breakers: higher Abstention Accuracy, lower Ungrounded Rate, higher τ). Before any selection it cross-checks the reconstructed τ = 0.80 row against</w:t>
      </w:r>
      <w:r>
        <w:t xml:space="preserve"> </w:t>
      </w:r>
      <w:r>
        <w:rPr>
          <w:rStyle w:val="VerbatimChar"/>
        </w:rPr>
        <w:t xml:space="preserve">results/runs/b3_generative_bm25_fallback_final/summary.json</w:t>
      </w:r>
      <w:r>
        <w:t xml:space="preserve"> </w:t>
      </w:r>
      <w:r>
        <w:t xml:space="preserve">and aborts if the two disagree. No new LLM calls are made; the script is a pure replay over already-stored claim-verification fields.</w:t>
      </w:r>
    </w:p>
    <w:p>
      <w:pPr>
        <w:jc w:val="both"/>
      </w:pPr>
      <w:r>
        <w:t xml:space="preserve">Selected point in the final run: τ = 1.00, Answer Rate 25.0%, Abstention Accuracy 94.1%, response-level Ungrounded Rate 0.0%, n_answered = 12, n_abstained = 51. The selection rule’s feasible region under the dual safety constraints is τ ∈ [0.70, 1.00]; Answer Rate is flat at 25.0% across that whole region, so the coverage uplift over the shipped τ = 0.80 is 0.0 percentage points (</w:t>
      </w:r>
      <w:r>
        <w:rPr>
          <w:rStyle w:val="VerbatimChar"/>
        </w:rPr>
        <w:t xml:space="preserve">interpretation: feasible_region_matches_conservative_plateau</w:t>
      </w:r>
      <w:r>
        <w:t xml:space="preserve">,</w:t>
      </w:r>
      <w:r>
        <w:t xml:space="preserve"> </w:t>
      </w:r>
      <w:r>
        <w:rPr>
          <w:rStyle w:val="VerbatimChar"/>
        </w:rPr>
        <w:t xml:space="preserve">coverage_uplift_pp: 0.0</w:t>
      </w:r>
      <w:r>
        <w:t xml:space="preserve"> </w:t>
      </w:r>
      <w:r>
        <w:t xml:space="preserve">in the summary JSON). Below τ ≈ 0.65 the constraint that fails first is response-level Ungrounded Rate, which jumps to 45% at τ = 0.65 — a finding visible only after the per-τ Ungrounded column is computed. Figure B.4 plots Answer Rate, Abstention Accuracy, and response-level Ungrounded Rate against τ, with both the shipped and the retuned operating point marked.</w:t>
      </w:r>
    </w:p>
    <w:p>
      <w:pPr>
        <w:jc w:val="both"/>
      </w:pPr>
    </w:p>
    <w:p>
      <w:pPr>
        <w:jc w:val="both"/>
      </w:pPr>
      <w:r>
        <w:t xml:space="preserve">Figure B.4: BM25-fallback support-rate retuning. Answer Rate, Abstention Accuracy and response-level Ungrounded Rate plotted against τ over the retained B3-Generative outputs. The shipped τ = 0.80 operating point is marked with a circle; the retuned point selected under the dual safety constraints (τ = 1.00) is marked with a diamond. Both sit on the τ ∈ [0.70, 1.00] feasible plateau over which Answer Rate is constant at 25%. Produced by</w:t>
      </w:r>
      <w:r>
        <w:t xml:space="preserve"> </w:t>
      </w:r>
      <w:r>
        <w:rPr>
          <w:rStyle w:val="VerbatimChar"/>
        </w:rPr>
        <w:t xml:space="preserve">scripts/analyse_bm25_threshold_retuning.py</w:t>
      </w:r>
      <w:r>
        <w:t xml:space="preserve"> </w:t>
      </w:r>
      <w:r>
        <w:t xml:space="preserve">from</w:t>
      </w:r>
      <w:r>
        <w:t xml:space="preserve"> </w:t>
      </w:r>
      <w:r>
        <w:rPr>
          <w:rStyle w:val="VerbatimChar"/>
        </w:rPr>
        <w:t xml:space="preserve">results/runs/b3_generative_bm25_fallback_final/outputs.jsonl</w:t>
      </w:r>
      <w:r>
        <w:t xml:space="preserve">; no LLM calls.</w:t>
      </w:r>
    </w:p>
    <w:p>
      <w:pPr>
        <w:jc w:val="both"/>
      </w:pPr>
      <w:r>
        <w:t xml:space="preserve">Artefacts (all reproducible offline, no API keys):</w:t>
      </w:r>
    </w:p>
    <w:p>
      <w:pPr>
        <w:numPr>
          <w:ilvl w:val="0"/>
          <w:numId w:val="1015"/>
        </w:numPr>
        <w:jc w:val="both"/>
      </w:pPr>
      <w:r>
        <w:rPr>
          <w:rStyle w:val="VerbatimChar"/>
        </w:rPr>
        <w:t xml:space="preserve">scripts/analyse_bm25_threshold_retuning.py</w:t>
      </w:r>
      <w:r>
        <w:t xml:space="preserve"> </w:t>
      </w:r>
      <w:r>
        <w:t xml:space="preserve">— the analysis script.</w:t>
      </w:r>
    </w:p>
    <w:p>
      <w:pPr>
        <w:numPr>
          <w:ilvl w:val="0"/>
          <w:numId w:val="1015"/>
        </w:numPr>
        <w:jc w:val="both"/>
      </w:pPr>
      <w:r>
        <w:rPr>
          <w:rStyle w:val="VerbatimChar"/>
        </w:rPr>
        <w:t xml:space="preserve">results/tables/bm25_threshold_retuning.csv</w:t>
      </w:r>
      <w:r>
        <w:t xml:space="preserve"> </w:t>
      </w:r>
      <w:r>
        <w:t xml:space="preserve">— per-τ sweep with Answer Rate, Abstention Accuracy, response-level Ungrounded Rate, contradiction abstain rate, coverage, surfaced/abstained counts.</w:t>
      </w:r>
    </w:p>
    <w:p>
      <w:pPr>
        <w:numPr>
          <w:ilvl w:val="0"/>
          <w:numId w:val="1015"/>
        </w:numPr>
        <w:jc w:val="both"/>
      </w:pPr>
      <w:r>
        <w:rPr>
          <w:rStyle w:val="VerbatimChar"/>
        </w:rPr>
        <w:t xml:space="preserve">results/tables/bm25_threshold_retuning_summary.json</w:t>
      </w:r>
      <w:r>
        <w:t xml:space="preserve"> </w:t>
      </w:r>
      <w:r>
        <w:t xml:space="preserve">— selected operating point, selection-rule metadata, reconstructed conservative-point values for cross-checking against the shipped run.</w:t>
      </w:r>
    </w:p>
    <w:p>
      <w:pPr>
        <w:numPr>
          <w:ilvl w:val="0"/>
          <w:numId w:val="1015"/>
        </w:numPr>
        <w:jc w:val="both"/>
      </w:pPr>
      <w:r>
        <w:rPr>
          <w:rStyle w:val="VerbatimChar"/>
        </w:rPr>
        <w:t xml:space="preserve">tests/test_bm25_threshold_retuning.py</w:t>
      </w:r>
      <w:r>
        <w:t xml:space="preserve"> </w:t>
      </w:r>
      <w:r>
        <w:t xml:space="preserve">— six deterministic unit tests covering gate G1 reconstruction, the G2 denominator check, the τ = 1.0 edge case, and the selection-rule tie-breakers.</w:t>
      </w:r>
    </w:p>
    <w:p>
      <w:pPr>
        <w:jc w:val="both"/>
      </w:pPr>
      <w:r>
        <w:t xml:space="preserve">Command to reproduce:</w:t>
      </w:r>
    </w:p>
    <w:p>
      <w:pPr>
        <w:pStyle w:val="SourceCode"/>
      </w:pPr>
      <w:r>
        <w:rPr>
          <w:rStyle w:val="VerbatimChar"/>
          <w:rFonts w:ascii="Courier New" w:hAnsi="Courier New" w:cs="Courier New"/>
          <w:sz w:val="18"/>
        </w:rPr>
        <w:t xml:space="preserve">$ python scripts/analyse_bm25_threshold_retuning.py</w:t>
      </w:r>
    </w:p>
    <w:bookmarkEnd w:id="110"/>
    <w:bookmarkStart w:id="111" w:name="X174751008d1e9f4463d7458188ea9a7c184b7ff"/>
    <w:p>
      <w:pPr>
        <w:pStyle w:val="Heading3"/>
      </w:pPr>
      <w:r>
        <w:t xml:space="preserve">B.7.5 Golden-Set Label Audit (referenced from §2.7, §4.2)</w:t>
      </w:r>
    </w:p>
    <w:p>
      <w:pPr>
        <w:jc w:val="both"/>
      </w:pPr>
      <w:r>
        <w:rPr>
          <w:rStyle w:val="VerbatimChar"/>
        </w:rPr>
        <w:t xml:space="preserve">scripts/audit_golden_set_labels.py</w:t>
      </w:r>
      <w:r>
        <w:t xml:space="preserve"> </w:t>
      </w:r>
      <w:r>
        <w:t xml:space="preserve">token-scans every golden-set query against every corpus paragraph and flags four kinds of anomaly: (i) unanswerable queries with strong corpus hits; (ii) answerable queries missing gold paragraph IDs; (iii) contradiction queries with fewer than two candidate paragraphs; (iv) gold paragraph IDs that do not exist in the corpus. The script produced</w:t>
      </w:r>
      <w:r>
        <w:t xml:space="preserve"> </w:t>
      </w:r>
      <w:r>
        <w:rPr>
          <w:rStyle w:val="VerbatimChar"/>
        </w:rPr>
        <w:t xml:space="preserve">results/tables/golden_set_label_audit.csv</w:t>
      </w:r>
      <w:r>
        <w:t xml:space="preserve"> </w:t>
      </w:r>
      <w:r>
        <w:t xml:space="preserve">and the human-readable summary at</w:t>
      </w:r>
      <w:r>
        <w:t xml:space="preserve"> </w:t>
      </w:r>
      <w:r>
        <w:rPr>
          <w:rStyle w:val="VerbatimChar"/>
        </w:rPr>
        <w:t xml:space="preserve">docs/evidence/verification/golden_set_label_audit.md</w:t>
      </w:r>
      <w:r>
        <w:t xml:space="preserve">. Four queries previously labelled</w:t>
      </w:r>
      <w:r>
        <w:t xml:space="preserve"> </w:t>
      </w:r>
      <w:r>
        <w:rPr>
          <w:rStyle w:val="VerbatimChar"/>
        </w:rPr>
        <w:t xml:space="preserve">unanswerable</w:t>
      </w:r>
      <w:r>
        <w:t xml:space="preserve"> </w:t>
      </w:r>
      <w:r>
        <w:t xml:space="preserve">were reclassified to</w:t>
      </w:r>
      <w:r>
        <w:t xml:space="preserve"> </w:t>
      </w:r>
      <w:r>
        <w:rPr>
          <w:rStyle w:val="VerbatimChar"/>
        </w:rPr>
        <w:t xml:space="preserve">answerable</w:t>
      </w:r>
      <w:r>
        <w:t xml:space="preserve"> </w:t>
      </w:r>
      <w:r>
        <w:t xml:space="preserve">because the corpus genuinely answers them — q_004 (BYOD policy, Internal Policy Handbook §13), q_014 (notice period, HR Procedures Manual p0009::i0000), q_016 (grievance procedure, HR Procedures Manual §7), and q_062 (sabbatical leave, HR Procedures Manual p0006::i0002). The corrected golden set is</w:t>
      </w:r>
      <w:r>
        <w:t xml:space="preserve"> </w:t>
      </w:r>
      <w:r>
        <w:rPr>
          <w:rStyle w:val="VerbatimChar"/>
        </w:rPr>
        <w:t xml:space="preserve">eval/golden_set/golden_set_v2_corrected.csv</w:t>
      </w:r>
      <w:r>
        <w:t xml:space="preserve"> </w:t>
      </w:r>
      <w:r>
        <w:t xml:space="preserve">(40 answerable / 13 unanswerable / 10 contradiction); the original</w:t>
      </w:r>
      <w:r>
        <w:t xml:space="preserve"> </w:t>
      </w:r>
      <w:r>
        <w:rPr>
          <w:rStyle w:val="VerbatimChar"/>
        </w:rPr>
        <w:t xml:space="preserve">golden_set.csv</w:t>
      </w:r>
      <w:r>
        <w:t xml:space="preserve"> </w:t>
      </w:r>
      <w:r>
        <w:t xml:space="preserve">is preserved for historical reference. All headline metrics in §4.2, §4.3 and §4.12 are computed against the corrected v2 set.</w:t>
      </w:r>
    </w:p>
    <w:bookmarkEnd w:id="111"/>
    <w:bookmarkStart w:id="112" w:name="X16b4baf436cdde279de06fd8b15c884c494e8c5"/>
    <w:p>
      <w:pPr>
        <w:pStyle w:val="Heading3"/>
      </w:pPr>
      <w:r>
        <w:t xml:space="preserve">B.7.6 Hybrid Backend, B4 Mode, Component Ablations (referenced from §3.3, §4.2, §4.6)</w:t>
      </w:r>
    </w:p>
    <w:p>
      <w:pPr>
        <w:jc w:val="both"/>
      </w:pPr>
      <w:r>
        <w:t xml:space="preserve">The final pass installed the</w:t>
      </w:r>
      <w:r>
        <w:t xml:space="preserve"> </w:t>
      </w:r>
      <w:r>
        <w:rPr>
          <w:rStyle w:val="VerbatimChar"/>
        </w:rPr>
        <w:t xml:space="preserve">[ml]</w:t>
      </w:r>
      <w:r>
        <w:t xml:space="preserve"> </w:t>
      </w:r>
      <w:r>
        <w:t xml:space="preserve">extras, built the dense FAISS index (</w:t>
      </w:r>
      <w:r>
        <w:rPr>
          <w:rStyle w:val="VerbatimChar"/>
        </w:rPr>
        <w:t xml:space="preserve">data/corpus/processed/index/</w:t>
      </w:r>
      <w:r>
        <w:t xml:space="preserve">), wired the existing</w:t>
      </w:r>
      <w:r>
        <w:t xml:space="preserve"> </w:t>
      </w:r>
      <w:r>
        <w:rPr>
          <w:rStyle w:val="VerbatimChar"/>
        </w:rPr>
        <w:t xml:space="preserve">HybridRetriever</w:t>
      </w:r>
      <w:r>
        <w:t xml:space="preserve"> </w:t>
      </w:r>
      <w:r>
        <w:t xml:space="preserve">(RRF fusion, dedup by paragraph_id) into the main retrieve pipeline, and made dense-load failures fail-fast via</w:t>
      </w:r>
      <w:r>
        <w:t xml:space="preserve"> </w:t>
      </w:r>
      <w:r>
        <w:rPr>
          <w:rStyle w:val="VerbatimChar"/>
        </w:rPr>
        <w:t xml:space="preserve">Retriever(backend="dense", allow_fallback=False)</w:t>
      </w:r>
      <w:r>
        <w:t xml:space="preserve"> </w:t>
      </w:r>
      <w:r>
        <w:t xml:space="preserve">→</w:t>
      </w:r>
      <w:r>
        <w:t xml:space="preserve"> </w:t>
      </w:r>
      <w:r>
        <w:rPr>
          <w:rStyle w:val="VerbatimChar"/>
        </w:rPr>
        <w:t xml:space="preserve">BackendUnavailableError</w:t>
      </w:r>
      <w:r>
        <w:t xml:space="preserve">. The previous BM25 silent fallback is replaced by an explicit</w:t>
      </w:r>
      <w:r>
        <w:t xml:space="preserve"> </w:t>
      </w:r>
      <w:r>
        <w:rPr>
          <w:rStyle w:val="VerbatimChar"/>
        </w:rPr>
        <w:t xml:space="preserve">backend="bm25_fallback"</w:t>
      </w:r>
      <w:r>
        <w:t xml:space="preserve"> </w:t>
      </w:r>
      <w:r>
        <w:t xml:space="preserve">opt-in that records</w:t>
      </w:r>
      <w:r>
        <w:t xml:space="preserve"> </w:t>
      </w:r>
      <w:r>
        <w:rPr>
          <w:rStyle w:val="VerbatimChar"/>
        </w:rPr>
        <w:t xml:space="preserve">backend_reason: "explicit_fallback"</w:t>
      </w:r>
      <w:r>
        <w:t xml:space="preserve"> </w:t>
      </w:r>
      <w:r>
        <w:t xml:space="preserve">in</w:t>
      </w:r>
      <w:r>
        <w:t xml:space="preserve"> </w:t>
      </w:r>
      <w:r>
        <w:rPr>
          <w:rStyle w:val="VerbatimChar"/>
        </w:rPr>
        <w:t xml:space="preserve">run_config.json</w:t>
      </w:r>
      <w:r>
        <w:t xml:space="preserve">. B4 Conservative Hybrid Mode is implemented in</w:t>
      </w:r>
      <w:r>
        <w:t xml:space="preserve"> </w:t>
      </w:r>
      <w:r>
        <w:rPr>
          <w:rStyle w:val="VerbatimChar"/>
        </w:rPr>
        <w:t xml:space="preserve">src/policy_copilot/service/conservative_hybrid.py</w:t>
      </w:r>
      <w:r>
        <w:t xml:space="preserve"> </w:t>
      </w:r>
      <w:r>
        <w:t xml:space="preserve">as a pure post-gate policy module. Real reproducible component ablations replace the prior Sprint-5 dev-split estimates: see</w:t>
      </w:r>
      <w:r>
        <w:t xml:space="preserve"> </w:t>
      </w:r>
      <w:r>
        <w:rPr>
          <w:rStyle w:val="VerbatimChar"/>
        </w:rPr>
        <w:t xml:space="preserve">results/tables/component_ablation_final.csv</w:t>
      </w:r>
      <w:r>
        <w:t xml:space="preserve"> </w:t>
      </w:r>
      <w:r>
        <w:t xml:space="preserve">and the per-row run directories under</w:t>
      </w:r>
      <w:r>
        <w:t xml:space="preserve"> </w:t>
      </w:r>
      <w:r>
        <w:rPr>
          <w:rStyle w:val="VerbatimChar"/>
        </w:rPr>
        <w:t xml:space="preserve">results/runs/ablation_*</w:t>
      </w:r>
      <w:r>
        <w:t xml:space="preserve">. The B4 evaluation in this submission is replay-based over the retained B3-Generative outputs (no live LLM calls were available); the replay outputs live at</w:t>
      </w:r>
      <w:r>
        <w:t xml:space="preserve"> </w:t>
      </w:r>
      <w:r>
        <w:rPr>
          <w:rStyle w:val="VerbatimChar"/>
        </w:rPr>
        <w:t xml:space="preserve">results/runs/b4_conservative_hybrid_replay_v2_final/</w:t>
      </w:r>
      <w:r>
        <w:t xml:space="preserve">. Bootstrap CIs over the corrected v2 denominators are in</w:t>
      </w:r>
      <w:r>
        <w:t xml:space="preserve"> </w:t>
      </w:r>
      <w:r>
        <w:rPr>
          <w:rStyle w:val="VerbatimChar"/>
        </w:rPr>
        <w:t xml:space="preserve">results/tables/statistical_confidence_v2.csv</w:t>
      </w:r>
      <w:r>
        <w:t xml:space="preserve">.</w:t>
      </w:r>
    </w:p>
    <w:p>
      <w:pPr>
        <w:jc w:val="both"/>
      </w:pPr>
      <w:r>
        <w:t xml:space="preserve">Commands to reproduce (offline, no API key):</w:t>
      </w:r>
    </w:p>
    <w:p>
      <w:pPr>
        <w:pStyle w:val="SourceCode"/>
      </w:pPr>
      <w:r>
        <w:rPr>
          <w:rStyle w:val="VerbatimChar"/>
          <w:rFonts w:ascii="Courier New" w:hAnsi="Courier New" w:cs="Courier New"/>
          <w:sz w:val="18"/>
        </w:rPr>
        <w:t xml:space="preserve">$ pip install -e ".[ml]"</w:t>
      </w:r>
      <w:r>
        <w:rPr>
          <w:rFonts w:ascii="Courier New" w:hAnsi="Courier New" w:cs="Courier New"/>
          <w:sz w:val="18"/>
        </w:rPr>
        <w:br/>
      </w:r>
      <w:r>
        <w:rPr>
          <w:rStyle w:val="VerbatimChar"/>
          <w:rFonts w:ascii="Courier New" w:hAnsi="Courier New" w:cs="Courier New"/>
          <w:sz w:val="18"/>
        </w:rPr>
        <w:t xml:space="preserve">$ python scripts/build_index.py</w:t>
      </w:r>
      <w:r>
        <w:rPr>
          <w:rFonts w:ascii="Courier New" w:hAnsi="Courier New" w:cs="Courier New"/>
          <w:sz w:val="18"/>
        </w:rPr>
        <w:br/>
      </w:r>
      <w:r>
        <w:rPr>
          <w:rStyle w:val="VerbatimChar"/>
          <w:rFonts w:ascii="Courier New" w:hAnsi="Courier New" w:cs="Courier New"/>
          <w:sz w:val="18"/>
        </w:rPr>
        <w:t xml:space="preserve">$ python scripts/audit_golden_set_labels.py</w:t>
      </w:r>
      <w:r>
        <w:rPr>
          <w:rFonts w:ascii="Courier New" w:hAnsi="Courier New" w:cs="Courier New"/>
          <w:sz w:val="18"/>
        </w:rPr>
        <w:br/>
      </w:r>
      <w:r>
        <w:rPr>
          <w:rStyle w:val="VerbatimChar"/>
          <w:rFonts w:ascii="Courier New" w:hAnsi="Courier New" w:cs="Courier New"/>
          <w:sz w:val="18"/>
        </w:rPr>
        <w:t xml:space="preserve">$ python scripts/replay_score_runs.py</w:t>
      </w:r>
      <w:r>
        <w:rPr>
          <w:rFonts w:ascii="Courier New" w:hAnsi="Courier New" w:cs="Courier New"/>
          <w:sz w:val="18"/>
        </w:rPr>
        <w:br/>
      </w:r>
      <w:r>
        <w:rPr>
          <w:rStyle w:val="VerbatimChar"/>
          <w:rFonts w:ascii="Courier New" w:hAnsi="Courier New" w:cs="Courier New"/>
          <w:sz w:val="18"/>
        </w:rPr>
        <w:t xml:space="preserve">$ python scripts/run_eval.py --baseline b3 --mode extractive --backend hybrid \</w:t>
      </w:r>
      <w:r>
        <w:rPr>
          <w:rFonts w:ascii="Courier New" w:hAnsi="Courier New" w:cs="Courier New"/>
          <w:sz w:val="18"/>
        </w:rPr>
        <w:br/>
      </w:r>
      <w:r>
        <w:rPr>
          <w:rStyle w:val="VerbatimChar"/>
          <w:rFonts w:ascii="Courier New" w:hAnsi="Courier New" w:cs="Courier New"/>
          <w:sz w:val="18"/>
        </w:rPr>
        <w:t xml:space="preserve">    --split all --golden_set eval/golden_set/golden_set_v2_corrected.csv \</w:t>
      </w:r>
      <w:r>
        <w:rPr>
          <w:rFonts w:ascii="Courier New" w:hAnsi="Courier New" w:cs="Courier New"/>
          <w:sz w:val="18"/>
        </w:rPr>
        <w:br/>
      </w:r>
      <w:r>
        <w:rPr>
          <w:rStyle w:val="VerbatimChar"/>
          <w:rFonts w:ascii="Courier New" w:hAnsi="Courier New" w:cs="Courier New"/>
          <w:sz w:val="18"/>
        </w:rPr>
        <w:t xml:space="preserve">    --run_name b3_extractive_hybrid_v2_final --force</w:t>
      </w:r>
      <w:r>
        <w:rPr>
          <w:rFonts w:ascii="Courier New" w:hAnsi="Courier New" w:cs="Courier New"/>
          <w:sz w:val="18"/>
        </w:rPr>
        <w:br/>
      </w:r>
      <w:r>
        <w:rPr>
          <w:rStyle w:val="VerbatimChar"/>
          <w:rFonts w:ascii="Courier New" w:hAnsi="Courier New" w:cs="Courier New"/>
          <w:sz w:val="18"/>
        </w:rPr>
        <w:t xml:space="preserve">$ python scripts/run_b4_replay.py</w:t>
      </w:r>
      <w:r>
        <w:rPr>
          <w:rFonts w:ascii="Courier New" w:hAnsi="Courier New" w:cs="Courier New"/>
          <w:sz w:val="18"/>
        </w:rPr>
        <w:br/>
      </w:r>
      <w:r>
        <w:rPr>
          <w:rStyle w:val="VerbatimChar"/>
          <w:rFonts w:ascii="Courier New" w:hAnsi="Courier New" w:cs="Courier New"/>
          <w:sz w:val="18"/>
        </w:rPr>
        <w:t xml:space="preserve">$ python scripts/run_component_ablations.py</w:t>
      </w:r>
      <w:r>
        <w:rPr>
          <w:rFonts w:ascii="Courier New" w:hAnsi="Courier New" w:cs="Courier New"/>
          <w:sz w:val="18"/>
        </w:rPr>
        <w:br/>
      </w:r>
      <w:r>
        <w:rPr>
          <w:rStyle w:val="VerbatimChar"/>
          <w:rFonts w:ascii="Courier New" w:hAnsi="Courier New" w:cs="Courier New"/>
          <w:sz w:val="18"/>
        </w:rPr>
        <w:t xml:space="preserve">$ python scripts/compute_bootstrap_ci_v2.py</w:t>
      </w:r>
      <w:r>
        <w:rPr>
          <w:rFonts w:ascii="Courier New" w:hAnsi="Courier New" w:cs="Courier New"/>
          <w:sz w:val="18"/>
        </w:rPr>
        <w:br/>
      </w:r>
      <w:r>
        <w:rPr>
          <w:rStyle w:val="VerbatimChar"/>
          <w:rFonts w:ascii="Courier New" w:hAnsi="Courier New" w:cs="Courier New"/>
          <w:sz w:val="18"/>
        </w:rPr>
        <w:t xml:space="preserve">$ python scripts/aggregate_v2_run_summary.py</w:t>
      </w:r>
    </w:p>
    <w:p>
      <w:pPr>
        <w:jc w:val="both"/>
      </w:pPr>
    </w:p>
    <w:p>
      <w:pPr>
        <w:jc w:val="both"/>
      </w:pPr>
      <w:r>
        <w:t xml:space="preserve">Figure B.5: Baseline comparison on the corrected v2 golden set with the hybrid (dense + BM25 RRF) backend, produced by</w:t>
      </w:r>
      <w:r>
        <w:t xml:space="preserve"> </w:t>
      </w:r>
      <w:r>
        <w:rPr>
          <w:rStyle w:val="VerbatimChar"/>
        </w:rPr>
        <w:t xml:space="preserve">scripts/aggregate_v2_run_summary.py</w:t>
      </w:r>
      <w:r>
        <w:t xml:space="preserve">. Bars are Answer Rate, Abstention Accuracy, Evidence Recall@5, and Citation Precision. B2-Ext is a permissive baseline (no abstention gate). B3-Ext and B4 are the two final reportable configurations on the corrected denominators.</w:t>
      </w:r>
    </w:p>
    <w:bookmarkEnd w:id="112"/>
    <w:bookmarkStart w:id="113" w:name="b.7.7-vertical-slice-case-study"/>
    <w:p>
      <w:pPr>
        <w:pStyle w:val="Heading3"/>
      </w:pPr>
      <w:r>
        <w:t xml:space="preserve">B.7.7 Vertical-slice case study</w:t>
      </w:r>
    </w:p>
    <w:p>
      <w:pPr>
        <w:jc w:val="both"/>
      </w:pPr>
      <w:r>
        <w:t xml:space="preserve">Three short traces from the corrected v2 run show how the system actually behaves end-to-end. Every value below is a verbatim excerpt from</w:t>
      </w:r>
      <w:r>
        <w:t xml:space="preserve"> </w:t>
      </w:r>
      <w:r>
        <w:rPr>
          <w:rStyle w:val="VerbatimChar"/>
        </w:rPr>
        <w:t xml:space="preserve">results/runs/b3_generative_v2/outputs.jsonl</w:t>
      </w:r>
      <w:r>
        <w:t xml:space="preserve">; no values are rounded or paraphrased. The full audit-export files at</w:t>
      </w:r>
      <w:r>
        <w:t xml:space="preserve"> </w:t>
      </w:r>
      <w:r>
        <w:rPr>
          <w:rStyle w:val="VerbatimChar"/>
        </w:rPr>
        <w:t xml:space="preserve">docs/evidence/verification/audit_export_*.md</w:t>
      </w:r>
      <w:r>
        <w:t xml:space="preserve"> </w:t>
      </w:r>
      <w:r>
        <w:t xml:space="preserve">carry the same records with the complete evidence and claim-verification trees.</w:t>
      </w:r>
    </w:p>
    <w:p>
      <w:pPr>
        <w:jc w:val="both"/>
      </w:pPr>
      <w:r>
        <w:rPr>
          <w:b/>
          <w:bCs/>
        </w:rPr>
        <w:t xml:space="preserve">Trace 1 — answerable (</w:t>
      </w:r>
      <w:r>
        <w:rPr>
          <w:rStyle w:val="VerbatimChar"/>
          <w:b/>
          <w:bCs/>
        </w:rPr>
        <w:t xml:space="preserve">q_018</w:t>
      </w:r>
      <w:r>
        <w:rPr>
          <w:b/>
          <w:bCs/>
        </w:rPr>
        <w:t xml:space="preserve">,</w:t>
      </w:r>
      <w:r>
        <w:rPr>
          <w:b/>
          <w:bCs/>
        </w:rPr>
        <w:t xml:space="preserve"> </w:t>
      </w:r>
      <w:r>
        <w:rPr>
          <w:b/>
          <w:bCs/>
        </w:rPr>
        <w:t xml:space="preserve">“What is the minimum password length?”</w:t>
      </w:r>
      <w:r>
        <w:rPr>
          <w:b/>
          <w:bCs/>
        </w:rPr>
        <w:t xml:space="preserve">).</w:t>
      </w:r>
      <w:r>
        <w:t xml:space="preserve"> </w:t>
      </w:r>
      <w:r>
        <w:t xml:space="preserve">Top retrieved paragraph:</w:t>
      </w:r>
      <w:r>
        <w:t xml:space="preserve"> </w:t>
      </w:r>
      <w:r>
        <w:rPr>
          <w:rStyle w:val="VerbatimChar"/>
        </w:rPr>
        <w:t xml:space="preserve">it_security_addendum_2025::p0003::i0000</w:t>
      </w:r>
      <w:r>
        <w:t xml:space="preserve"> </w:t>
      </w:r>
      <w:r>
        <w:t xml:space="preserve">(rerank 1.0). The generative answer cites that paragraph verbatim:</w:t>
      </w:r>
      <w:r>
        <w:t xml:space="preserve"> </w:t>
      </w:r>
      <w:r>
        <w:t xml:space="preserve">“The minimum password length is now 12 characters, which has been increased from the previous requirement of 8 characters.”</w:t>
      </w:r>
      <w:r>
        <w:t xml:space="preserve"> </w:t>
      </w:r>
      <w:r>
        <w:t xml:space="preserve">Claim verification reports</w:t>
      </w:r>
      <w:r>
        <w:t xml:space="preserve"> </w:t>
      </w:r>
      <w:r>
        <w:rPr>
          <w:rStyle w:val="VerbatimChar"/>
        </w:rPr>
        <w:t xml:space="preserve">support_rate = 1.0</w:t>
      </w:r>
      <w:r>
        <w:t xml:space="preserve"> </w:t>
      </w:r>
      <w:r>
        <w:t xml:space="preserve">(1 of 1 claim supported). The response surfaces; this is the clean path through B3-Generative.</w:t>
      </w:r>
    </w:p>
    <w:p>
      <w:pPr>
        <w:jc w:val="both"/>
      </w:pPr>
      <w:r>
        <w:rPr>
          <w:b/>
          <w:bCs/>
        </w:rPr>
        <w:t xml:space="preserve">Trace 2 — unanswerable (</w:t>
      </w:r>
      <w:r>
        <w:rPr>
          <w:rStyle w:val="VerbatimChar"/>
          <w:b/>
          <w:bCs/>
        </w:rPr>
        <w:t xml:space="preserve">q_005</w:t>
      </w:r>
      <w:r>
        <w:rPr>
          <w:b/>
          <w:bCs/>
        </w:rPr>
        <w:t xml:space="preserve">,</w:t>
      </w:r>
      <w:r>
        <w:rPr>
          <w:b/>
          <w:bCs/>
        </w:rPr>
        <w:t xml:space="preserve"> </w:t>
      </w:r>
      <w:r>
        <w:rPr>
          <w:b/>
          <w:bCs/>
        </w:rPr>
        <w:t xml:space="preserve">“What is the company holiday allowance?”</w:t>
      </w:r>
      <w:r>
        <w:rPr>
          <w:b/>
          <w:bCs/>
        </w:rPr>
        <w:t xml:space="preserve">).</w:t>
      </w:r>
      <w:r>
        <w:t xml:space="preserve"> </w:t>
      </w:r>
      <w:r>
        <w:t xml:space="preserve">The corpus does not specify a holiday allowance. The reranker still returns a top paragraph at rerank 1.0 (BM25 saturation), so the pre-LLM gate does not fire. The LLM is invoked, produces an answer attempt, but the post-LLM verifier flags no supported claims;</w:t>
      </w:r>
      <w:r>
        <w:t xml:space="preserve"> </w:t>
      </w:r>
      <w:r>
        <w:rPr>
          <w:rStyle w:val="VerbatimChar"/>
        </w:rPr>
        <w:t xml:space="preserve">claim_verification.support_rate</w:t>
      </w:r>
      <w:r>
        <w:t xml:space="preserve"> </w:t>
      </w:r>
      <w:r>
        <w:t xml:space="preserve">is null, the response is downgraded to</w:t>
      </w:r>
      <w:r>
        <w:t xml:space="preserve"> </w:t>
      </w:r>
      <w:r>
        <w:rPr>
          <w:rStyle w:val="VerbatimChar"/>
        </w:rPr>
        <w:t xml:space="preserve">INSUFFICIENT_EVIDENCE</w:t>
      </w:r>
      <w:r>
        <w:t xml:space="preserve">, and</w:t>
      </w:r>
      <w:r>
        <w:t xml:space="preserve"> </w:t>
      </w:r>
      <w:r>
        <w:rPr>
          <w:rStyle w:val="VerbatimChar"/>
        </w:rPr>
        <w:t xml:space="preserve">is_abstained = True</w:t>
      </w:r>
      <w:r>
        <w:t xml:space="preserve">. The user sees a refusal rather than a guessed answer. This is exactly the failure case the abstention gate exists for.</w:t>
      </w:r>
    </w:p>
    <w:p>
      <w:pPr>
        <w:jc w:val="both"/>
      </w:pPr>
      <w:r>
        <w:rPr>
          <w:b/>
          <w:bCs/>
        </w:rPr>
        <w:t xml:space="preserve">Trace 3 — contradiction (</w:t>
      </w:r>
      <w:r>
        <w:rPr>
          <w:rStyle w:val="VerbatimChar"/>
          <w:b/>
          <w:bCs/>
        </w:rPr>
        <w:t xml:space="preserve">q_057</w:t>
      </w:r>
      <w:r>
        <w:rPr>
          <w:b/>
          <w:bCs/>
        </w:rPr>
        <w:t xml:space="preserve">,</w:t>
      </w:r>
      <w:r>
        <w:rPr>
          <w:b/>
          <w:bCs/>
        </w:rPr>
        <w:t xml:space="preserve"> </w:t>
      </w:r>
      <w:r>
        <w:rPr>
          <w:b/>
          <w:bCs/>
        </w:rPr>
        <w:t xml:space="preserve">“Are visitors both allowed and not allowed in secure areas?”</w:t>
      </w:r>
      <w:r>
        <w:rPr>
          <w:b/>
          <w:bCs/>
        </w:rPr>
        <w:t xml:space="preserve">).</w:t>
      </w:r>
      <w:r>
        <w:t xml:space="preserve"> </w:t>
      </w:r>
      <w:r>
        <w:t xml:space="preserve">Top retrieved paragraphs include</w:t>
      </w:r>
      <w:r>
        <w:t xml:space="preserve"> </w:t>
      </w:r>
      <w:r>
        <w:rPr>
          <w:rStyle w:val="VerbatimChar"/>
        </w:rPr>
        <w:t xml:space="preserve">internal_policy_handbook_v2::p0010::i0001</w:t>
      </w:r>
      <w:r>
        <w:t xml:space="preserve"> </w:t>
      </w:r>
      <w:r>
        <w:t xml:space="preserve">(rerank 1.0) and</w:t>
      </w:r>
      <w:r>
        <w:t xml:space="preserve"> </w:t>
      </w:r>
      <w:r>
        <w:rPr>
          <w:rStyle w:val="VerbatimChar"/>
        </w:rPr>
        <w:t xml:space="preserve">it_security_addendum_2025::p0006::i0000</w:t>
      </w:r>
      <w:r>
        <w:t xml:space="preserve"> </w:t>
      </w:r>
      <w:r>
        <w:t xml:space="preserve">(rerank 0.87). The contradiction detector fires on five conflicting normative directives across the retrieved set (</w:t>
      </w:r>
      <w:r>
        <w:rPr>
          <w:rStyle w:val="VerbatimChar"/>
        </w:rPr>
        <w:t xml:space="preserve">must</w:t>
      </w:r>
      <w:r>
        <w:t xml:space="preserve"> </w:t>
      </w:r>
      <w:r>
        <w:t xml:space="preserve">vs</w:t>
      </w:r>
      <w:r>
        <w:t xml:space="preserve"> </w:t>
      </w:r>
      <w:r>
        <w:rPr>
          <w:rStyle w:val="VerbatimChar"/>
        </w:rPr>
        <w:t xml:space="preserve">must not</w:t>
      </w:r>
      <w:r>
        <w:t xml:space="preserve"> </w:t>
      </w:r>
      <w:r>
        <w:t xml:space="preserve">pairs). The system surfaces a synthesised answer that quotes both sides and appends a contradiction note:</w:t>
      </w:r>
      <w:r>
        <w:t xml:space="preserve"> </w:t>
      </w:r>
      <w:r>
        <w:t xml:space="preserve">“some evidence sources may conflict on this point”</w:t>
      </w:r>
      <w:r>
        <w:t xml:space="preserve">. Claim verification reports</w:t>
      </w:r>
      <w:r>
        <w:t xml:space="preserve"> </w:t>
      </w:r>
      <w:r>
        <w:rPr>
          <w:rStyle w:val="VerbatimChar"/>
        </w:rPr>
        <w:t xml:space="preserve">support_rate = 1.0</w:t>
      </w:r>
      <w:r>
        <w:t xml:space="preserve"> </w:t>
      </w:r>
      <w:r>
        <w:t xml:space="preserve">(3 of 3 claims supported). The user gets the answer and the warning together.</w:t>
      </w:r>
    </w:p>
    <w:bookmarkEnd w:id="113"/>
    <w:bookmarkStart w:id="114" w:name="b.7.8-b5-evidence-gated-hybrid"/>
    <w:p>
      <w:pPr>
        <w:pStyle w:val="Heading3"/>
      </w:pPr>
      <w:r>
        <w:t xml:space="preserve">B.7.8 B5 Evidence-Gated Hybrid</w:t>
      </w:r>
    </w:p>
    <w:p>
      <w:pPr>
        <w:jc w:val="both"/>
      </w:pPr>
      <w:r>
        <w:t xml:space="preserve">B5 is the project’s final headline mode for high-coverage audit use. It runs the same hybrid (dense + BM25 via RRF) retrieval and cross-encoder reranking as B3-Extractive, then applies a deterministic answerability gate over the top retrieved paragraph: (i) a rerank floor, (ii) a lexical-overlap floor, (iii) a</w:t>
      </w:r>
      <w:r>
        <w:t xml:space="preserve"> </w:t>
      </w:r>
      <w:r>
        <w:t xml:space="preserve">“high rerank + low overlap + question qualifier missing from paragraph”</w:t>
      </w:r>
      <w:r>
        <w:t xml:space="preserve"> </w:t>
      </w:r>
      <w:r>
        <w:t xml:space="preserve">anomaly filter using a static policy-domain qualifier dictionary, and (iv) a numeric-question evidence requirement (numeric-shape questions must retrieve a paragraph containing a digit). The gate calls no LLM. Citations are the retrieved paragraph IDs only. When a query has the lexical signature of a contradiction probe and two conflicting paragraphs are retrieved, B5 surfaces both with both citations.</w:t>
      </w:r>
    </w:p>
    <w:p>
      <w:pPr>
        <w:jc w:val="both"/>
      </w:pPr>
      <w:r>
        <w:t xml:space="preserve">The gate thresholds were tuned on the dev split of the corrected v2 golden set (</w:t>
      </w:r>
      <w:r>
        <w:rPr>
          <w:rStyle w:val="VerbatimChar"/>
        </w:rPr>
        <w:t xml:space="preserve">scripts/tune_answerability_gate.py</w:t>
      </w:r>
      <w:r>
        <w:t xml:space="preserve">). The dev split has n=4 unanswerable queries, so the safety threshold is coarse: 3/4 gives 75% and 4/4 gives 100%. I therefore used the dev split to reject clearly unsafe thresholds, then checked the selected setting against the full corrected set before reporting it (</w:t>
      </w:r>
      <w:r>
        <w:rPr>
          <w:rStyle w:val="VerbatimChar"/>
        </w:rPr>
        <w:t xml:space="preserve">results/tables/b5_threshold_sweep_dev.csv</w:t>
      </w:r>
      <w:r>
        <w:t xml:space="preserve">). Selected configuration:</w:t>
      </w:r>
      <w:r>
        <w:t xml:space="preserve"> </w:t>
      </w:r>
      <w:r>
        <w:rPr>
          <w:rStyle w:val="VerbatimChar"/>
        </w:rPr>
        <w:t xml:space="preserve">overlap_floor = 0.05</w:t>
      </w:r>
      <w:r>
        <w:t xml:space="preserve">,</w:t>
      </w:r>
      <w:r>
        <w:t xml:space="preserve"> </w:t>
      </w:r>
      <w:r>
        <w:rPr>
          <w:rStyle w:val="VerbatimChar"/>
        </w:rPr>
        <w:t xml:space="preserve">high_rerank = 0.90</w:t>
      </w:r>
      <w:r>
        <w:t xml:space="preserve">, qualifier filter on, numeric filter on.</w:t>
      </w:r>
    </w:p>
    <w:p>
      <w:pPr>
        <w:jc w:val="both"/>
      </w:pPr>
      <w:r>
        <w:t xml:space="preserve">On the full corrected v2 set, B5 reaches Answer Rate 90.0% (36/40 answerable surfaced), Abstention Accuracy 84.6% (11/13 unanswerable correctly abstained), Citation Precision 100%, surfaced Ungrounded Rate 0%. The two remaining unanswerable false positives (q_006</w:t>
      </w:r>
      <w:r>
        <w:t xml:space="preserve"> </w:t>
      </w:r>
      <w:r>
        <w:t xml:space="preserve">“non-sensitive”</w:t>
      </w:r>
      <w:r>
        <w:t xml:space="preserve"> </w:t>
      </w:r>
      <w:r>
        <w:t xml:space="preserve">encryption and q_017</w:t>
      </w:r>
      <w:r>
        <w:t xml:space="preserve"> </w:t>
      </w:r>
      <w:r>
        <w:t xml:space="preserve">“part-time”</w:t>
      </w:r>
      <w:r>
        <w:t xml:space="preserve"> </w:t>
      </w:r>
      <w:r>
        <w:t xml:space="preserve">remote work) and four answerable false negatives (q_020 retrieval failure, q_023, q_050, q_062 borderline overlap) are documented in</w:t>
      </w:r>
      <w:r>
        <w:t xml:space="preserve"> </w:t>
      </w:r>
      <w:r>
        <w:rPr>
          <w:rStyle w:val="VerbatimChar"/>
        </w:rPr>
        <w:t xml:space="preserve">docs/evidence/verification/b5_failure_analysis.md</w:t>
      </w:r>
      <w:r>
        <w:t xml:space="preserve">.</w:t>
      </w:r>
    </w:p>
    <w:p>
      <w:pPr>
        <w:jc w:val="both"/>
      </w:pPr>
      <w:r>
        <w:t xml:space="preserve">Artefacts (offline-reproducible, no API keys):</w:t>
      </w:r>
    </w:p>
    <w:p>
      <w:pPr>
        <w:numPr>
          <w:ilvl w:val="0"/>
          <w:numId w:val="1016"/>
        </w:numPr>
        <w:jc w:val="both"/>
      </w:pPr>
      <w:r>
        <w:rPr>
          <w:rStyle w:val="VerbatimChar"/>
        </w:rPr>
        <w:t xml:space="preserve">src/policy_copilot/service/evidence_gated_hybrid.py</w:t>
      </w:r>
      <w:r>
        <w:t xml:space="preserve"> </w:t>
      </w:r>
      <w:r>
        <w:t xml:space="preserve">— the gate module</w:t>
      </w:r>
    </w:p>
    <w:p>
      <w:pPr>
        <w:numPr>
          <w:ilvl w:val="0"/>
          <w:numId w:val="1016"/>
        </w:numPr>
        <w:jc w:val="both"/>
      </w:pPr>
      <w:r>
        <w:rPr>
          <w:rStyle w:val="VerbatimChar"/>
        </w:rPr>
        <w:t xml:space="preserve">scripts/run_b5_evidence_gated_hybrid.py</w:t>
      </w:r>
      <w:r>
        <w:t xml:space="preserve"> </w:t>
      </w:r>
      <w:r>
        <w:t xml:space="preserve">— runner</w:t>
      </w:r>
    </w:p>
    <w:p>
      <w:pPr>
        <w:numPr>
          <w:ilvl w:val="0"/>
          <w:numId w:val="1016"/>
        </w:numPr>
        <w:jc w:val="both"/>
      </w:pPr>
      <w:r>
        <w:rPr>
          <w:rStyle w:val="VerbatimChar"/>
        </w:rPr>
        <w:t xml:space="preserve">scripts/tune_answerability_gate.py</w:t>
      </w:r>
      <w:r>
        <w:t xml:space="preserve"> </w:t>
      </w:r>
      <w:r>
        <w:t xml:space="preserve">— dev-split threshold sweep</w:t>
      </w:r>
    </w:p>
    <w:p>
      <w:pPr>
        <w:numPr>
          <w:ilvl w:val="0"/>
          <w:numId w:val="1016"/>
        </w:numPr>
        <w:jc w:val="both"/>
      </w:pPr>
      <w:r>
        <w:rPr>
          <w:rStyle w:val="VerbatimChar"/>
        </w:rPr>
        <w:t xml:space="preserve">scripts/analyse_b5_failures.py</w:t>
      </w:r>
      <w:r>
        <w:t xml:space="preserve"> </w:t>
      </w:r>
      <w:r>
        <w:t xml:space="preserve">— failure analysis</w:t>
      </w:r>
    </w:p>
    <w:p>
      <w:pPr>
        <w:numPr>
          <w:ilvl w:val="0"/>
          <w:numId w:val="1016"/>
        </w:numPr>
        <w:jc w:val="both"/>
      </w:pPr>
      <w:r>
        <w:rPr>
          <w:rStyle w:val="VerbatimChar"/>
        </w:rPr>
        <w:t xml:space="preserve">results/runs/b5_evidence_gated_hybrid_v3_final/</w:t>
      </w:r>
      <w:r>
        <w:t xml:space="preserve"> </w:t>
      </w:r>
      <w:r>
        <w:t xml:space="preserve">— the final B5 run</w:t>
      </w:r>
    </w:p>
    <w:p>
      <w:pPr>
        <w:numPr>
          <w:ilvl w:val="0"/>
          <w:numId w:val="1016"/>
        </w:numPr>
        <w:jc w:val="both"/>
      </w:pPr>
      <w:r>
        <w:rPr>
          <w:rStyle w:val="VerbatimChar"/>
        </w:rPr>
        <w:t xml:space="preserve">results/tables/b5_threshold_sweep_dev.csv</w:t>
      </w:r>
      <w:r>
        <w:t xml:space="preserve"> </w:t>
      </w:r>
      <w:r>
        <w:t xml:space="preserve">— sweep evidence</w:t>
      </w:r>
    </w:p>
    <w:p>
      <w:pPr>
        <w:numPr>
          <w:ilvl w:val="0"/>
          <w:numId w:val="1016"/>
        </w:numPr>
        <w:jc w:val="both"/>
      </w:pPr>
      <w:r>
        <w:rPr>
          <w:rStyle w:val="VerbatimChar"/>
        </w:rPr>
        <w:t xml:space="preserve">results/tables/b5_failure_analysis.csv</w:t>
      </w:r>
      <w:r>
        <w:t xml:space="preserve"> </w:t>
      </w:r>
      <w:r>
        <w:t xml:space="preserve">and</w:t>
      </w:r>
      <w:r>
        <w:t xml:space="preserve"> </w:t>
      </w:r>
      <w:r>
        <w:rPr>
          <w:rStyle w:val="VerbatimChar"/>
        </w:rPr>
        <w:t xml:space="preserve">docs/evidence/verification/b5_failure_analysis.md</w:t>
      </w:r>
    </w:p>
    <w:p>
      <w:pPr>
        <w:numPr>
          <w:ilvl w:val="0"/>
          <w:numId w:val="1016"/>
        </w:numPr>
        <w:jc w:val="both"/>
      </w:pPr>
      <w:r>
        <w:rPr>
          <w:rStyle w:val="VerbatimChar"/>
        </w:rPr>
        <w:t xml:space="preserve">tests/test_b5_evidence_gated_hybrid.py</w:t>
      </w:r>
      <w:r>
        <w:t xml:space="preserve"> </w:t>
      </w:r>
      <w:r>
        <w:t xml:space="preserve">— fifteen unit tests covering the gate rules and the no-gold-label-leakage guard</w:t>
      </w:r>
    </w:p>
    <w:bookmarkEnd w:id="114"/>
    <w:bookmarkEnd w:id="115"/>
    <w:bookmarkStart w:id="116" w:name="Xc3be17a6feaf50557485e1a44d8c28c1b4a5841"/>
    <w:p>
      <w:pPr>
        <w:pStyle w:val="Heading2"/>
      </w:pPr>
      <w:r>
        <w:t xml:space="preserve">B.8 Comparative Analysis Table (referenced from §1.10)</w:t>
      </w:r>
    </w:p>
    <w:p>
      <w:pPr>
        <w:jc w:val="both"/>
      </w:pPr>
    </w:p>
    <w:p>
      <w:pPr>
        <w:jc w:val="both"/>
      </w:pPr>
      <w:r>
        <w:rPr>
          <w:b/>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Standard RAG (Lewis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DPR (Karpukhin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Attributed QA (Bohnet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RARR (Gao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Self-RAG (Asai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ASPIRE (Chen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FreshLLMs (Vu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ColBERT (Khattab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LegalBench (Guha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Policy Copilot (This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16"/>
    <w:bookmarkStart w:id="117" w:name="Xf0c58931cf1f4f9947cff1d32ed89fe21673d20"/>
    <w:p>
      <w:pPr>
        <w:pStyle w:val="Heading2"/>
      </w:pPr>
      <w:r>
        <w:t xml:space="preserve">B.9 Test Suite Matrix (referenced from §3.9)</w:t>
      </w:r>
    </w:p>
    <w:p>
      <w:pPr>
        <w:jc w:val="both"/>
      </w:pPr>
    </w:p>
    <w:p>
      <w:pPr>
        <w:jc w:val="both"/>
      </w:pPr>
      <w:r>
        <w:rPr>
          <w:b/>
          <w:sz w:val="21"/>
        </w:rPr>
        <w:t xml:space="preserve">Table B.2: Representative testing and validation matrix. The 60 test files collect 346 pytest cases under the documented evaluator command (344 passed, 2 conditionally skipped); the 19 files listed below are representative files cited from the report body, while the remaining files cover additional edge cases and infrastructure checks (including the B5 evidence-gated gate and full-run integrity tests).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17"/>
    <w:bookmarkStart w:id="118"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t xml:space="preserve">Anonymisation statement. 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t xml:space="preserve">Rubric. 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t xml:space="preserve">Participant information and consent. 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t xml:space="preserve">Per-category breakdown. 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t xml:space="preserve">Thematic coding of comments. 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t xml:space="preserve">Round 2: Per-Query Collection and Inter-Rater Agreement. 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t xml:space="preserve">Limitations of this evaluation. 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18"/>
    <w:bookmarkStart w:id="119"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The captured text used in this corpus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 One row carries a known caveat: the recorded ACAS target URL</w:t>
      </w:r>
      <w:r>
        <w:t xml:space="preserve"> </w:t>
      </w:r>
      <w:r>
        <w:rPr>
          <w:rStyle w:val="VerbatimChar"/>
        </w:rPr>
        <w:t xml:space="preserve">https://www.acas.org.uk/working-from-home-and-hybrid-working</w:t>
      </w:r>
      <w:r>
        <w:t xml:space="preserve"> </w:t>
      </w:r>
      <w:r>
        <w:t xml:space="preserve">resolved at retrieval time to broader Acas flexible-working content (page title</w:t>
      </w:r>
      <w:r>
        <w:t xml:space="preserve"> </w:t>
      </w:r>
      <w:r>
        <w:t xml:space="preserve">“Flexible working | Acas”</w:t>
      </w:r>
      <w:r>
        <w:t xml:space="preserve">). The cached raw text under</w:t>
      </w:r>
      <w:r>
        <w:t xml:space="preserve"> </w:t>
      </w:r>
      <w:r>
        <w:rPr>
          <w:rStyle w:val="VerbatimChar"/>
        </w:rPr>
        <w:t xml:space="preserve">raw/acas_remote_hybrid_working.txt</w:t>
      </w:r>
      <w:r>
        <w:t xml:space="preserve"> </w:t>
      </w:r>
      <w:r>
        <w:t xml:space="preserve">and its content SHA-256 in</w:t>
      </w:r>
      <w:r>
        <w:t xml:space="preserve"> </w:t>
      </w:r>
      <w:r>
        <w:rPr>
          <w:rStyle w:val="VerbatimChar"/>
        </w:rPr>
        <w:t xml:space="preserve">provenance.csv</w:t>
      </w:r>
      <w:r>
        <w:t xml:space="preserve"> </w:t>
      </w:r>
      <w:r>
        <w:t xml:space="preserve">preserve the exact text that was used in the §4.11 stress test, so the row is relabelled</w:t>
      </w:r>
      <w:r>
        <w:t xml:space="preserve"> </w:t>
      </w:r>
      <w:r>
        <w:t xml:space="preserve">“Flexible-working guidance including home/hybrid material”</w:t>
      </w:r>
      <w:r>
        <w:t xml:space="preserve"> </w:t>
      </w:r>
      <w:r>
        <w:t xml:space="preserve">rather than re-downloaded.</w:t>
      </w:r>
    </w:p>
    <w:p>
      <w:pPr>
        <w:jc w:val="both"/>
      </w:pPr>
    </w:p>
    <w:p>
      <w:pPr>
        <w:jc w:val="both"/>
      </w:pPr>
      <w:r>
        <w:rPr>
          <w:b/>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the synthetic HR Procedures Manual discipline content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Flexible-working guidance (incl. home/hybrid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 see note in §B.11 about the cached page actually served at retrieval time</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19"/>
    <w:bookmarkStart w:id="120" w:name="X5532cf3a175e2089dfac91e42eccb777b60a359"/>
    <w:p>
      <w:pPr>
        <w:pStyle w:val="Heading2"/>
      </w:pPr>
      <w:r>
        <w:t xml:space="preserve">B.12 Adversarial and Audit Export Evidence (referenced from L5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(discussed under Limitation L5) and a small set of verbatim audit-export examples from the B3-Generative final run.</w:t>
      </w:r>
    </w:p>
    <w:p>
      <w:pPr>
        <w:jc w:val="both"/>
      </w:pPr>
      <w:r>
        <w:t xml:space="preserve">Adversarial probe. 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 safe response is either an</w:t>
      </w:r>
      <w:r>
        <w:t xml:space="preserve"> </w:t>
      </w:r>
      <w:r>
        <w:rPr>
          <w:rStyle w:val="VerbatimChar"/>
        </w:rPr>
        <w:t xml:space="preserve">INSUFFICIENT_EVIDENCE</w:t>
      </w:r>
      <w:r>
        <w:t xml:space="preserve"> </w:t>
      </w:r>
      <w:r>
        <w:t xml:space="preserve">abstention or a grounded answer whose citations all map to real paragraph IDs in the corpus index; fabricated citation and unsupported answer 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a dedicated LLM red-teaming framework and is listed as future work in §5.3.</w:t>
      </w:r>
    </w:p>
    <w:p>
      <w:pPr>
        <w:jc w:val="both"/>
      </w:pPr>
      <w:r>
        <w:t xml:space="preserve">Audit export examples. 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t xml:space="preserve">Public-transfer failure taxonomy (cross-reference). 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20"/>
    <w:bookmarkStart w:id="121" w:name="Xfa64450973ec02010b41142dcebae655aafd61a"/>
    <w:p>
      <w:pPr>
        <w:pStyle w:val="Heading2"/>
      </w:pPr>
      <w:r>
        <w:t xml:space="preserve">B.13 Threats to Validity Summary (referenced from §5.2)</w:t>
      </w:r>
    </w:p>
    <w:p>
      <w:pPr>
        <w:jc w:val="both"/>
      </w:pPr>
      <w:r>
        <w:t xml:space="preserve">This appendix compiles the residual threats to validity for the project alongside the mitigation actually taken and the remaining weakness for each. It is referenced from §5.2 and is provided so that a reader can scan the threats in one place without leaving the limitations narrative.</w:t>
      </w:r>
    </w:p>
    <w:p>
      <w:pPr>
        <w:jc w:val="both"/>
      </w:pPr>
    </w:p>
    <w:p>
      <w:pPr>
        <w:jc w:val="both"/>
      </w:pPr>
      <w:r>
        <w:rPr>
          <w:b/>
          <w:bCs/>
          <w:sz w:val="21"/>
        </w:rPr>
        <w:t xml:space="preserve">Table B.7: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121"/>
    <w:bookmarkEnd w:id="122"/>
    <w:sectPr>
      <w:headerReference r:id="rId9" w:type="default"/>
      <w:pgSz w:h="16838" w:w="11906"/>
      <w:pgMar w:bottom="1417" w:footer="708" w:gutter="0" w:header="708" w:left="1417" w:right="1417" w:top="1417"/>
      <w:type w:val="next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before="0" w:line="360" w:lineRule="auto"/>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after="40" w:before="8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after="20" w:before="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customStyle="1" w:styleId="SourceCode" w:type="paragraph">
    <w:name w:val="Source Code"/>
    <w:basedOn w:val="Normal"/>
    <w:link w:val="VerbatimChar"/>
    <w:pPr>
      <w:wordWrap w:val="off"/>
      <w:spacing w:after="40" w:before="40" w:line="264" w:lineRule="auto"/>
    </w:pPr>
    <w:rPr>
      <w:rFonts w:ascii="Courier New" w:cs="Courier New" w:hAnsi="Courier New"/>
      <w:sz w:val="18"/>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97" Type="http://schemas.openxmlformats.org/officeDocument/2006/relationships/hyperlink" Target="https://github.com/NathS04/policy_copilot_submission.git" TargetMode="External"/><Relationship Id="rId13" Type="http://schemas.openxmlformats.org/officeDocument/2006/relationships/image" Target="media/image13.png"/></Relationships>
</file>

<file path=word/_rels/footnotes.xml.rels><?xml version='1.0' encoding='UTF-8' standalone='yes'?>
<Relationships xmlns="http://schemas.openxmlformats.org/package/2006/relationships"><Relationship Id="rId97" Type="http://schemas.openxmlformats.org/officeDocument/2006/relationships/hyperlink" Target="https://github.com/NathS04/policy_copilot_submission.g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2026-05-14T11:56:11Z</dcterms:created>
  <dcterms:modified xsi:type="dcterms:W3CDTF">2026-05-14T11:56:11Z</dcterms:modified>
</cp:coreProperties>
</file>

<file path=docProps/custom.xml><?xml version="1.0" encoding="utf-8"?>
<Properties xmlns="http://schemas.openxmlformats.org/officeDocument/2006/custom-properties" xmlns:vt="http://schemas.openxmlformats.org/officeDocument/2006/docPropsVTypes"/>
</file>