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jc w:val="center"/>
      </w:pPr>
      <w:r>
        <w:drawing>
          <wp:inline>
            <wp:extent cx="2377440" cy="840551"/>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2377440" cy="840551"/>
                    </a:xfrm>
                    <a:prstGeom prst="rect"/>
                  </pic:spPr>
                </pic:pic>
              </a:graphicData>
            </a:graphic>
          </wp:inline>
        </w:drawing>
      </w:r>
    </w:p>
    <w:p>
      <w:pPr>
        <w:jc w:val="center"/>
      </w:pPr>
      <w:r>
        <w:t xml:space="preserve">School of Computer Science</w:t>
      </w:r>
    </w:p>
    <w:p>
      <w:pPr>
        <w:jc w:val="center"/>
      </w:pPr>
      <w:r>
        <w:t xml:space="preserve">FACULTY OF ENGINEERING AND PHYSICAL SCIENCES</w:t>
      </w:r>
    </w:p>
    <w:p>
      <w:pPr>
        <w:jc w:val="center"/>
      </w:pPr>
    </w:p>
    <w:p>
      <w:pPr>
        <w:jc w:val="center"/>
      </w:pPr>
      <w:r>
        <w:t xml:space="preserve">Final Report</w:t>
      </w:r>
    </w:p>
    <w:p>
      <w:pPr>
        <w:jc w:val="center"/>
      </w:pPr>
    </w:p>
    <w:bookmarkStart w:id="32" w:name="audit-ready-policy-copilot"/>
    <w:p>
      <w:pPr>
        <w:jc w:val="center"/>
      </w:pPr>
      <w:r>
        <w:rPr>
          <w:b/>
          <w:sz w:val="44"/>
        </w:rPr>
        <w:t xml:space="preserve">Audit-Ready Policy Copilot</w:t>
      </w:r>
    </w:p>
    <w:bookmarkStart w:id="31" w:name="X4b730a80f8cab3c0b68f93e29d991218cdc9378"/>
    <w:p>
      <w:pPr>
        <w:jc w:val="center"/>
      </w:pPr>
      <w:r>
        <w:rPr>
          <w:i/>
          <w:sz w:val="28"/>
        </w:rPr>
        <w:t xml:space="preserve">Evidence-Grounded Retrieval-Augmented Generation with Deterministic Reliability Controls</w:t>
      </w:r>
    </w:p>
    <w:p>
      <w:pPr>
        <w:jc w:val="center"/>
      </w:pPr>
    </w:p>
    <w:p>
      <w:pPr>
        <w:jc w:val="center"/>
      </w:pPr>
      <w:r>
        <w:t xml:space="preserve">Nathaniel Sebastian</w:t>
      </w:r>
    </w:p>
    <w:p>
      <w:pPr>
        <w:jc w:val="center"/>
      </w:pPr>
      <w:r>
        <w:t xml:space="preserve">Student ID: 201715051</w:t>
      </w:r>
    </w:p>
    <w:p>
      <w:pPr>
        <w:jc w:val="center"/>
      </w:pPr>
    </w:p>
    <w:p>
      <w:pPr>
        <w:jc w:val="center"/>
      </w:pPr>
      <w:r>
        <w:t xml:space="preserve">Submitted in accordance with the requirements for the degree of</w:t>
      </w:r>
      <w:r>
        <w:t xml:space="preserve"> </w:t>
      </w:r>
      <w:r>
        <w:t xml:space="preserve">BSc (Hons) Computer Science</w:t>
      </w:r>
    </w:p>
    <w:p>
      <w:pPr>
        <w:jc w:val="center"/>
      </w:pPr>
    </w:p>
    <w:p>
      <w:pPr>
        <w:jc w:val="center"/>
      </w:pPr>
      <w:r>
        <w:t xml:space="preserve">2025/26</w:t>
      </w:r>
    </w:p>
    <w:p>
      <w:pPr>
        <w:jc w:val="center"/>
      </w:pPr>
    </w:p>
    <w:p>
      <w:pPr>
        <w:jc w:val="center"/>
      </w:pPr>
      <w:r>
        <w:t xml:space="preserve">COMP3931 Individual Project</w:t>
      </w:r>
    </w:p>
    <w:p>
      <w:pPr>
        <w:jc w:val="center"/>
      </w:pPr>
      <w:r>
        <w:t xml:space="preserve"> </w:t>
      </w:r>
    </w:p>
    <w:p>
      <w:pPr>
        <w:jc w:val="center"/>
      </w:pPr>
      <w:r>
        <w:t xml:space="preserve">© 2026 The University of Leeds and Nathaniel Sebastian</w:t>
      </w:r>
    </w:p>
    <w:bookmarkEnd w:id="31"/>
    <w:bookmarkEnd w:id="32"/>
    <w:p>
      <w:pPr>
        <w:jc w:val="center"/>
      </w:pPr>
      <w:r>
        <w:pict>
          <v:rect style="width:0;height:1.5pt" o:hralign="center" o:hrstd="t" o:hr="t"/>
        </w:pict>
      </w:r>
    </w:p>
    <w:bookmarkStart w:id="33" w:name="deliverables"/>
    <w:p>
      <w:pPr>
        <w:pStyle w:val="Heading1"/>
        <w:pageBreakBefore/>
        <w:jc w:val="center"/>
      </w:pPr>
      <w:r>
        <w:t xml:space="preserve">Deliverables</w:t>
      </w:r>
    </w:p>
    <w:p>
      <w:pPr>
        <w:jc w:val="center"/>
      </w:pPr>
      <w:r>
        <w:t xml:space="preserve">The candidate confirms that the following have been submitted:</w:t>
      </w:r>
    </w:p>
    <w:tbl>
      <w:tblPr>
        <w:tblStyle w:val="TableGrid"/>
        <w:tblW w:type="pct" w:w="5000"/>
        <w:jc w:val="center"/>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526"/>
        <w:gridCol w:w="2256"/>
        <w:gridCol w:w="4241"/>
      </w:tblGrid>
      <w:tr>
        <w:trPr>
          <w:tblHeader w:val="on"/>
        </w:trPr>
        <w:tc>
          <w:tcPr>
            <w:shd w:val="clear" w:color="auto" w:fill="D9D9D9"/>
            <w:tcMar>
              <w:top w:w="60" w:type="dxa"/>
              <w:bottom w:w="60" w:type="dxa"/>
              <w:left w:w="100" w:type="dxa"/>
              <w:right w:w="100" w:type="dxa"/>
            </w:tcMar>
            <w:tcW w:w="1400" w:type="pct"/>
          </w:tcPr>
          <w:p>
            <w:pPr>
              <w:spacing w:line="276" w:lineRule="auto" w:before="0" w:after="0"/>
              <w:jc w:val="left"/>
            </w:pPr>
            <w:r>
              <w:rPr>
                <w:rFonts w:ascii="Times New Roman" w:hAnsi="Times New Roman"/>
                <w:b/>
                <w:color w:val="000000"/>
                <w:sz w:val="20"/>
              </w:rPr>
              <w:t xml:space="preserve">Items</w:t>
            </w:r>
          </w:p>
        </w:tc>
        <w:tc>
          <w:tcPr>
            <w:shd w:val="clear" w:color="auto" w:fill="D9D9D9"/>
            <w:tcMar>
              <w:top w:w="60" w:type="dxa"/>
              <w:bottom w:w="60" w:type="dxa"/>
              <w:left w:w="100" w:type="dxa"/>
              <w:right w:w="100" w:type="dxa"/>
            </w:tcMar>
            <w:tcW w:w="1250" w:type="pct"/>
          </w:tcPr>
          <w:p>
            <w:pPr>
              <w:spacing w:line="276" w:lineRule="auto" w:before="0" w:after="0"/>
              <w:jc w:val="left"/>
            </w:pPr>
            <w:r>
              <w:rPr>
                <w:rFonts w:ascii="Times New Roman" w:hAnsi="Times New Roman"/>
                <w:b/>
                <w:color w:val="000000"/>
                <w:sz w:val="20"/>
              </w:rPr>
              <w:t xml:space="preserve">Format</w:t>
            </w:r>
          </w:p>
        </w:tc>
        <w:tc>
          <w:tcPr>
            <w:shd w:val="clear" w:color="auto" w:fill="D9D9D9"/>
            <w:tcMar>
              <w:top w:w="60" w:type="dxa"/>
              <w:bottom w:w="60" w:type="dxa"/>
              <w:left w:w="100" w:type="dxa"/>
              <w:right w:w="100" w:type="dxa"/>
            </w:tcMar>
            <w:tcW w:w="2350" w:type="pct"/>
          </w:tcPr>
          <w:p>
            <w:pPr>
              <w:spacing w:line="276" w:lineRule="auto" w:before="0" w:after="0"/>
              <w:jc w:val="left"/>
            </w:pPr>
            <w:r>
              <w:rPr>
                <w:rFonts w:ascii="Times New Roman" w:hAnsi="Times New Roman"/>
                <w:b/>
                <w:color w:val="000000"/>
                <w:sz w:val="20"/>
              </w:rPr>
              <w:t xml:space="preserve">Recipient(s) and Date</w:t>
            </w:r>
          </w:p>
        </w:tc>
      </w:tr>
      <w:tr>
        <w:tc>
          <w:tcPr>
            <w:tcMar>
              <w:top w:w="60" w:type="dxa"/>
              <w:bottom w:w="60" w:type="dxa"/>
              <w:left w:w="100" w:type="dxa"/>
              <w:right w:w="100" w:type="dxa"/>
            </w:tcMar>
            <w:tcW w:w="1400" w:type="pct"/>
          </w:tcPr>
          <w:p>
            <w:pPr>
              <w:spacing w:line="276" w:lineRule="auto" w:before="0" w:after="0"/>
              <w:jc w:val="left"/>
            </w:pPr>
            <w:r>
              <w:rPr>
                <w:rFonts w:ascii="Times New Roman" w:hAnsi="Times New Roman"/>
                <w:color w:val="000000"/>
                <w:sz w:val="20"/>
              </w:rPr>
              <w:t xml:space="preserve">Final Report</w:t>
            </w:r>
          </w:p>
        </w:tc>
        <w:tc>
          <w:tcPr>
            <w:tcMar>
              <w:top w:w="60" w:type="dxa"/>
              <w:bottom w:w="60" w:type="dxa"/>
              <w:left w:w="100" w:type="dxa"/>
              <w:right w:w="100" w:type="dxa"/>
            </w:tcMar>
            <w:tcW w:w="1250" w:type="pct"/>
          </w:tcPr>
          <w:p>
            <w:pPr>
              <w:spacing w:line="276" w:lineRule="auto" w:before="0" w:after="0"/>
              <w:jc w:val="left"/>
            </w:pPr>
            <w:r>
              <w:rPr>
                <w:rFonts w:ascii="Times New Roman" w:hAnsi="Times New Roman"/>
                <w:color w:val="000000"/>
                <w:sz w:val="20"/>
              </w:rPr>
              <w:t xml:space="preserve">PDF file</w:t>
            </w:r>
          </w:p>
        </w:tc>
        <w:tc>
          <w:tcPr>
            <w:tcMar>
              <w:top w:w="60" w:type="dxa"/>
              <w:bottom w:w="60" w:type="dxa"/>
              <w:left w:w="100" w:type="dxa"/>
              <w:right w:w="100" w:type="dxa"/>
            </w:tcMar>
            <w:tcW w:w="2350" w:type="pct"/>
          </w:tcPr>
          <w:p>
            <w:pPr>
              <w:spacing w:line="276" w:lineRule="auto" w:before="0" w:after="0"/>
              <w:jc w:val="left"/>
            </w:pPr>
            <w:r>
              <w:rPr>
                <w:rFonts w:ascii="Times New Roman" w:hAnsi="Times New Roman"/>
                <w:color w:val="000000"/>
                <w:sz w:val="20"/>
              </w:rPr>
              <w:t xml:space="preserve">Uploaded to Minerva, 30/04/2026</w:t>
            </w:r>
          </w:p>
        </w:tc>
      </w:tr>
      <w:tr>
        <w:tc>
          <w:tcPr>
            <w:tcMar>
              <w:top w:w="60" w:type="dxa"/>
              <w:bottom w:w="60" w:type="dxa"/>
              <w:left w:w="100" w:type="dxa"/>
              <w:right w:w="100" w:type="dxa"/>
            </w:tcMar>
            <w:tcW w:w="1400" w:type="pct"/>
          </w:tcPr>
          <w:p>
            <w:pPr>
              <w:spacing w:line="276" w:lineRule="auto" w:before="0" w:after="0"/>
              <w:jc w:val="left"/>
            </w:pPr>
            <w:r>
              <w:rPr>
                <w:rFonts w:ascii="Times New Roman" w:hAnsi="Times New Roman"/>
                <w:color w:val="000000"/>
                <w:sz w:val="20"/>
              </w:rPr>
              <w:t xml:space="preserve">Source code repository</w:t>
            </w:r>
          </w:p>
        </w:tc>
        <w:tc>
          <w:tcPr>
            <w:tcMar>
              <w:top w:w="60" w:type="dxa"/>
              <w:bottom w:w="60" w:type="dxa"/>
              <w:left w:w="100" w:type="dxa"/>
              <w:right w:w="100" w:type="dxa"/>
            </w:tcMar>
            <w:tcW w:w="1250" w:type="pct"/>
          </w:tcPr>
          <w:p>
            <w:pPr>
              <w:spacing w:line="276" w:lineRule="auto" w:before="0" w:after="0"/>
              <w:jc w:val="left"/>
            </w:pPr>
            <w:r>
              <w:rPr>
                <w:rFonts w:ascii="Times New Roman" w:hAnsi="Times New Roman"/>
                <w:color w:val="000000"/>
                <w:sz w:val="20"/>
              </w:rPr>
              <w:t xml:space="preserve">GitHub repository URL</w:t>
            </w:r>
          </w:p>
        </w:tc>
        <w:tc>
          <w:tcPr>
            <w:tcMar>
              <w:top w:w="60" w:type="dxa"/>
              <w:bottom w:w="60" w:type="dxa"/>
              <w:left w:w="100" w:type="dxa"/>
              <w:right w:w="100" w:type="dxa"/>
            </w:tcMar>
            <w:tcW w:w="2350" w:type="pct"/>
          </w:tcPr>
          <w:p>
            <w:pPr>
              <w:spacing w:line="276" w:lineRule="auto" w:before="0" w:after="0"/>
              <w:jc w:val="left"/>
            </w:pPr>
            <w:r>
              <w:rPr>
                <w:rFonts w:ascii="Times New Roman" w:hAnsi="Times New Roman"/>
                <w:color w:val="000000"/>
                <w:sz w:val="20"/>
              </w:rPr>
              <w:t xml:space="preserve">Supervisor and assessor, 30/04/2026</w:t>
            </w:r>
          </w:p>
        </w:tc>
      </w:tr>
      <w:tr>
        <w:tc>
          <w:tcPr>
            <w:tcMar>
              <w:top w:w="60" w:type="dxa"/>
              <w:bottom w:w="60" w:type="dxa"/>
              <w:left w:w="100" w:type="dxa"/>
              <w:right w:w="100" w:type="dxa"/>
            </w:tcMar>
            <w:tcW w:w="1400" w:type="pct"/>
          </w:tcPr>
          <w:p>
            <w:pPr>
              <w:spacing w:line="276" w:lineRule="auto" w:before="0" w:after="0"/>
              <w:jc w:val="left"/>
            </w:pPr>
            <w:r>
              <w:rPr>
                <w:rFonts w:ascii="Times New Roman" w:hAnsi="Times New Roman"/>
                <w:color w:val="000000"/>
                <w:sz w:val="20"/>
              </w:rPr>
              <w:t xml:space="preserve">Documentation and evaluation pack</w:t>
            </w:r>
          </w:p>
        </w:tc>
        <w:tc>
          <w:tcPr>
            <w:tcMar>
              <w:top w:w="60" w:type="dxa"/>
              <w:bottom w:w="60" w:type="dxa"/>
              <w:left w:w="100" w:type="dxa"/>
              <w:right w:w="100" w:type="dxa"/>
            </w:tcMar>
            <w:tcW w:w="1250" w:type="pct"/>
          </w:tcPr>
          <w:p>
            <w:pPr>
              <w:spacing w:line="276" w:lineRule="auto" w:before="0" w:after="0"/>
              <w:jc w:val="left"/>
            </w:pPr>
            <w:r>
              <w:rPr>
                <w:rFonts w:ascii="Times New Roman" w:hAnsi="Times New Roman"/>
                <w:color w:val="000000"/>
                <w:sz w:val="20"/>
              </w:rPr>
              <w:t xml:space="preserve">GitHub repository URL</w:t>
            </w:r>
          </w:p>
        </w:tc>
        <w:tc>
          <w:tcPr>
            <w:tcMar>
              <w:top w:w="60" w:type="dxa"/>
              <w:bottom w:w="60" w:type="dxa"/>
              <w:left w:w="100" w:type="dxa"/>
              <w:right w:w="100" w:type="dxa"/>
            </w:tcMar>
            <w:tcW w:w="2350" w:type="pct"/>
          </w:tcPr>
          <w:p>
            <w:pPr>
              <w:spacing w:line="276" w:lineRule="auto" w:before="0" w:after="0"/>
              <w:jc w:val="left"/>
            </w:pPr>
            <w:r>
              <w:rPr>
                <w:rFonts w:ascii="Times New Roman" w:hAnsi="Times New Roman"/>
                <w:color w:val="000000"/>
                <w:sz w:val="20"/>
              </w:rPr>
              <w:t xml:space="preserve">Supervisor and assessor, 30/04/2026</w:t>
            </w:r>
          </w:p>
        </w:tc>
      </w:tr>
    </w:tbl>
    <w:p>
      <w:pPr>
        <w:jc w:val="center"/>
      </w:pPr>
      <w:r>
        <w:t xml:space="preserve">The submitted report sits within the COMP3931 30-page body limit (Chapters 1 to 5; preliminaries, references, and appendices are excluded from that count). A fresh install using the evaluator path in</w:t>
      </w:r>
      <w:r>
        <w:t xml:space="preserve"> </w:t>
      </w:r>
      <w:r>
        <w:rPr>
          <w:rStyle w:val="VerbatimChar"/>
        </w:rPr>
        <w:t xml:space="preserve">INSTRUCTIONS_FOR_EVALUATOR.md</w:t>
      </w:r>
      <w:r>
        <w:t xml:space="preserve"> </w:t>
      </w:r>
      <w:r>
        <w:t xml:space="preserve">(</w:t>
      </w:r>
      <w:r>
        <w:rPr>
          <w:rStyle w:val="VerbatimChar"/>
        </w:rPr>
        <w:t xml:space="preserve">pip install -e ".[dev]"</w:t>
      </w:r>
      <w:r>
        <w:t xml:space="preserve">, then</w:t>
      </w:r>
      <w:r>
        <w:t xml:space="preserve"> </w:t>
      </w:r>
      <w:r>
        <w:rPr>
          <w:rStyle w:val="VerbatimChar"/>
        </w:rPr>
        <w:t xml:space="preserve">pytest</w:t>
      </w:r>
      <w:r>
        <w:t xml:space="preserve">,</w:t>
      </w:r>
      <w:r>
        <w:t xml:space="preserve"> </w:t>
      </w:r>
      <w:r>
        <w:rPr>
          <w:rStyle w:val="VerbatimChar"/>
        </w:rPr>
        <w:t xml:space="preserve">scripts/reproduce_offline.py</w:t>
      </w:r>
      <w:r>
        <w:t xml:space="preserve">, and</w:t>
      </w:r>
      <w:r>
        <w:t xml:space="preserve"> </w:t>
      </w:r>
      <w:r>
        <w:rPr>
          <w:rStyle w:val="VerbatimChar"/>
        </w:rPr>
        <w:t xml:space="preserve">scripts/verify_artifacts.py</w:t>
      </w:r>
      <w:r>
        <w:t xml:space="preserve">) verifies the shipped offline artefacts and regenerates the offline-safe evaluation outputs on a consumer laptop. API-dependent generative runs (B1 / B2 / B3-Generative) are represented by retained run artefacts under</w:t>
      </w:r>
      <w:r>
        <w:t xml:space="preserve"> </w:t>
      </w:r>
      <w:r>
        <w:rPr>
          <w:rStyle w:val="VerbatimChar"/>
        </w:rPr>
        <w:t xml:space="preserve">results/runs/</w:t>
      </w:r>
      <w:r>
        <w:t xml:space="preserve"> </w:t>
      </w:r>
      <w:r>
        <w:t xml:space="preserve">and are documented separately.</w:t>
      </w:r>
    </w:p>
    <w:p>
      <w:pPr>
        <w:jc w:val="center"/>
      </w:pPr>
      <w:r>
        <w:pict>
          <v:rect style="width:0;height:1.5pt" o:hralign="center" o:hrstd="t" o:hr="t"/>
        </w:pict>
      </w:r>
    </w:p>
    <w:bookmarkEnd w:id="33"/>
    <w:bookmarkStart w:id="34" w:name="declaration"/>
    <w:p>
      <w:pPr>
        <w:pStyle w:val="Heading1"/>
        <w:pageBreakBefore/>
      </w:pPr>
      <w:r>
        <w:t xml:space="preserve">Declaration</w:t>
      </w:r>
    </w:p>
    <w:p>
      <w:pPr>
        <w:jc w:val="both"/>
      </w:pPr>
      <w:r>
        <w:t xml:space="preserve">The candidate confirms that the work submitted is their own and that appropriate credit has been given where reference has been made to the work of others.</w:t>
      </w:r>
    </w:p>
    <w:p>
      <w:pPr>
        <w:jc w:val="both"/>
      </w:pPr>
      <w:r>
        <w:t xml:space="preserve">I understand that failure to attribute material which is obtained from another source may be considered as plagiarism.</w:t>
      </w:r>
    </w:p>
    <w:p>
      <w:pPr>
        <w:jc w:val="both"/>
      </w:pPr>
      <w:r>
        <w:t xml:space="preserve">The use of Generative AI tools during this project complies with the University of Leeds Generative AI policy (Amber category for COMP3931/COMP3932) and is fully disclosed in Appendix B.5.</w:t>
      </w:r>
    </w:p>
    <w:p>
      <w:pPr>
        <w:jc w:val="both"/>
      </w:pPr>
      <w:r>
        <w:t xml:space="preserve">(Signature of student) Nathaniel Sebastian ………………………………………………</w:t>
      </w:r>
    </w:p>
    <w:p>
      <w:pPr>
        <w:jc w:val="both"/>
      </w:pPr>
      <w:r>
        <w:t xml:space="preserve">(Date) 30 April 2026 …………………………………………………</w:t>
      </w:r>
    </w:p>
    <w:p>
      <w:pPr>
        <w:jc w:val="both"/>
      </w:pPr>
      <w:r>
        <w:pict>
          <v:rect style="width:0;height:1.5pt" o:hralign="center" o:hrstd="t" o:hr="t"/>
        </w:pict>
      </w:r>
    </w:p>
    <w:bookmarkEnd w:id="34"/>
    <w:bookmarkStart w:id="35" w:name="summary"/>
    <w:p>
      <w:pPr>
        <w:pStyle w:val="Heading1"/>
        <w:pageBreakBefore/>
      </w:pPr>
      <w:r>
        <w:t xml:space="preserve">Summary</w:t>
      </w:r>
    </w:p>
    <w:p>
      <w:pPr>
        <w:jc w:val="both"/>
      </w:pPr>
      <w:r>
        <w:t xml:space="preserve">Most large organisations rely on a stack of internal policy documents (employee handbooks, IT security addenda, data-protection guidelines) to govern day-to-day operations. Employees regularly need quick answers from these documents, but searching through long PDFs by hand is slow. Large Language Models (LLMs) can answer such questions fluently, but their tendency to hallucinate makes them risky to deploy in a compliance setting without extra safeguards.</w:t>
      </w:r>
    </w:p>
    <w:p>
      <w:pPr>
        <w:jc w:val="both"/>
      </w:pPr>
      <w:r>
        <w:t xml:space="preserve">This project presents Policy Copilot, a Retrieval-Augmented Generation (RAG) system designed for that setting. The central design rule is</w:t>
      </w:r>
      <w:r>
        <w:t xml:space="preserve"> </w:t>
      </w:r>
      <w:r>
        <w:t xml:space="preserve">“cited or silent”</w:t>
      </w:r>
      <w:r>
        <w:t xml:space="preserve">: every claim in a response must be traceable to a specific source paragraph, and the system abstains when the supporting evidence is weak rather than answering anyway. On top of a standard RAG pipeline the system adds four extra checks: cross-encoder reranking (which improves retrieval precision and produces the confidence signal used by the abstention gate); per-claim citation verification that uses fixed rules rather than a second LLM, which keeps the check reproducible; contradiction detection across documents; and an Extractive Fallback Mode that returns the top-ranked evidence paragraph when the LLM is unavailable.</w:t>
      </w:r>
    </w:p>
    <w:p>
      <w:pPr>
        <w:jc w:val="both"/>
      </w:pPr>
      <w:r>
        <w:t xml:space="preserve">The system was evaluated on a 63-query synthetic golden set: 36 answerable queries, 17 unanswerable queries, and 10 contradiction probes, with 44 held out for testing. The dev split was used exclusively for threshold tuning; the headline B1/B2/B3-Generative figures are reported across the full 63-query golden set (the runs were executed with</w:t>
      </w:r>
      <w:r>
        <w:t xml:space="preserve"> </w:t>
      </w:r>
      <w:r>
        <w:rPr>
          <w:rStyle w:val="VerbatimChar"/>
        </w:rPr>
        <w:t xml:space="preserve">split=all</w:t>
      </w:r>
      <w:r>
        <w:t xml:space="preserve">), and B3-Extractive is reported on the held-out test split (44 queries,</w:t>
      </w:r>
      <w:r>
        <w:t xml:space="preserve"> </w:t>
      </w:r>
      <w:r>
        <w:rPr>
          <w:rStyle w:val="VerbatimChar"/>
        </w:rPr>
        <w:t xml:space="preserve">split=test</w:t>
      </w:r>
      <w:r>
        <w:t xml:space="preserve">). Across the full golden set, B3-Generative reports a 0.0% response-level ungrounded rate. This result needs careful interpretation. It does not show that the LLM never produced unsupported text; it shows that responses failing the support-rate check were converted into abstentions before reaching the user. The same configuration reaches 94.1% abstention accuracy across the 17 unanswerable queries in the full golden set, above the 80% target, although the small sample makes the confidence interval wide.</w:t>
      </w:r>
    </w:p>
    <w:p>
      <w:pPr>
        <w:jc w:val="both"/>
      </w:pPr>
      <w:r>
        <w:t xml:space="preserve">The main cost is coverage. B3-Generative answers only 25% of the 63 golden-set queries, well below the 85% target. Extractive Mode recovers most of that coverage with an 88% answer rate and 100% citation precision; abstention accuracy on its small unanswerable test subset is 50.0% (n = 12 unanswerable queries in the test split), so abstention strength on the test-split denominator is weaker than the generative configuration’s all-split number. Extractive Mode achieves this by returning quoted evidence rather than synthesised answers. The heuristic Critic Mode reaches 93.3% macro precision, 95.2% macro recall and 93.8% macro F1 on its 50-snippet labelled suite, above the 85% target. Overall, the results support the safety argument on a controlled synthetic corpus, while also showing that recall, coverage and transfer to messier documents remain the main limitations.</w:t>
      </w:r>
    </w:p>
    <w:p>
      <w:pPr>
        <w:jc w:val="both"/>
      </w:pPr>
      <w:r>
        <w:t xml:space="preserve">The evaluation was deliberately layered. The main benchmark used a synthetic golden set so that answerability, expected evidence, and contradiction probes could be controlled. Three smaller checks sit around it: a peer-review exercise to test whether the outputs felt useful and trustworthy to readers, a public-guidance transfer test on text I had not authored, and a small adversarial probe focused on prompt-injection style attacks. The audit-export artefacts tie individual answers back to evidence so the headline results can be checked rather than taken on trust.</w:t>
      </w:r>
    </w:p>
    <w:p>
      <w:pPr>
        <w:jc w:val="both"/>
      </w:pPr>
      <w:r>
        <w:t xml:space="preserve">Overall the project supports a fairly narrow claim. Adding three rule-based safety checks on top of a standard RAG pipeline — refusing when the reranker is not confident, dropping claims whose cited paragraph does not actually support them, and surfacing contradictions across documents — cut the unsupported-claim rate sharply for a policy-compliance use-case in this synthetic setting, at the cost of a smaller answer rate that would need its thresholds retuned for any new corpus or retrieval backend.</w:t>
      </w:r>
    </w:p>
    <w:p>
      <w:pPr>
        <w:jc w:val="both"/>
      </w:pPr>
      <w:r>
        <w:pict>
          <v:rect style="width:0;height:1.5pt" o:hralign="center" o:hrstd="t" o:hr="t"/>
        </w:pict>
      </w:r>
    </w:p>
    <w:bookmarkEnd w:id="35"/>
    <w:bookmarkStart w:id="36" w:name="acknowledgements"/>
    <w:p>
      <w:pPr>
        <w:pStyle w:val="Heading1"/>
        <w:pageBreakBefore/>
      </w:pPr>
      <w:r>
        <w:t xml:space="preserve">Acknowledgements</w:t>
      </w:r>
    </w:p>
    <w:p>
      <w:pPr>
        <w:jc w:val="both"/>
      </w:pPr>
      <w:r>
        <w:t xml:space="preserve">I would like to thank my supervisor for their guidance and feedback throughout this project, and the COMP3931 module coordinators for clear expectations and resources.</w:t>
      </w:r>
    </w:p>
    <w:p>
      <w:pPr>
        <w:jc w:val="both"/>
      </w:pPr>
      <w:r>
        <w:t xml:space="preserve">This report has been prepared in accordance with the University of Leeds proof-reading policy. No third-party human proof-reading was used. Generative AI tools were used in an assistive role during the project, including development support, debugging, structuring, and review of clarity and consistency. AI outputs were treated as suggestions or review comments rather than final authoritative text. All final technical decisions, implementation work, report wording, citations, results, figures, and submission decisions were reviewed, revised where necessary, and approved by the author. Full details are provided in Appendix B.5.</w:t>
      </w:r>
    </w:p>
    <w:p>
      <w:pPr>
        <w:jc w:val="both"/>
      </w:pPr>
      <w:r>
        <w:pict>
          <v:rect style="width:0;height:1.5pt" o:hralign="center" o:hrstd="t" o:hr="t"/>
        </w:pict>
      </w:r>
    </w:p>
    <w:bookmarkEnd w:id="36"/>
    <w:bookmarkStart w:id="37" w:name="table-of-contents"/>
    <w:p>
      <w:pPr>
        <w:pStyle w:val="Heading1"/>
        <w:pageBreakBefore/>
      </w:pPr>
      <w:r>
        <w:t xml:space="preserve">Table of Contents</w:t>
      </w:r>
    </w:p>
    <w:p>
      <w:pPr>
        <w:spacing w:line="288" w:lineRule="auto" w:before="0" w:after="40"/>
        <w:ind w:left="280"/>
        <w:jc w:val="both"/>
        <w:tabs>
          <w:tab w:val="right" w:leader="dot" w:pos="8420"/>
        </w:tabs>
      </w:pPr>
      <w:hyperlink w:anchor="deliverables">
        <w:r>
          <w:rPr>
            <w:rFonts w:ascii="Times New Roman" w:hAnsi="Times New Roman" w:cs="Times New Roman"/>
            <w:sz w:val="22"/>
            <w:color w:val="000000"/>
            <w:u w:val="none"/>
          </w:rPr>
          <w:t xml:space="preserve">Deliverables</w:t>
        </w:r>
      </w:hyperlink>
      <w:r>
        <w:rPr>
          <w:rFonts w:ascii="Times New Roman" w:hAnsi="Times New Roman" w:cs="Times New Roman"/>
          <w:sz w:val="22"/>
          <w:color w:val="000000"/>
          <w:u w:val="none"/>
        </w:rPr>
        <w:tab/>
        <w:t xml:space="preserve">ii</w:t>
      </w:r>
    </w:p>
    <w:p>
      <w:pPr>
        <w:spacing w:line="288" w:lineRule="auto" w:before="0" w:after="40"/>
        <w:ind w:left="280"/>
        <w:jc w:val="both"/>
        <w:tabs>
          <w:tab w:val="right" w:leader="dot" w:pos="8420"/>
        </w:tabs>
      </w:pPr>
      <w:hyperlink w:anchor="declaration">
        <w:r>
          <w:rPr>
            <w:rFonts w:ascii="Times New Roman" w:hAnsi="Times New Roman" w:cs="Times New Roman"/>
            <w:sz w:val="22"/>
            <w:color w:val="000000"/>
            <w:u w:val="none"/>
          </w:rPr>
          <w:t xml:space="preserve">Declaration</w:t>
        </w:r>
      </w:hyperlink>
      <w:r>
        <w:rPr>
          <w:rFonts w:ascii="Times New Roman" w:hAnsi="Times New Roman" w:cs="Times New Roman"/>
          <w:sz w:val="22"/>
          <w:color w:val="000000"/>
          <w:u w:val="none"/>
        </w:rPr>
        <w:tab/>
        <w:t xml:space="preserve">iii</w:t>
      </w:r>
    </w:p>
    <w:p>
      <w:pPr>
        <w:spacing w:line="288" w:lineRule="auto" w:before="0" w:after="40"/>
        <w:ind w:left="280"/>
        <w:jc w:val="both"/>
        <w:tabs>
          <w:tab w:val="right" w:leader="dot" w:pos="8420"/>
        </w:tabs>
      </w:pPr>
      <w:hyperlink w:anchor="summary">
        <w:r>
          <w:rPr>
            <w:rFonts w:ascii="Times New Roman" w:hAnsi="Times New Roman" w:cs="Times New Roman"/>
            <w:sz w:val="22"/>
            <w:color w:val="000000"/>
            <w:u w:val="none"/>
          </w:rPr>
          <w:t xml:space="preserve">Summary</w:t>
        </w:r>
      </w:hyperlink>
      <w:r>
        <w:rPr>
          <w:rFonts w:ascii="Times New Roman" w:hAnsi="Times New Roman" w:cs="Times New Roman"/>
          <w:sz w:val="22"/>
          <w:color w:val="000000"/>
          <w:u w:val="none"/>
        </w:rPr>
        <w:tab/>
        <w:t xml:space="preserve">iv</w:t>
      </w:r>
    </w:p>
    <w:p>
      <w:pPr>
        <w:spacing w:line="288" w:lineRule="auto" w:before="0" w:after="40"/>
        <w:ind w:left="280"/>
        <w:jc w:val="both"/>
        <w:tabs>
          <w:tab w:val="right" w:leader="dot" w:pos="8420"/>
        </w:tabs>
      </w:pPr>
      <w:hyperlink w:anchor="acknowledgements">
        <w:r>
          <w:rPr>
            <w:rFonts w:ascii="Times New Roman" w:hAnsi="Times New Roman" w:cs="Times New Roman"/>
            <w:sz w:val="22"/>
            <w:color w:val="000000"/>
            <w:u w:val="none"/>
          </w:rPr>
          <w:t xml:space="preserve">Acknowledgements</w:t>
        </w:r>
      </w:hyperlink>
      <w:r>
        <w:rPr>
          <w:rFonts w:ascii="Times New Roman" w:hAnsi="Times New Roman" w:cs="Times New Roman"/>
          <w:sz w:val="22"/>
          <w:color w:val="000000"/>
          <w:u w:val="none"/>
        </w:rPr>
        <w:tab/>
        <w:t xml:space="preserve">vi</w:t>
      </w:r>
    </w:p>
    <w:p>
      <w:pPr>
        <w:spacing w:line="288" w:lineRule="auto" w:before="0" w:after="40"/>
        <w:ind w:left="280"/>
        <w:jc w:val="both"/>
        <w:tabs>
          <w:tab w:val="right" w:leader="dot" w:pos="8420"/>
        </w:tabs>
      </w:pPr>
      <w:hyperlink w:anchor="list-of-figures">
        <w:r>
          <w:rPr>
            <w:rFonts w:ascii="Times New Roman" w:hAnsi="Times New Roman" w:cs="Times New Roman"/>
            <w:sz w:val="22"/>
            <w:color w:val="000000"/>
            <w:u w:val="none"/>
          </w:rPr>
          <w:t xml:space="preserve">List of Figures</w:t>
        </w:r>
      </w:hyperlink>
      <w:r>
        <w:rPr>
          <w:rFonts w:ascii="Times New Roman" w:hAnsi="Times New Roman" w:cs="Times New Roman"/>
          <w:sz w:val="22"/>
          <w:color w:val="000000"/>
          <w:u w:val="none"/>
        </w:rPr>
        <w:tab/>
        <w:t xml:space="preserve">ix</w:t>
      </w:r>
    </w:p>
    <w:p>
      <w:pPr>
        <w:spacing w:line="288" w:lineRule="auto" w:before="0" w:after="40"/>
        <w:ind w:left="280"/>
        <w:jc w:val="both"/>
        <w:tabs>
          <w:tab w:val="right" w:leader="dot" w:pos="8420"/>
        </w:tabs>
      </w:pPr>
      <w:hyperlink w:anchor="list-of-tables">
        <w:r>
          <w:rPr>
            <w:rFonts w:ascii="Times New Roman" w:hAnsi="Times New Roman" w:cs="Times New Roman"/>
            <w:sz w:val="22"/>
            <w:color w:val="000000"/>
            <w:u w:val="none"/>
          </w:rPr>
          <w:t xml:space="preserve">List of Tables</w:t>
        </w:r>
      </w:hyperlink>
      <w:r>
        <w:rPr>
          <w:rFonts w:ascii="Times New Roman" w:hAnsi="Times New Roman" w:cs="Times New Roman"/>
          <w:sz w:val="22"/>
          <w:color w:val="000000"/>
          <w:u w:val="none"/>
        </w:rPr>
        <w:tab/>
        <w:t xml:space="preserve">x</w:t>
      </w:r>
    </w:p>
    <w:p>
      <w:pPr>
        <w:spacing w:line="288" w:lineRule="auto" w:before="0" w:after="40"/>
        <w:ind w:left="280"/>
        <w:jc w:val="both"/>
        <w:tabs>
          <w:tab w:val="right" w:leader="dot" w:pos="8420"/>
        </w:tabs>
      </w:pPr>
      <w:hyperlink w:anchor="Xdec3148e2b27743a21167d1a64790a47d9bae32">
        <w:r>
          <w:rPr>
            <w:rFonts w:ascii="Times New Roman" w:hAnsi="Times New Roman" w:cs="Times New Roman"/>
            <w:sz w:val="22"/>
            <w:color w:val="000000"/>
            <w:u w:val="none"/>
            <w:b/>
          </w:rPr>
          <w:t xml:space="preserve">Chapter 1 Introduction and Background Research</w:t>
        </w:r>
      </w:hyperlink>
      <w:r>
        <w:rPr>
          <w:rFonts w:ascii="Times New Roman" w:hAnsi="Times New Roman" w:cs="Times New Roman"/>
          <w:sz w:val="22"/>
          <w:color w:val="000000"/>
          <w:u w:val="none"/>
          <w:b/>
        </w:rPr>
        <w:tab/>
        <w:t xml:space="preserve">1</w:t>
      </w:r>
    </w:p>
    <w:p>
      <w:pPr>
        <w:spacing w:line="288" w:lineRule="auto" w:before="0" w:after="40"/>
        <w:ind w:left="640"/>
        <w:jc w:val="both"/>
        <w:tabs>
          <w:tab w:val="right" w:leader="dot" w:pos="8060"/>
        </w:tabs>
      </w:pPr>
      <w:hyperlink w:anchor="introduction">
        <w:r>
          <w:rPr>
            <w:rFonts w:ascii="Times New Roman" w:hAnsi="Times New Roman" w:cs="Times New Roman"/>
            <w:sz w:val="22"/>
            <w:color w:val="000000"/>
            <w:u w:val="none"/>
          </w:rPr>
          <w:t xml:space="preserve">1.1 Introduction</w:t>
        </w:r>
      </w:hyperlink>
      <w:r>
        <w:rPr>
          <w:rFonts w:ascii="Times New Roman" w:hAnsi="Times New Roman" w:cs="Times New Roman"/>
          <w:sz w:val="22"/>
          <w:color w:val="000000"/>
          <w:u w:val="none"/>
        </w:rPr>
        <w:tab/>
        <w:t xml:space="preserve">1</w:t>
      </w:r>
    </w:p>
    <w:p>
      <w:pPr>
        <w:spacing w:line="288" w:lineRule="auto" w:before="0" w:after="40"/>
        <w:ind w:left="640"/>
        <w:jc w:val="both"/>
        <w:tabs>
          <w:tab w:val="right" w:leader="dot" w:pos="8060"/>
        </w:tabs>
      </w:pPr>
      <w:hyperlink w:anchor="aims-and-objectives">
        <w:r>
          <w:rPr>
            <w:rFonts w:ascii="Times New Roman" w:hAnsi="Times New Roman" w:cs="Times New Roman"/>
            <w:sz w:val="22"/>
            <w:color w:val="000000"/>
            <w:u w:val="none"/>
          </w:rPr>
          <w:t xml:space="preserve">1.2 Aims and Objectives</w:t>
        </w:r>
      </w:hyperlink>
      <w:r>
        <w:rPr>
          <w:rFonts w:ascii="Times New Roman" w:hAnsi="Times New Roman" w:cs="Times New Roman"/>
          <w:sz w:val="22"/>
          <w:color w:val="000000"/>
          <w:u w:val="none"/>
        </w:rPr>
        <w:tab/>
        <w:t xml:space="preserve">1</w:t>
      </w:r>
    </w:p>
    <w:p>
      <w:pPr>
        <w:spacing w:line="288" w:lineRule="auto" w:before="0" w:after="40"/>
        <w:ind w:left="640"/>
        <w:jc w:val="both"/>
        <w:tabs>
          <w:tab w:val="right" w:leader="dot" w:pos="8060"/>
        </w:tabs>
      </w:pPr>
      <w:hyperlink w:anchor="systematic-search-strategy">
        <w:r>
          <w:rPr>
            <w:rFonts w:ascii="Times New Roman" w:hAnsi="Times New Roman" w:cs="Times New Roman"/>
            <w:sz w:val="22"/>
            <w:color w:val="000000"/>
            <w:u w:val="none"/>
          </w:rPr>
          <w:t xml:space="preserve">1.3 Systematic Search Strategy</w:t>
        </w:r>
      </w:hyperlink>
      <w:r>
        <w:rPr>
          <w:rFonts w:ascii="Times New Roman" w:hAnsi="Times New Roman" w:cs="Times New Roman"/>
          <w:sz w:val="22"/>
          <w:color w:val="000000"/>
          <w:u w:val="none"/>
        </w:rPr>
        <w:tab/>
        <w:t xml:space="preserve">1</w:t>
      </w:r>
    </w:p>
    <w:p>
      <w:pPr>
        <w:spacing w:line="288" w:lineRule="auto" w:before="0" w:after="40"/>
        <w:ind w:left="640"/>
        <w:jc w:val="both"/>
        <w:tabs>
          <w:tab w:val="right" w:leader="dot" w:pos="8060"/>
        </w:tabs>
      </w:pPr>
      <w:hyperlink w:anchor="retrieval-augmented-generation">
        <w:r>
          <w:rPr>
            <w:rFonts w:ascii="Times New Roman" w:hAnsi="Times New Roman" w:cs="Times New Roman"/>
            <w:sz w:val="22"/>
            <w:color w:val="000000"/>
            <w:u w:val="none"/>
          </w:rPr>
          <w:t xml:space="preserve">1.4 Retrieval-Augmented Generation</w:t>
        </w:r>
      </w:hyperlink>
      <w:r>
        <w:rPr>
          <w:rFonts w:ascii="Times New Roman" w:hAnsi="Times New Roman" w:cs="Times New Roman"/>
          <w:sz w:val="22"/>
          <w:color w:val="000000"/>
          <w:u w:val="none"/>
        </w:rPr>
        <w:tab/>
        <w:t xml:space="preserve">3</w:t>
      </w:r>
    </w:p>
    <w:p>
      <w:pPr>
        <w:spacing w:line="288" w:lineRule="auto" w:before="0" w:after="40"/>
        <w:ind w:left="640"/>
        <w:jc w:val="both"/>
        <w:tabs>
          <w:tab w:val="right" w:leader="dot" w:pos="8060"/>
        </w:tabs>
      </w:pPr>
      <w:hyperlink w:anchor="X8a87b1766c55b9701083f68ddacb3d7924ae1d5">
        <w:r>
          <w:rPr>
            <w:rFonts w:ascii="Times New Roman" w:hAnsi="Times New Roman" w:cs="Times New Roman"/>
            <w:sz w:val="22"/>
            <w:color w:val="000000"/>
            <w:u w:val="none"/>
          </w:rPr>
          <w:t xml:space="preserve">1.5 Hallucination, Attribution, and Post-Hoc Verification</w:t>
        </w:r>
      </w:hyperlink>
      <w:r>
        <w:rPr>
          <w:rFonts w:ascii="Times New Roman" w:hAnsi="Times New Roman" w:cs="Times New Roman"/>
          <w:sz w:val="22"/>
          <w:color w:val="000000"/>
          <w:u w:val="none"/>
        </w:rPr>
        <w:tab/>
        <w:t xml:space="preserve">3</w:t>
      </w:r>
    </w:p>
    <w:p>
      <w:pPr>
        <w:spacing w:line="288" w:lineRule="auto" w:before="0" w:after="40"/>
        <w:ind w:left="640"/>
        <w:jc w:val="both"/>
        <w:tabs>
          <w:tab w:val="right" w:leader="dot" w:pos="8060"/>
        </w:tabs>
      </w:pPr>
      <w:hyperlink w:anchor="Xc7caeabd380139febf70e34f46b6bbe65817dda">
        <w:r>
          <w:rPr>
            <w:rFonts w:ascii="Times New Roman" w:hAnsi="Times New Roman" w:cs="Times New Roman"/>
            <w:sz w:val="22"/>
            <w:color w:val="000000"/>
            <w:u w:val="none"/>
          </w:rPr>
          <w:t xml:space="preserve">1.6 Information Retrieval: Dense Retrieval and Cross-Encoder Reranking</w:t>
        </w:r>
      </w:hyperlink>
      <w:r>
        <w:rPr>
          <w:rFonts w:ascii="Times New Roman" w:hAnsi="Times New Roman" w:cs="Times New Roman"/>
          <w:sz w:val="22"/>
          <w:color w:val="000000"/>
          <w:u w:val="none"/>
        </w:rPr>
        <w:tab/>
        <w:t xml:space="preserve">3</w:t>
      </w:r>
    </w:p>
    <w:p>
      <w:pPr>
        <w:spacing w:line="288" w:lineRule="auto" w:before="0" w:after="40"/>
        <w:ind w:left="640"/>
        <w:jc w:val="both"/>
        <w:tabs>
          <w:tab w:val="right" w:leader="dot" w:pos="8060"/>
        </w:tabs>
      </w:pPr>
      <w:hyperlink w:anchor="nlp-in-legal-and-policy-domains">
        <w:r>
          <w:rPr>
            <w:rFonts w:ascii="Times New Roman" w:hAnsi="Times New Roman" w:cs="Times New Roman"/>
            <w:sz w:val="22"/>
            <w:color w:val="000000"/>
            <w:u w:val="none"/>
          </w:rPr>
          <w:t xml:space="preserve">1.7 NLP in Legal and Policy Domains</w:t>
        </w:r>
      </w:hyperlink>
      <w:r>
        <w:rPr>
          <w:rFonts w:ascii="Times New Roman" w:hAnsi="Times New Roman" w:cs="Times New Roman"/>
          <w:sz w:val="22"/>
          <w:color w:val="000000"/>
          <w:u w:val="none"/>
        </w:rPr>
        <w:tab/>
        <w:t xml:space="preserve">4</w:t>
      </w:r>
    </w:p>
    <w:p>
      <w:pPr>
        <w:spacing w:line="288" w:lineRule="auto" w:before="0" w:after="40"/>
        <w:ind w:left="640"/>
        <w:jc w:val="both"/>
        <w:tabs>
          <w:tab w:val="right" w:leader="dot" w:pos="8060"/>
        </w:tabs>
      </w:pPr>
      <w:hyperlink w:anchor="selective-prediction-and-abstention">
        <w:r>
          <w:rPr>
            <w:rFonts w:ascii="Times New Roman" w:hAnsi="Times New Roman" w:cs="Times New Roman"/>
            <w:sz w:val="22"/>
            <w:color w:val="000000"/>
            <w:u w:val="none"/>
          </w:rPr>
          <w:t xml:space="preserve">1.8 Selective Prediction and Abstention</w:t>
        </w:r>
      </w:hyperlink>
      <w:r>
        <w:rPr>
          <w:rFonts w:ascii="Times New Roman" w:hAnsi="Times New Roman" w:cs="Times New Roman"/>
          <w:sz w:val="22"/>
          <w:color w:val="000000"/>
          <w:u w:val="none"/>
        </w:rPr>
        <w:tab/>
        <w:t xml:space="preserve">4</w:t>
      </w:r>
    </w:p>
    <w:p>
      <w:pPr>
        <w:spacing w:line="288" w:lineRule="auto" w:before="0" w:after="40"/>
        <w:ind w:left="640"/>
        <w:jc w:val="both"/>
        <w:tabs>
          <w:tab w:val="right" w:leader="dot" w:pos="8060"/>
        </w:tabs>
      </w:pPr>
      <w:hyperlink w:anchor="Xadb554a0a766e2b8933507397ef2729e007aea4">
        <w:r>
          <w:rPr>
            <w:rFonts w:ascii="Times New Roman" w:hAnsi="Times New Roman" w:cs="Times New Roman"/>
            <w:sz w:val="22"/>
            <w:color w:val="000000"/>
            <w:u w:val="none"/>
          </w:rPr>
          <w:t xml:space="preserve">1.9 Evaluation Frameworks for Retrieval-Augmented Generation</w:t>
        </w:r>
      </w:hyperlink>
      <w:r>
        <w:rPr>
          <w:rFonts w:ascii="Times New Roman" w:hAnsi="Times New Roman" w:cs="Times New Roman"/>
          <w:sz w:val="22"/>
          <w:color w:val="000000"/>
          <w:u w:val="none"/>
        </w:rPr>
        <w:tab/>
        <w:t xml:space="preserve">5</w:t>
      </w:r>
    </w:p>
    <w:p>
      <w:pPr>
        <w:spacing w:line="288" w:lineRule="auto" w:before="0" w:after="40"/>
        <w:ind w:left="640"/>
        <w:jc w:val="both"/>
        <w:tabs>
          <w:tab w:val="right" w:leader="dot" w:pos="8060"/>
        </w:tabs>
      </w:pPr>
      <w:hyperlink w:anchor="comparative-analysis-of-existing-systems">
        <w:r>
          <w:rPr>
            <w:rFonts w:ascii="Times New Roman" w:hAnsi="Times New Roman" w:cs="Times New Roman"/>
            <w:sz w:val="22"/>
            <w:color w:val="000000"/>
            <w:u w:val="none"/>
          </w:rPr>
          <w:t xml:space="preserve">1.10 Comparative Analysis of Existing Systems</w:t>
        </w:r>
      </w:hyperlink>
      <w:r>
        <w:rPr>
          <w:rFonts w:ascii="Times New Roman" w:hAnsi="Times New Roman" w:cs="Times New Roman"/>
          <w:sz w:val="22"/>
          <w:color w:val="000000"/>
          <w:u w:val="none"/>
        </w:rPr>
        <w:tab/>
        <w:t xml:space="preserve">5</w:t>
      </w:r>
    </w:p>
    <w:p>
      <w:pPr>
        <w:spacing w:line="288" w:lineRule="auto" w:before="0" w:after="40"/>
        <w:ind w:left="640"/>
        <w:jc w:val="both"/>
        <w:tabs>
          <w:tab w:val="right" w:leader="dot" w:pos="8060"/>
        </w:tabs>
      </w:pPr>
      <w:hyperlink w:anchor="gap-analysis-and-project-rationale">
        <w:r>
          <w:rPr>
            <w:rFonts w:ascii="Times New Roman" w:hAnsi="Times New Roman" w:cs="Times New Roman"/>
            <w:sz w:val="22"/>
            <w:color w:val="000000"/>
            <w:u w:val="none"/>
          </w:rPr>
          <w:t xml:space="preserve">1.11 Gap Analysis and Project Rationale</w:t>
        </w:r>
      </w:hyperlink>
      <w:r>
        <w:rPr>
          <w:rFonts w:ascii="Times New Roman" w:hAnsi="Times New Roman" w:cs="Times New Roman"/>
          <w:sz w:val="22"/>
          <w:color w:val="000000"/>
          <w:u w:val="none"/>
        </w:rPr>
        <w:tab/>
        <w:t xml:space="preserve">5</w:t>
      </w:r>
    </w:p>
    <w:p>
      <w:pPr>
        <w:spacing w:line="288" w:lineRule="auto" w:before="0" w:after="40"/>
        <w:ind w:left="280"/>
        <w:jc w:val="both"/>
        <w:tabs>
          <w:tab w:val="right" w:leader="dot" w:pos="8420"/>
        </w:tabs>
      </w:pPr>
      <w:hyperlink w:anchor="chapter-2-methodology">
        <w:r>
          <w:rPr>
            <w:rFonts w:ascii="Times New Roman" w:hAnsi="Times New Roman" w:cs="Times New Roman"/>
            <w:sz w:val="22"/>
            <w:color w:val="000000"/>
            <w:u w:val="none"/>
            <w:b/>
          </w:rPr>
          <w:t xml:space="preserve">Chapter 2 Methodology</w:t>
        </w:r>
      </w:hyperlink>
      <w:r>
        <w:rPr>
          <w:rFonts w:ascii="Times New Roman" w:hAnsi="Times New Roman" w:cs="Times New Roman"/>
          <w:sz w:val="22"/>
          <w:color w:val="000000"/>
          <w:u w:val="none"/>
          <w:b/>
        </w:rPr>
        <w:tab/>
        <w:t xml:space="preserve">6</w:t>
      </w:r>
    </w:p>
    <w:p>
      <w:pPr>
        <w:spacing w:line="288" w:lineRule="auto" w:before="0" w:after="40"/>
        <w:ind w:left="640"/>
        <w:jc w:val="both"/>
        <w:tabs>
          <w:tab w:val="right" w:leader="dot" w:pos="8060"/>
        </w:tabs>
      </w:pPr>
      <w:hyperlink w:anchor="development-process">
        <w:r>
          <w:rPr>
            <w:rFonts w:ascii="Times New Roman" w:hAnsi="Times New Roman" w:cs="Times New Roman"/>
            <w:sz w:val="22"/>
            <w:color w:val="000000"/>
            <w:u w:val="none"/>
          </w:rPr>
          <w:t xml:space="preserve">2.1 Development Process</w:t>
        </w:r>
      </w:hyperlink>
      <w:r>
        <w:rPr>
          <w:rFonts w:ascii="Times New Roman" w:hAnsi="Times New Roman" w:cs="Times New Roman"/>
          <w:sz w:val="22"/>
          <w:color w:val="000000"/>
          <w:u w:val="none"/>
        </w:rPr>
        <w:tab/>
        <w:t xml:space="preserve">6</w:t>
      </w:r>
    </w:p>
    <w:p>
      <w:pPr>
        <w:spacing w:line="288" w:lineRule="auto" w:before="0" w:after="40"/>
        <w:ind w:left="640"/>
        <w:jc w:val="both"/>
        <w:tabs>
          <w:tab w:val="right" w:leader="dot" w:pos="8060"/>
        </w:tabs>
      </w:pPr>
      <w:hyperlink w:anchor="requirements-analysis">
        <w:r>
          <w:rPr>
            <w:rFonts w:ascii="Times New Roman" w:hAnsi="Times New Roman" w:cs="Times New Roman"/>
            <w:sz w:val="22"/>
            <w:color w:val="000000"/>
            <w:u w:val="none"/>
          </w:rPr>
          <w:t xml:space="preserve">2.2 Requirements Analysis</w:t>
        </w:r>
      </w:hyperlink>
      <w:r>
        <w:rPr>
          <w:rFonts w:ascii="Times New Roman" w:hAnsi="Times New Roman" w:cs="Times New Roman"/>
          <w:sz w:val="22"/>
          <w:color w:val="000000"/>
          <w:u w:val="none"/>
        </w:rPr>
        <w:tab/>
        <w:t xml:space="preserve">7</w:t>
      </w:r>
    </w:p>
    <w:p>
      <w:pPr>
        <w:spacing w:line="288" w:lineRule="auto" w:before="0" w:after="40"/>
        <w:ind w:left="640"/>
        <w:jc w:val="both"/>
        <w:tabs>
          <w:tab w:val="right" w:leader="dot" w:pos="8060"/>
        </w:tabs>
      </w:pPr>
      <w:hyperlink w:anchor="system-architecture">
        <w:r>
          <w:rPr>
            <w:rFonts w:ascii="Times New Roman" w:hAnsi="Times New Roman" w:cs="Times New Roman"/>
            <w:sz w:val="22"/>
            <w:color w:val="000000"/>
            <w:u w:val="none"/>
          </w:rPr>
          <w:t xml:space="preserve">2.3 System Architecture</w:t>
        </w:r>
      </w:hyperlink>
      <w:r>
        <w:rPr>
          <w:rFonts w:ascii="Times New Roman" w:hAnsi="Times New Roman" w:cs="Times New Roman"/>
          <w:sz w:val="22"/>
          <w:color w:val="000000"/>
          <w:u w:val="none"/>
        </w:rPr>
        <w:tab/>
        <w:t xml:space="preserve">8</w:t>
      </w:r>
    </w:p>
    <w:p>
      <w:pPr>
        <w:spacing w:line="288" w:lineRule="auto" w:before="0" w:after="40"/>
        <w:ind w:left="640"/>
        <w:jc w:val="both"/>
        <w:tabs>
          <w:tab w:val="right" w:leader="dot" w:pos="8060"/>
        </w:tabs>
      </w:pPr>
      <w:hyperlink w:anchor="X7ccf04426c99e55041019493f19bed9efcd37bc">
        <w:r>
          <w:rPr>
            <w:rFonts w:ascii="Times New Roman" w:hAnsi="Times New Roman" w:cs="Times New Roman"/>
            <w:sz w:val="22"/>
            <w:color w:val="000000"/>
            <w:u w:val="none"/>
          </w:rPr>
          <w:t xml:space="preserve">2.4 Design Decisions and Alternatives Considered</w:t>
        </w:r>
      </w:hyperlink>
      <w:r>
        <w:rPr>
          <w:rFonts w:ascii="Times New Roman" w:hAnsi="Times New Roman" w:cs="Times New Roman"/>
          <w:sz w:val="22"/>
          <w:color w:val="000000"/>
          <w:u w:val="none"/>
        </w:rPr>
        <w:tab/>
        <w:t xml:space="preserve">10</w:t>
      </w:r>
    </w:p>
    <w:p>
      <w:pPr>
        <w:spacing w:line="288" w:lineRule="auto" w:before="0" w:after="40"/>
        <w:ind w:left="640"/>
        <w:jc w:val="both"/>
        <w:tabs>
          <w:tab w:val="right" w:leader="dot" w:pos="8060"/>
        </w:tabs>
      </w:pPr>
      <w:hyperlink w:anchor="risk-assessment">
        <w:r>
          <w:rPr>
            <w:rFonts w:ascii="Times New Roman" w:hAnsi="Times New Roman" w:cs="Times New Roman"/>
            <w:sz w:val="22"/>
            <w:color w:val="000000"/>
            <w:u w:val="none"/>
          </w:rPr>
          <w:t xml:space="preserve">2.5 Risk Assessment</w:t>
        </w:r>
      </w:hyperlink>
      <w:r>
        <w:rPr>
          <w:rFonts w:ascii="Times New Roman" w:hAnsi="Times New Roman" w:cs="Times New Roman"/>
          <w:sz w:val="22"/>
          <w:color w:val="000000"/>
          <w:u w:val="none"/>
        </w:rPr>
        <w:tab/>
        <w:t xml:space="preserve">11</w:t>
      </w:r>
    </w:p>
    <w:p>
      <w:pPr>
        <w:spacing w:line="288" w:lineRule="auto" w:before="0" w:after="40"/>
        <w:ind w:left="640"/>
        <w:jc w:val="both"/>
        <w:tabs>
          <w:tab w:val="right" w:leader="dot" w:pos="8060"/>
        </w:tabs>
      </w:pPr>
      <w:hyperlink w:anchor="evaluation-methodology">
        <w:r>
          <w:rPr>
            <w:rFonts w:ascii="Times New Roman" w:hAnsi="Times New Roman" w:cs="Times New Roman"/>
            <w:sz w:val="22"/>
            <w:color w:val="000000"/>
            <w:u w:val="none"/>
          </w:rPr>
          <w:t xml:space="preserve">2.6 Evaluation Methodology</w:t>
        </w:r>
      </w:hyperlink>
      <w:r>
        <w:rPr>
          <w:rFonts w:ascii="Times New Roman" w:hAnsi="Times New Roman" w:cs="Times New Roman"/>
          <w:sz w:val="22"/>
          <w:color w:val="000000"/>
          <w:u w:val="none"/>
        </w:rPr>
        <w:tab/>
        <w:t xml:space="preserve">11</w:t>
      </w:r>
    </w:p>
    <w:p>
      <w:pPr>
        <w:spacing w:line="288" w:lineRule="auto" w:before="0" w:after="40"/>
        <w:ind w:left="640"/>
        <w:jc w:val="both"/>
        <w:tabs>
          <w:tab w:val="right" w:leader="dot" w:pos="8060"/>
        </w:tabs>
      </w:pPr>
      <w:hyperlink w:anchor="golden-set-construction">
        <w:r>
          <w:rPr>
            <w:rFonts w:ascii="Times New Roman" w:hAnsi="Times New Roman" w:cs="Times New Roman"/>
            <w:sz w:val="22"/>
            <w:color w:val="000000"/>
            <w:u w:val="none"/>
          </w:rPr>
          <w:t xml:space="preserve">2.7 Golden Set Construction</w:t>
        </w:r>
      </w:hyperlink>
      <w:r>
        <w:rPr>
          <w:rFonts w:ascii="Times New Roman" w:hAnsi="Times New Roman" w:cs="Times New Roman"/>
          <w:sz w:val="22"/>
          <w:color w:val="000000"/>
          <w:u w:val="none"/>
        </w:rPr>
        <w:tab/>
        <w:t xml:space="preserve">12</w:t>
      </w:r>
    </w:p>
    <w:p>
      <w:pPr>
        <w:spacing w:line="288" w:lineRule="auto" w:before="0" w:after="40"/>
        <w:ind w:left="280"/>
        <w:jc w:val="both"/>
        <w:tabs>
          <w:tab w:val="right" w:leader="dot" w:pos="8420"/>
        </w:tabs>
      </w:pPr>
      <w:hyperlink w:anchor="chapter-3-implementation-and-validation">
        <w:r>
          <w:rPr>
            <w:rFonts w:ascii="Times New Roman" w:hAnsi="Times New Roman" w:cs="Times New Roman"/>
            <w:sz w:val="22"/>
            <w:color w:val="000000"/>
            <w:u w:val="none"/>
            <w:b/>
          </w:rPr>
          <w:t xml:space="preserve">Chapter 3 Implementation and Validation</w:t>
        </w:r>
      </w:hyperlink>
      <w:r>
        <w:rPr>
          <w:rFonts w:ascii="Times New Roman" w:hAnsi="Times New Roman" w:cs="Times New Roman"/>
          <w:sz w:val="22"/>
          <w:color w:val="000000"/>
          <w:u w:val="none"/>
          <w:b/>
        </w:rPr>
        <w:tab/>
        <w:t xml:space="preserve">12</w:t>
      </w:r>
    </w:p>
    <w:p>
      <w:pPr>
        <w:spacing w:line="288" w:lineRule="auto" w:before="0" w:after="40"/>
        <w:ind w:left="640"/>
        <w:jc w:val="both"/>
        <w:tabs>
          <w:tab w:val="right" w:leader="dot" w:pos="8060"/>
        </w:tabs>
      </w:pPr>
      <w:hyperlink w:anchor="technology-stack">
        <w:r>
          <w:rPr>
            <w:rFonts w:ascii="Times New Roman" w:hAnsi="Times New Roman" w:cs="Times New Roman"/>
            <w:sz w:val="22"/>
            <w:color w:val="000000"/>
            <w:u w:val="none"/>
          </w:rPr>
          <w:t xml:space="preserve">3.1 Technology Stack</w:t>
        </w:r>
      </w:hyperlink>
      <w:r>
        <w:rPr>
          <w:rFonts w:ascii="Times New Roman" w:hAnsi="Times New Roman" w:cs="Times New Roman"/>
          <w:sz w:val="22"/>
          <w:color w:val="000000"/>
          <w:u w:val="none"/>
        </w:rPr>
        <w:tab/>
        <w:t xml:space="preserve">12</w:t>
      </w:r>
    </w:p>
    <w:p>
      <w:pPr>
        <w:spacing w:line="288" w:lineRule="auto" w:before="0" w:after="40"/>
        <w:ind w:left="640"/>
        <w:jc w:val="both"/>
        <w:tabs>
          <w:tab w:val="right" w:leader="dot" w:pos="8060"/>
        </w:tabs>
      </w:pPr>
      <w:hyperlink w:anchor="corpus-engineering-and-ingestion">
        <w:r>
          <w:rPr>
            <w:rFonts w:ascii="Times New Roman" w:hAnsi="Times New Roman" w:cs="Times New Roman"/>
            <w:sz w:val="22"/>
            <w:color w:val="000000"/>
            <w:u w:val="none"/>
          </w:rPr>
          <w:t xml:space="preserve">3.2 Corpus Engineering and Ingestion</w:t>
        </w:r>
      </w:hyperlink>
      <w:r>
        <w:rPr>
          <w:rFonts w:ascii="Times New Roman" w:hAnsi="Times New Roman" w:cs="Times New Roman"/>
          <w:sz w:val="22"/>
          <w:color w:val="000000"/>
          <w:u w:val="none"/>
        </w:rPr>
        <w:tab/>
        <w:t xml:space="preserve">14</w:t>
      </w:r>
    </w:p>
    <w:p>
      <w:pPr>
        <w:spacing w:line="288" w:lineRule="auto" w:before="0" w:after="40"/>
        <w:ind w:left="640"/>
        <w:jc w:val="both"/>
        <w:tabs>
          <w:tab w:val="right" w:leader="dot" w:pos="8060"/>
        </w:tabs>
      </w:pPr>
      <w:hyperlink w:anchor="retrieval-and-reranking">
        <w:r>
          <w:rPr>
            <w:rFonts w:ascii="Times New Roman" w:hAnsi="Times New Roman" w:cs="Times New Roman"/>
            <w:sz w:val="22"/>
            <w:color w:val="000000"/>
            <w:u w:val="none"/>
          </w:rPr>
          <w:t xml:space="preserve">3.3 Retrieval and Reranking</w:t>
        </w:r>
      </w:hyperlink>
      <w:r>
        <w:rPr>
          <w:rFonts w:ascii="Times New Roman" w:hAnsi="Times New Roman" w:cs="Times New Roman"/>
          <w:sz w:val="22"/>
          <w:color w:val="000000"/>
          <w:u w:val="none"/>
        </w:rPr>
        <w:tab/>
        <w:t xml:space="preserve">14</w:t>
      </w:r>
    </w:p>
    <w:p>
      <w:pPr>
        <w:spacing w:line="288" w:lineRule="auto" w:before="0" w:after="40"/>
        <w:ind w:left="640"/>
        <w:jc w:val="both"/>
        <w:tabs>
          <w:tab w:val="right" w:leader="dot" w:pos="8060"/>
        </w:tabs>
      </w:pPr>
      <w:hyperlink w:anchor="answer-generation">
        <w:r>
          <w:rPr>
            <w:rFonts w:ascii="Times New Roman" w:hAnsi="Times New Roman" w:cs="Times New Roman"/>
            <w:sz w:val="22"/>
            <w:color w:val="000000"/>
            <w:u w:val="none"/>
          </w:rPr>
          <w:t xml:space="preserve">3.4 Answer Generation</w:t>
        </w:r>
      </w:hyperlink>
      <w:r>
        <w:rPr>
          <w:rFonts w:ascii="Times New Roman" w:hAnsi="Times New Roman" w:cs="Times New Roman"/>
          <w:sz w:val="22"/>
          <w:color w:val="000000"/>
          <w:u w:val="none"/>
        </w:rPr>
        <w:tab/>
        <w:t xml:space="preserve">15</w:t>
      </w:r>
    </w:p>
    <w:p>
      <w:pPr>
        <w:spacing w:line="288" w:lineRule="auto" w:before="0" w:after="40"/>
        <w:ind w:left="640"/>
        <w:jc w:val="both"/>
        <w:tabs>
          <w:tab w:val="right" w:leader="dot" w:pos="8060"/>
        </w:tabs>
      </w:pPr>
      <w:hyperlink w:anchor="citation-verification-and-abstention">
        <w:r>
          <w:rPr>
            <w:rFonts w:ascii="Times New Roman" w:hAnsi="Times New Roman" w:cs="Times New Roman"/>
            <w:sz w:val="22"/>
            <w:color w:val="000000"/>
            <w:u w:val="none"/>
          </w:rPr>
          <w:t xml:space="preserve">3.5 Citation Verification and Abstention</w:t>
        </w:r>
      </w:hyperlink>
      <w:r>
        <w:rPr>
          <w:rFonts w:ascii="Times New Roman" w:hAnsi="Times New Roman" w:cs="Times New Roman"/>
          <w:sz w:val="22"/>
          <w:color w:val="000000"/>
          <w:u w:val="none"/>
        </w:rPr>
        <w:tab/>
        <w:t xml:space="preserve">15</w:t>
      </w:r>
    </w:p>
    <w:p>
      <w:pPr>
        <w:spacing w:line="288" w:lineRule="auto" w:before="0" w:after="40"/>
        <w:ind w:left="640"/>
        <w:jc w:val="both"/>
        <w:tabs>
          <w:tab w:val="right" w:leader="dot" w:pos="8060"/>
        </w:tabs>
      </w:pPr>
      <w:hyperlink w:anchor="critic-mode">
        <w:r>
          <w:rPr>
            <w:rFonts w:ascii="Times New Roman" w:hAnsi="Times New Roman" w:cs="Times New Roman"/>
            <w:sz w:val="22"/>
            <w:color w:val="000000"/>
            <w:u w:val="none"/>
          </w:rPr>
          <w:t xml:space="preserve">3.6 Critic Mode</w:t>
        </w:r>
      </w:hyperlink>
      <w:r>
        <w:rPr>
          <w:rFonts w:ascii="Times New Roman" w:hAnsi="Times New Roman" w:cs="Times New Roman"/>
          <w:sz w:val="22"/>
          <w:color w:val="000000"/>
          <w:u w:val="none"/>
        </w:rPr>
        <w:tab/>
        <w:t xml:space="preserve">16</w:t>
      </w:r>
    </w:p>
    <w:p>
      <w:pPr>
        <w:spacing w:line="288" w:lineRule="auto" w:before="0" w:after="40"/>
        <w:ind w:left="640"/>
        <w:jc w:val="both"/>
        <w:tabs>
          <w:tab w:val="right" w:leader="dot" w:pos="8060"/>
        </w:tabs>
      </w:pPr>
      <w:hyperlink w:anchor="audit-workbench-ui-and-reviewer-mode">
        <w:r>
          <w:rPr>
            <w:rFonts w:ascii="Times New Roman" w:hAnsi="Times New Roman" w:cs="Times New Roman"/>
            <w:sz w:val="22"/>
            <w:color w:val="000000"/>
            <w:u w:val="none"/>
          </w:rPr>
          <w:t xml:space="preserve">3.7 Audit Workbench: UI and Reviewer Mode</w:t>
        </w:r>
      </w:hyperlink>
      <w:r>
        <w:rPr>
          <w:rFonts w:ascii="Times New Roman" w:hAnsi="Times New Roman" w:cs="Times New Roman"/>
          <w:sz w:val="22"/>
          <w:color w:val="000000"/>
          <w:u w:val="none"/>
        </w:rPr>
        <w:tab/>
        <w:t xml:space="preserve">16</w:t>
      </w:r>
    </w:p>
    <w:p>
      <w:pPr>
        <w:spacing w:line="288" w:lineRule="auto" w:before="0" w:after="40"/>
        <w:ind w:left="640"/>
        <w:jc w:val="both"/>
        <w:tabs>
          <w:tab w:val="right" w:leader="dot" w:pos="8060"/>
        </w:tabs>
      </w:pPr>
      <w:hyperlink w:anchor="engineering-challenges">
        <w:r>
          <w:rPr>
            <w:rFonts w:ascii="Times New Roman" w:hAnsi="Times New Roman" w:cs="Times New Roman"/>
            <w:sz w:val="22"/>
            <w:color w:val="000000"/>
            <w:u w:val="none"/>
          </w:rPr>
          <w:t xml:space="preserve">3.8 Engineering Challenges</w:t>
        </w:r>
      </w:hyperlink>
      <w:r>
        <w:rPr>
          <w:rFonts w:ascii="Times New Roman" w:hAnsi="Times New Roman" w:cs="Times New Roman"/>
          <w:sz w:val="22"/>
          <w:color w:val="000000"/>
          <w:u w:val="none"/>
        </w:rPr>
        <w:tab/>
        <w:t xml:space="preserve">17</w:t>
      </w:r>
    </w:p>
    <w:p>
      <w:pPr>
        <w:spacing w:line="288" w:lineRule="auto" w:before="0" w:after="40"/>
        <w:ind w:left="640"/>
        <w:jc w:val="both"/>
        <w:tabs>
          <w:tab w:val="right" w:leader="dot" w:pos="8060"/>
        </w:tabs>
      </w:pPr>
      <w:hyperlink w:anchor="testing-and-validation">
        <w:r>
          <w:rPr>
            <w:rFonts w:ascii="Times New Roman" w:hAnsi="Times New Roman" w:cs="Times New Roman"/>
            <w:sz w:val="22"/>
            <w:color w:val="000000"/>
            <w:u w:val="none"/>
          </w:rPr>
          <w:t xml:space="preserve">3.9 Testing and Validation</w:t>
        </w:r>
      </w:hyperlink>
      <w:r>
        <w:rPr>
          <w:rFonts w:ascii="Times New Roman" w:hAnsi="Times New Roman" w:cs="Times New Roman"/>
          <w:sz w:val="22"/>
          <w:color w:val="000000"/>
          <w:u w:val="none"/>
        </w:rPr>
        <w:tab/>
        <w:t xml:space="preserve">17</w:t>
      </w:r>
    </w:p>
    <w:p>
      <w:pPr>
        <w:spacing w:line="288" w:lineRule="auto" w:before="0" w:after="40"/>
        <w:ind w:left="280"/>
        <w:jc w:val="both"/>
        <w:tabs>
          <w:tab w:val="right" w:leader="dot" w:pos="8420"/>
        </w:tabs>
      </w:pPr>
      <w:hyperlink w:anchor="X46dc8ea9a406e02ce081e30da563d6bddb23eba">
        <w:r>
          <w:rPr>
            <w:rFonts w:ascii="Times New Roman" w:hAnsi="Times New Roman" w:cs="Times New Roman"/>
            <w:sz w:val="22"/>
            <w:color w:val="000000"/>
            <w:u w:val="none"/>
            <w:b/>
          </w:rPr>
          <w:t xml:space="preserve">Chapter 4 Results, Evaluation and Discussion</w:t>
        </w:r>
      </w:hyperlink>
      <w:r>
        <w:rPr>
          <w:rFonts w:ascii="Times New Roman" w:hAnsi="Times New Roman" w:cs="Times New Roman"/>
          <w:sz w:val="22"/>
          <w:color w:val="000000"/>
          <w:u w:val="none"/>
          <w:b/>
        </w:rPr>
        <w:tab/>
        <w:t xml:space="preserve">17</w:t>
      </w:r>
    </w:p>
    <w:p>
      <w:pPr>
        <w:spacing w:line="288" w:lineRule="auto" w:before="0" w:after="40"/>
        <w:ind w:left="640"/>
        <w:jc w:val="both"/>
        <w:tabs>
          <w:tab w:val="right" w:leader="dot" w:pos="8060"/>
        </w:tabs>
      </w:pPr>
      <w:hyperlink w:anchor="experimental-setup">
        <w:r>
          <w:rPr>
            <w:rFonts w:ascii="Times New Roman" w:hAnsi="Times New Roman" w:cs="Times New Roman"/>
            <w:sz w:val="22"/>
            <w:color w:val="000000"/>
            <w:u w:val="none"/>
          </w:rPr>
          <w:t xml:space="preserve">4.1 Experimental Setup</w:t>
        </w:r>
      </w:hyperlink>
      <w:r>
        <w:rPr>
          <w:rFonts w:ascii="Times New Roman" w:hAnsi="Times New Roman" w:cs="Times New Roman"/>
          <w:sz w:val="22"/>
          <w:color w:val="000000"/>
          <w:u w:val="none"/>
        </w:rPr>
        <w:tab/>
        <w:t xml:space="preserve">18</w:t>
      </w:r>
    </w:p>
    <w:p>
      <w:pPr>
        <w:spacing w:line="288" w:lineRule="auto" w:before="0" w:after="40"/>
        <w:ind w:left="640"/>
        <w:jc w:val="both"/>
        <w:tabs>
          <w:tab w:val="right" w:leader="dot" w:pos="8060"/>
        </w:tabs>
      </w:pPr>
      <w:hyperlink w:anchor="headline-results-baseline-comparison">
        <w:r>
          <w:rPr>
            <w:rFonts w:ascii="Times New Roman" w:hAnsi="Times New Roman" w:cs="Times New Roman"/>
            <w:sz w:val="22"/>
            <w:color w:val="000000"/>
            <w:u w:val="none"/>
          </w:rPr>
          <w:t xml:space="preserve">4.2 Headline Results: Baseline Comparison</w:t>
        </w:r>
      </w:hyperlink>
      <w:r>
        <w:rPr>
          <w:rFonts w:ascii="Times New Roman" w:hAnsi="Times New Roman" w:cs="Times New Roman"/>
          <w:sz w:val="22"/>
          <w:color w:val="000000"/>
          <w:u w:val="none"/>
        </w:rPr>
        <w:tab/>
        <w:t xml:space="preserve">18</w:t>
      </w:r>
    </w:p>
    <w:p>
      <w:pPr>
        <w:spacing w:line="288" w:lineRule="auto" w:before="0" w:after="40"/>
        <w:ind w:left="640"/>
        <w:jc w:val="both"/>
        <w:tabs>
          <w:tab w:val="right" w:leader="dot" w:pos="8060"/>
        </w:tabs>
      </w:pPr>
      <w:hyperlink w:anchor="retrieval-performance">
        <w:r>
          <w:rPr>
            <w:rFonts w:ascii="Times New Roman" w:hAnsi="Times New Roman" w:cs="Times New Roman"/>
            <w:sz w:val="22"/>
            <w:color w:val="000000"/>
            <w:u w:val="none"/>
          </w:rPr>
          <w:t xml:space="preserve">4.3 Retrieval Performance</w:t>
        </w:r>
      </w:hyperlink>
      <w:r>
        <w:rPr>
          <w:rFonts w:ascii="Times New Roman" w:hAnsi="Times New Roman" w:cs="Times New Roman"/>
          <w:sz w:val="22"/>
          <w:color w:val="000000"/>
          <w:u w:val="none"/>
        </w:rPr>
        <w:tab/>
        <w:t xml:space="preserve">20</w:t>
      </w:r>
    </w:p>
    <w:p>
      <w:pPr>
        <w:spacing w:line="288" w:lineRule="auto" w:before="0" w:after="40"/>
        <w:ind w:left="640"/>
        <w:jc w:val="both"/>
        <w:tabs>
          <w:tab w:val="right" w:leader="dot" w:pos="8060"/>
        </w:tabs>
      </w:pPr>
      <w:hyperlink w:anchor="groundedness-and-verification">
        <w:r>
          <w:rPr>
            <w:rFonts w:ascii="Times New Roman" w:hAnsi="Times New Roman" w:cs="Times New Roman"/>
            <w:sz w:val="22"/>
            <w:color w:val="000000"/>
            <w:u w:val="none"/>
          </w:rPr>
          <w:t xml:space="preserve">4.4 Groundedness and Verification</w:t>
        </w:r>
      </w:hyperlink>
      <w:r>
        <w:rPr>
          <w:rFonts w:ascii="Times New Roman" w:hAnsi="Times New Roman" w:cs="Times New Roman"/>
          <w:sz w:val="22"/>
          <w:color w:val="000000"/>
          <w:u w:val="none"/>
        </w:rPr>
        <w:tab/>
        <w:t xml:space="preserve">21</w:t>
      </w:r>
    </w:p>
    <w:p>
      <w:pPr>
        <w:spacing w:line="288" w:lineRule="auto" w:before="0" w:after="40"/>
        <w:ind w:left="640"/>
        <w:jc w:val="both"/>
        <w:tabs>
          <w:tab w:val="right" w:leader="dot" w:pos="8060"/>
        </w:tabs>
      </w:pPr>
      <w:hyperlink w:anchor="abstention-threshold-sensitivity">
        <w:r>
          <w:rPr>
            <w:rFonts w:ascii="Times New Roman" w:hAnsi="Times New Roman" w:cs="Times New Roman"/>
            <w:sz w:val="22"/>
            <w:color w:val="000000"/>
            <w:u w:val="none"/>
          </w:rPr>
          <w:t xml:space="preserve">4.5 Abstention Threshold Sensitivity</w:t>
        </w:r>
      </w:hyperlink>
      <w:r>
        <w:rPr>
          <w:rFonts w:ascii="Times New Roman" w:hAnsi="Times New Roman" w:cs="Times New Roman"/>
          <w:sz w:val="22"/>
          <w:color w:val="000000"/>
          <w:u w:val="none"/>
        </w:rPr>
        <w:tab/>
        <w:t xml:space="preserve">22</w:t>
      </w:r>
    </w:p>
    <w:p>
      <w:pPr>
        <w:spacing w:line="288" w:lineRule="auto" w:before="0" w:after="40"/>
        <w:ind w:left="640"/>
        <w:jc w:val="both"/>
        <w:tabs>
          <w:tab w:val="right" w:leader="dot" w:pos="8060"/>
        </w:tabs>
      </w:pPr>
      <w:hyperlink w:anchor="ablation-studies">
        <w:r>
          <w:rPr>
            <w:rFonts w:ascii="Times New Roman" w:hAnsi="Times New Roman" w:cs="Times New Roman"/>
            <w:sz w:val="22"/>
            <w:color w:val="000000"/>
            <w:u w:val="none"/>
          </w:rPr>
          <w:t xml:space="preserve">4.6 Ablation Studies</w:t>
        </w:r>
      </w:hyperlink>
      <w:r>
        <w:rPr>
          <w:rFonts w:ascii="Times New Roman" w:hAnsi="Times New Roman" w:cs="Times New Roman"/>
          <w:sz w:val="22"/>
          <w:color w:val="000000"/>
          <w:u w:val="none"/>
        </w:rPr>
        <w:tab/>
        <w:t xml:space="preserve">22</w:t>
      </w:r>
    </w:p>
    <w:p>
      <w:pPr>
        <w:spacing w:line="288" w:lineRule="auto" w:before="0" w:after="40"/>
        <w:ind w:left="640"/>
        <w:jc w:val="both"/>
        <w:tabs>
          <w:tab w:val="right" w:leader="dot" w:pos="8060"/>
        </w:tabs>
      </w:pPr>
      <w:hyperlink w:anchor="critic-mode-evaluation">
        <w:r>
          <w:rPr>
            <w:rFonts w:ascii="Times New Roman" w:hAnsi="Times New Roman" w:cs="Times New Roman"/>
            <w:sz w:val="22"/>
            <w:color w:val="000000"/>
            <w:u w:val="none"/>
          </w:rPr>
          <w:t xml:space="preserve">4.7 Critic Mode Evaluation</w:t>
        </w:r>
      </w:hyperlink>
      <w:r>
        <w:rPr>
          <w:rFonts w:ascii="Times New Roman" w:hAnsi="Times New Roman" w:cs="Times New Roman"/>
          <w:sz w:val="22"/>
          <w:color w:val="000000"/>
          <w:u w:val="none"/>
        </w:rPr>
        <w:tab/>
        <w:t xml:space="preserve">23</w:t>
      </w:r>
    </w:p>
    <w:p>
      <w:pPr>
        <w:spacing w:line="288" w:lineRule="auto" w:before="0" w:after="40"/>
        <w:ind w:left="640"/>
        <w:jc w:val="both"/>
        <w:tabs>
          <w:tab w:val="right" w:leader="dot" w:pos="8060"/>
        </w:tabs>
      </w:pPr>
      <w:hyperlink w:anchor="error-analysis">
        <w:r>
          <w:rPr>
            <w:rFonts w:ascii="Times New Roman" w:hAnsi="Times New Roman" w:cs="Times New Roman"/>
            <w:sz w:val="22"/>
            <w:color w:val="000000"/>
            <w:u w:val="none"/>
          </w:rPr>
          <w:t xml:space="preserve">4.8 Error Analysis</w:t>
        </w:r>
      </w:hyperlink>
      <w:r>
        <w:rPr>
          <w:rFonts w:ascii="Times New Roman" w:hAnsi="Times New Roman" w:cs="Times New Roman"/>
          <w:sz w:val="22"/>
          <w:color w:val="000000"/>
          <w:u w:val="none"/>
        </w:rPr>
        <w:tab/>
        <w:t xml:space="preserve">24</w:t>
      </w:r>
    </w:p>
    <w:p>
      <w:pPr>
        <w:spacing w:line="288" w:lineRule="auto" w:before="0" w:after="40"/>
        <w:ind w:left="640"/>
        <w:jc w:val="both"/>
        <w:tabs>
          <w:tab w:val="right" w:leader="dot" w:pos="8060"/>
        </w:tabs>
      </w:pPr>
      <w:hyperlink w:anchor="latency-performance">
        <w:r>
          <w:rPr>
            <w:rFonts w:ascii="Times New Roman" w:hAnsi="Times New Roman" w:cs="Times New Roman"/>
            <w:sz w:val="22"/>
            <w:color w:val="000000"/>
            <w:u w:val="none"/>
          </w:rPr>
          <w:t xml:space="preserve">4.9 Latency Performance</w:t>
        </w:r>
      </w:hyperlink>
      <w:r>
        <w:rPr>
          <w:rFonts w:ascii="Times New Roman" w:hAnsi="Times New Roman" w:cs="Times New Roman"/>
          <w:sz w:val="22"/>
          <w:color w:val="000000"/>
          <w:u w:val="none"/>
        </w:rPr>
        <w:tab/>
        <w:t xml:space="preserve">25</w:t>
      </w:r>
    </w:p>
    <w:p>
      <w:pPr>
        <w:spacing w:line="288" w:lineRule="auto" w:before="0" w:after="40"/>
        <w:ind w:left="640"/>
        <w:jc w:val="both"/>
        <w:tabs>
          <w:tab w:val="right" w:leader="dot" w:pos="8060"/>
        </w:tabs>
      </w:pPr>
      <w:hyperlink w:anchor="independent-reviewer-evaluation">
        <w:r>
          <w:rPr>
            <w:rFonts w:ascii="Times New Roman" w:hAnsi="Times New Roman" w:cs="Times New Roman"/>
            <w:sz w:val="22"/>
            <w:color w:val="000000"/>
            <w:u w:val="none"/>
          </w:rPr>
          <w:t xml:space="preserve">4.10 Independent Reviewer Evaluation</w:t>
        </w:r>
      </w:hyperlink>
      <w:r>
        <w:rPr>
          <w:rFonts w:ascii="Times New Roman" w:hAnsi="Times New Roman" w:cs="Times New Roman"/>
          <w:sz w:val="22"/>
          <w:color w:val="000000"/>
          <w:u w:val="none"/>
        </w:rPr>
        <w:tab/>
        <w:t xml:space="preserve">25</w:t>
      </w:r>
    </w:p>
    <w:p>
      <w:pPr>
        <w:spacing w:line="288" w:lineRule="auto" w:before="0" w:after="40"/>
        <w:ind w:left="640"/>
        <w:jc w:val="both"/>
        <w:tabs>
          <w:tab w:val="right" w:leader="dot" w:pos="8060"/>
        </w:tabs>
      </w:pPr>
      <w:hyperlink w:anchor="public-guidance-transfer-stress-test">
        <w:r>
          <w:rPr>
            <w:rFonts w:ascii="Times New Roman" w:hAnsi="Times New Roman" w:cs="Times New Roman"/>
            <w:sz w:val="22"/>
            <w:color w:val="000000"/>
            <w:u w:val="none"/>
          </w:rPr>
          <w:t xml:space="preserve">4.11 Public Guidance Transfer Stress Test</w:t>
        </w:r>
      </w:hyperlink>
      <w:r>
        <w:rPr>
          <w:rFonts w:ascii="Times New Roman" w:hAnsi="Times New Roman" w:cs="Times New Roman"/>
          <w:sz w:val="22"/>
          <w:color w:val="000000"/>
          <w:u w:val="none"/>
        </w:rPr>
        <w:tab/>
        <w:t xml:space="preserve">26</w:t>
      </w:r>
    </w:p>
    <w:p>
      <w:pPr>
        <w:spacing w:line="288" w:lineRule="auto" w:before="0" w:after="40"/>
        <w:ind w:left="640"/>
        <w:jc w:val="both"/>
        <w:tabs>
          <w:tab w:val="right" w:leader="dot" w:pos="8060"/>
        </w:tabs>
      </w:pPr>
      <w:hyperlink w:anchor="statistical-confidence">
        <w:r>
          <w:rPr>
            <w:rFonts w:ascii="Times New Roman" w:hAnsi="Times New Roman" w:cs="Times New Roman"/>
            <w:sz w:val="22"/>
            <w:color w:val="000000"/>
            <w:u w:val="none"/>
          </w:rPr>
          <w:t xml:space="preserve">4.12 Statistical Confidence</w:t>
        </w:r>
      </w:hyperlink>
      <w:r>
        <w:rPr>
          <w:rFonts w:ascii="Times New Roman" w:hAnsi="Times New Roman" w:cs="Times New Roman"/>
          <w:sz w:val="22"/>
          <w:color w:val="000000"/>
          <w:u w:val="none"/>
        </w:rPr>
        <w:tab/>
        <w:t xml:space="preserve">27</w:t>
      </w:r>
    </w:p>
    <w:p>
      <w:pPr>
        <w:spacing w:line="288" w:lineRule="auto" w:before="0" w:after="40"/>
        <w:ind w:left="640"/>
        <w:jc w:val="both"/>
        <w:tabs>
          <w:tab w:val="right" w:leader="dot" w:pos="8060"/>
        </w:tabs>
      </w:pPr>
      <w:hyperlink w:anchor="X907d96f76408268db22d62c403fd779ba79c660">
        <w:r>
          <w:rPr>
            <w:rFonts w:ascii="Times New Roman" w:hAnsi="Times New Roman" w:cs="Times New Roman"/>
            <w:sz w:val="22"/>
            <w:color w:val="000000"/>
            <w:u w:val="none"/>
          </w:rPr>
          <w:t xml:space="preserve">4.13 Discussion: Achievement Against Objectives</w:t>
        </w:r>
      </w:hyperlink>
      <w:r>
        <w:rPr>
          <w:rFonts w:ascii="Times New Roman" w:hAnsi="Times New Roman" w:cs="Times New Roman"/>
          <w:sz w:val="22"/>
          <w:color w:val="000000"/>
          <w:u w:val="none"/>
        </w:rPr>
        <w:tab/>
        <w:t xml:space="preserve">27</w:t>
      </w:r>
    </w:p>
    <w:p>
      <w:pPr>
        <w:spacing w:line="288" w:lineRule="auto" w:before="0" w:after="40"/>
        <w:ind w:left="280"/>
        <w:jc w:val="both"/>
        <w:tabs>
          <w:tab w:val="right" w:leader="dot" w:pos="8420"/>
        </w:tabs>
      </w:pPr>
      <w:hyperlink w:anchor="chapter-5-conclusions-and-reflection">
        <w:r>
          <w:rPr>
            <w:rFonts w:ascii="Times New Roman" w:hAnsi="Times New Roman" w:cs="Times New Roman"/>
            <w:sz w:val="22"/>
            <w:color w:val="000000"/>
            <w:u w:val="none"/>
            <w:b/>
          </w:rPr>
          <w:t xml:space="preserve">Chapter 5 Conclusions and Reflection</w:t>
        </w:r>
      </w:hyperlink>
      <w:r>
        <w:rPr>
          <w:rFonts w:ascii="Times New Roman" w:hAnsi="Times New Roman" w:cs="Times New Roman"/>
          <w:sz w:val="22"/>
          <w:color w:val="000000"/>
          <w:u w:val="none"/>
          <w:b/>
        </w:rPr>
        <w:tab/>
        <w:t xml:space="preserve">28</w:t>
      </w:r>
    </w:p>
    <w:p>
      <w:pPr>
        <w:spacing w:line="288" w:lineRule="auto" w:before="0" w:after="40"/>
        <w:ind w:left="640"/>
        <w:jc w:val="both"/>
        <w:tabs>
          <w:tab w:val="right" w:leader="dot" w:pos="8060"/>
        </w:tabs>
      </w:pPr>
      <w:hyperlink w:anchor="conclusions">
        <w:r>
          <w:rPr>
            <w:rFonts w:ascii="Times New Roman" w:hAnsi="Times New Roman" w:cs="Times New Roman"/>
            <w:sz w:val="22"/>
            <w:color w:val="000000"/>
            <w:u w:val="none"/>
          </w:rPr>
          <w:t xml:space="preserve">5.1 Conclusions</w:t>
        </w:r>
      </w:hyperlink>
      <w:r>
        <w:rPr>
          <w:rFonts w:ascii="Times New Roman" w:hAnsi="Times New Roman" w:cs="Times New Roman"/>
          <w:sz w:val="22"/>
          <w:color w:val="000000"/>
          <w:u w:val="none"/>
        </w:rPr>
        <w:tab/>
        <w:t xml:space="preserve">29</w:t>
      </w:r>
    </w:p>
    <w:p>
      <w:pPr>
        <w:spacing w:line="288" w:lineRule="auto" w:before="0" w:after="40"/>
        <w:ind w:left="640"/>
        <w:jc w:val="both"/>
        <w:tabs>
          <w:tab w:val="right" w:leader="dot" w:pos="8060"/>
        </w:tabs>
      </w:pPr>
      <w:hyperlink w:anchor="limitations">
        <w:r>
          <w:rPr>
            <w:rFonts w:ascii="Times New Roman" w:hAnsi="Times New Roman" w:cs="Times New Roman"/>
            <w:sz w:val="22"/>
            <w:color w:val="000000"/>
            <w:u w:val="none"/>
          </w:rPr>
          <w:t xml:space="preserve">5.2 Limitations</w:t>
        </w:r>
      </w:hyperlink>
      <w:r>
        <w:rPr>
          <w:rFonts w:ascii="Times New Roman" w:hAnsi="Times New Roman" w:cs="Times New Roman"/>
          <w:sz w:val="22"/>
          <w:color w:val="000000"/>
          <w:u w:val="none"/>
        </w:rPr>
        <w:tab/>
        <w:t xml:space="preserve">29</w:t>
      </w:r>
    </w:p>
    <w:p>
      <w:pPr>
        <w:spacing w:line="288" w:lineRule="auto" w:before="0" w:after="40"/>
        <w:ind w:left="640"/>
        <w:jc w:val="both"/>
        <w:tabs>
          <w:tab w:val="right" w:leader="dot" w:pos="8060"/>
        </w:tabs>
      </w:pPr>
      <w:hyperlink w:anchor="future-work">
        <w:r>
          <w:rPr>
            <w:rFonts w:ascii="Times New Roman" w:hAnsi="Times New Roman" w:cs="Times New Roman"/>
            <w:sz w:val="22"/>
            <w:color w:val="000000"/>
            <w:u w:val="none"/>
          </w:rPr>
          <w:t xml:space="preserve">5.3 Future Work</w:t>
        </w:r>
      </w:hyperlink>
      <w:r>
        <w:rPr>
          <w:rFonts w:ascii="Times New Roman" w:hAnsi="Times New Roman" w:cs="Times New Roman"/>
          <w:sz w:val="22"/>
          <w:color w:val="000000"/>
          <w:u w:val="none"/>
        </w:rPr>
        <w:tab/>
        <w:t xml:space="preserve">31</w:t>
      </w:r>
    </w:p>
    <w:p>
      <w:pPr>
        <w:spacing w:line="288" w:lineRule="auto" w:before="0" w:after="40"/>
        <w:ind w:left="640"/>
        <w:jc w:val="both"/>
        <w:tabs>
          <w:tab w:val="right" w:leader="dot" w:pos="8060"/>
        </w:tabs>
      </w:pPr>
      <w:hyperlink w:anchor="reflection">
        <w:r>
          <w:rPr>
            <w:rFonts w:ascii="Times New Roman" w:hAnsi="Times New Roman" w:cs="Times New Roman"/>
            <w:sz w:val="22"/>
            <w:color w:val="000000"/>
            <w:u w:val="none"/>
          </w:rPr>
          <w:t xml:space="preserve">5.4 Reflection</w:t>
        </w:r>
      </w:hyperlink>
      <w:r>
        <w:rPr>
          <w:rFonts w:ascii="Times New Roman" w:hAnsi="Times New Roman" w:cs="Times New Roman"/>
          <w:sz w:val="22"/>
          <w:color w:val="000000"/>
          <w:u w:val="none"/>
        </w:rPr>
        <w:tab/>
        <w:t xml:space="preserve">32</w:t>
      </w:r>
    </w:p>
    <w:p>
      <w:pPr>
        <w:spacing w:line="288" w:lineRule="auto" w:before="0" w:after="40"/>
        <w:ind w:left="280"/>
        <w:jc w:val="both"/>
        <w:tabs>
          <w:tab w:val="right" w:leader="dot" w:pos="8420"/>
        </w:tabs>
      </w:pPr>
      <w:hyperlink w:anchor="list-of-references">
        <w:r>
          <w:rPr>
            <w:rFonts w:ascii="Times New Roman" w:hAnsi="Times New Roman" w:cs="Times New Roman"/>
            <w:sz w:val="22"/>
            <w:color w:val="000000"/>
            <w:u w:val="none"/>
          </w:rPr>
          <w:t xml:space="preserve">List of References</w:t>
        </w:r>
      </w:hyperlink>
      <w:r>
        <w:rPr>
          <w:rFonts w:ascii="Times New Roman" w:hAnsi="Times New Roman" w:cs="Times New Roman"/>
          <w:sz w:val="22"/>
          <w:color w:val="000000"/>
          <w:u w:val="none"/>
        </w:rPr>
        <w:tab/>
        <w:t xml:space="preserve">33</w:t>
      </w:r>
    </w:p>
    <w:p>
      <w:pPr>
        <w:spacing w:line="288" w:lineRule="auto" w:before="0" w:after="40"/>
        <w:ind w:left="280"/>
        <w:jc w:val="both"/>
        <w:tabs>
          <w:tab w:val="right" w:leader="dot" w:pos="8420"/>
        </w:tabs>
      </w:pPr>
      <w:hyperlink w:anchor="appendix-a-self-appraisal">
        <w:r>
          <w:rPr>
            <w:rFonts w:ascii="Times New Roman" w:hAnsi="Times New Roman" w:cs="Times New Roman"/>
            <w:sz w:val="22"/>
            <w:color w:val="000000"/>
            <w:u w:val="none"/>
            <w:b/>
          </w:rPr>
          <w:t xml:space="preserve">Appendix A Self-appraisal</w:t>
        </w:r>
      </w:hyperlink>
      <w:r>
        <w:rPr>
          <w:rFonts w:ascii="Times New Roman" w:hAnsi="Times New Roman" w:cs="Times New Roman"/>
          <w:sz w:val="22"/>
          <w:color w:val="000000"/>
          <w:u w:val="none"/>
          <w:b/>
        </w:rPr>
        <w:tab/>
        <w:t xml:space="preserve">37</w:t>
      </w:r>
    </w:p>
    <w:p>
      <w:pPr>
        <w:spacing w:line="288" w:lineRule="auto" w:before="0" w:after="40"/>
        <w:ind w:left="640"/>
        <w:jc w:val="both"/>
        <w:tabs>
          <w:tab w:val="right" w:leader="dot" w:pos="8060"/>
        </w:tabs>
      </w:pPr>
      <w:hyperlink w:anchor="a.1-critical-self-evaluation">
        <w:r>
          <w:rPr>
            <w:rFonts w:ascii="Times New Roman" w:hAnsi="Times New Roman" w:cs="Times New Roman"/>
            <w:sz w:val="22"/>
            <w:color w:val="000000"/>
            <w:u w:val="none"/>
          </w:rPr>
          <w:t xml:space="preserve">A.1 Critical self-evaluation</w:t>
        </w:r>
      </w:hyperlink>
      <w:r>
        <w:rPr>
          <w:rFonts w:ascii="Times New Roman" w:hAnsi="Times New Roman" w:cs="Times New Roman"/>
          <w:sz w:val="22"/>
          <w:color w:val="000000"/>
          <w:u w:val="none"/>
        </w:rPr>
        <w:tab/>
        <w:t xml:space="preserve">37</w:t>
      </w:r>
    </w:p>
    <w:p>
      <w:pPr>
        <w:spacing w:line="288" w:lineRule="auto" w:before="0" w:after="40"/>
        <w:ind w:left="640"/>
        <w:jc w:val="both"/>
        <w:tabs>
          <w:tab w:val="right" w:leader="dot" w:pos="8060"/>
        </w:tabs>
      </w:pPr>
      <w:hyperlink w:anchor="X5f5e5c43fdaef655737eee246f9aac728acdc99">
        <w:r>
          <w:rPr>
            <w:rFonts w:ascii="Times New Roman" w:hAnsi="Times New Roman" w:cs="Times New Roman"/>
            <w:sz w:val="22"/>
            <w:color w:val="000000"/>
            <w:u w:val="none"/>
          </w:rPr>
          <w:t xml:space="preserve">A.2 Personal reflection and lessons learned</w:t>
        </w:r>
      </w:hyperlink>
      <w:r>
        <w:rPr>
          <w:rFonts w:ascii="Times New Roman" w:hAnsi="Times New Roman" w:cs="Times New Roman"/>
          <w:sz w:val="22"/>
          <w:color w:val="000000"/>
          <w:u w:val="none"/>
        </w:rPr>
        <w:tab/>
        <w:t xml:space="preserve">38</w:t>
      </w:r>
    </w:p>
    <w:p>
      <w:pPr>
        <w:spacing w:line="288" w:lineRule="auto" w:before="0" w:after="40"/>
        <w:ind w:left="640"/>
        <w:jc w:val="both"/>
        <w:tabs>
          <w:tab w:val="right" w:leader="dot" w:pos="8060"/>
        </w:tabs>
      </w:pPr>
      <w:hyperlink w:anchor="X254a187480e93182affc27418a40d738584021a">
        <w:r>
          <w:rPr>
            <w:rFonts w:ascii="Times New Roman" w:hAnsi="Times New Roman" w:cs="Times New Roman"/>
            <w:sz w:val="22"/>
            <w:color w:val="000000"/>
            <w:u w:val="none"/>
          </w:rPr>
          <w:t xml:space="preserve">A.3 Legal, social, ethical and professional issues</w:t>
        </w:r>
      </w:hyperlink>
      <w:r>
        <w:rPr>
          <w:rFonts w:ascii="Times New Roman" w:hAnsi="Times New Roman" w:cs="Times New Roman"/>
          <w:sz w:val="22"/>
          <w:color w:val="000000"/>
          <w:u w:val="none"/>
        </w:rPr>
        <w:tab/>
        <w:t xml:space="preserve">38</w:t>
      </w:r>
    </w:p>
    <w:p>
      <w:pPr>
        <w:spacing w:line="288" w:lineRule="auto" w:before="0" w:after="40"/>
        <w:ind w:left="280"/>
        <w:jc w:val="both"/>
        <w:tabs>
          <w:tab w:val="right" w:leader="dot" w:pos="8420"/>
        </w:tabs>
      </w:pPr>
      <w:hyperlink w:anchor="appendix-b-external-materials">
        <w:r>
          <w:rPr>
            <w:rFonts w:ascii="Times New Roman" w:hAnsi="Times New Roman" w:cs="Times New Roman"/>
            <w:sz w:val="22"/>
            <w:color w:val="000000"/>
            <w:u w:val="none"/>
            <w:b/>
          </w:rPr>
          <w:t xml:space="preserve">Appendix B External Materials</w:t>
        </w:r>
      </w:hyperlink>
      <w:r>
        <w:rPr>
          <w:rFonts w:ascii="Times New Roman" w:hAnsi="Times New Roman" w:cs="Times New Roman"/>
          <w:sz w:val="22"/>
          <w:color w:val="000000"/>
          <w:u w:val="none"/>
          <w:b/>
        </w:rPr>
        <w:tab/>
        <w:t xml:space="preserve">42</w:t>
      </w:r>
    </w:p>
    <w:p>
      <w:pPr>
        <w:spacing w:line="288" w:lineRule="auto" w:before="0" w:after="40"/>
        <w:ind w:left="640"/>
        <w:jc w:val="both"/>
        <w:tabs>
          <w:tab w:val="right" w:leader="dot" w:pos="8060"/>
        </w:tabs>
      </w:pPr>
      <w:hyperlink w:anchor="b.1-third-party-libraries">
        <w:r>
          <w:rPr>
            <w:rFonts w:ascii="Times New Roman" w:hAnsi="Times New Roman" w:cs="Times New Roman"/>
            <w:sz w:val="22"/>
            <w:color w:val="000000"/>
            <w:u w:val="none"/>
          </w:rPr>
          <w:t xml:space="preserve">B.1 Third-Party Libraries</w:t>
        </w:r>
      </w:hyperlink>
      <w:r>
        <w:rPr>
          <w:rFonts w:ascii="Times New Roman" w:hAnsi="Times New Roman" w:cs="Times New Roman"/>
          <w:sz w:val="22"/>
          <w:color w:val="000000"/>
          <w:u w:val="none"/>
        </w:rPr>
        <w:tab/>
        <w:t xml:space="preserve">42</w:t>
      </w:r>
    </w:p>
    <w:p>
      <w:pPr>
        <w:spacing w:line="288" w:lineRule="auto" w:before="0" w:after="40"/>
        <w:ind w:left="640"/>
        <w:jc w:val="both"/>
        <w:tabs>
          <w:tab w:val="right" w:leader="dot" w:pos="8060"/>
        </w:tabs>
      </w:pPr>
      <w:hyperlink w:anchor="b.2-licensing">
        <w:r>
          <w:rPr>
            <w:rFonts w:ascii="Times New Roman" w:hAnsi="Times New Roman" w:cs="Times New Roman"/>
            <w:sz w:val="22"/>
            <w:color w:val="000000"/>
            <w:u w:val="none"/>
          </w:rPr>
          <w:t xml:space="preserve">B.2 Licensing</w:t>
        </w:r>
      </w:hyperlink>
      <w:r>
        <w:rPr>
          <w:rFonts w:ascii="Times New Roman" w:hAnsi="Times New Roman" w:cs="Times New Roman"/>
          <w:sz w:val="22"/>
          <w:color w:val="000000"/>
          <w:u w:val="none"/>
        </w:rPr>
        <w:tab/>
        <w:t xml:space="preserve">42</w:t>
      </w:r>
    </w:p>
    <w:p>
      <w:pPr>
        <w:spacing w:line="288" w:lineRule="auto" w:before="0" w:after="40"/>
        <w:ind w:left="640"/>
        <w:jc w:val="both"/>
        <w:tabs>
          <w:tab w:val="right" w:leader="dot" w:pos="8060"/>
        </w:tabs>
      </w:pPr>
      <w:hyperlink w:anchor="b.3-external-datasets">
        <w:r>
          <w:rPr>
            <w:rFonts w:ascii="Times New Roman" w:hAnsi="Times New Roman" w:cs="Times New Roman"/>
            <w:sz w:val="22"/>
            <w:color w:val="000000"/>
            <w:u w:val="none"/>
          </w:rPr>
          <w:t xml:space="preserve">B.3 External Datasets</w:t>
        </w:r>
      </w:hyperlink>
      <w:r>
        <w:rPr>
          <w:rFonts w:ascii="Times New Roman" w:hAnsi="Times New Roman" w:cs="Times New Roman"/>
          <w:sz w:val="22"/>
          <w:color w:val="000000"/>
          <w:u w:val="none"/>
        </w:rPr>
        <w:tab/>
        <w:t xml:space="preserve">42</w:t>
      </w:r>
    </w:p>
    <w:p>
      <w:pPr>
        <w:spacing w:line="288" w:lineRule="auto" w:before="0" w:after="40"/>
        <w:ind w:left="640"/>
        <w:jc w:val="both"/>
        <w:tabs>
          <w:tab w:val="right" w:leader="dot" w:pos="8060"/>
        </w:tabs>
      </w:pPr>
      <w:hyperlink w:anchor="b.4-development-tools">
        <w:r>
          <w:rPr>
            <w:rFonts w:ascii="Times New Roman" w:hAnsi="Times New Roman" w:cs="Times New Roman"/>
            <w:sz w:val="22"/>
            <w:color w:val="000000"/>
            <w:u w:val="none"/>
          </w:rPr>
          <w:t xml:space="preserve">B.4 Development Tools</w:t>
        </w:r>
      </w:hyperlink>
      <w:r>
        <w:rPr>
          <w:rFonts w:ascii="Times New Roman" w:hAnsi="Times New Roman" w:cs="Times New Roman"/>
          <w:sz w:val="22"/>
          <w:color w:val="000000"/>
          <w:u w:val="none"/>
        </w:rPr>
        <w:tab/>
        <w:t xml:space="preserve">43</w:t>
      </w:r>
    </w:p>
    <w:p>
      <w:pPr>
        <w:spacing w:line="288" w:lineRule="auto" w:before="0" w:after="40"/>
        <w:ind w:left="640"/>
        <w:jc w:val="both"/>
        <w:tabs>
          <w:tab w:val="right" w:leader="dot" w:pos="8060"/>
        </w:tabs>
      </w:pPr>
      <w:hyperlink w:anchor="X59823d81a2493546db9de6a5549c34343051cfe">
        <w:r>
          <w:rPr>
            <w:rFonts w:ascii="Times New Roman" w:hAnsi="Times New Roman" w:cs="Times New Roman"/>
            <w:sz w:val="22"/>
            <w:color w:val="000000"/>
            <w:u w:val="none"/>
          </w:rPr>
          <w:t xml:space="preserve">B.5 Generative AI Usage Declaration and Log</w:t>
        </w:r>
      </w:hyperlink>
      <w:r>
        <w:rPr>
          <w:rFonts w:ascii="Times New Roman" w:hAnsi="Times New Roman" w:cs="Times New Roman"/>
          <w:sz w:val="22"/>
          <w:color w:val="000000"/>
          <w:u w:val="none"/>
        </w:rPr>
        <w:tab/>
        <w:t xml:space="preserve">43</w:t>
      </w:r>
    </w:p>
    <w:p>
      <w:pPr>
        <w:spacing w:line="288" w:lineRule="auto" w:before="0" w:after="40"/>
        <w:ind w:left="640"/>
        <w:jc w:val="both"/>
        <w:tabs>
          <w:tab w:val="right" w:leader="dot" w:pos="8060"/>
        </w:tabs>
      </w:pPr>
      <w:hyperlink w:anchor="b.6-ethics-checklist">
        <w:r>
          <w:rPr>
            <w:rFonts w:ascii="Times New Roman" w:hAnsi="Times New Roman" w:cs="Times New Roman"/>
            <w:sz w:val="22"/>
            <w:color w:val="000000"/>
            <w:u w:val="none"/>
          </w:rPr>
          <w:t xml:space="preserve">B.6 Ethics Checklist</w:t>
        </w:r>
      </w:hyperlink>
      <w:r>
        <w:rPr>
          <w:rFonts w:ascii="Times New Roman" w:hAnsi="Times New Roman" w:cs="Times New Roman"/>
          <w:sz w:val="22"/>
          <w:color w:val="000000"/>
          <w:u w:val="none"/>
        </w:rPr>
        <w:tab/>
        <w:t xml:space="preserve">45</w:t>
      </w:r>
    </w:p>
    <w:p>
      <w:pPr>
        <w:spacing w:line="288" w:lineRule="auto" w:before="0" w:after="40"/>
        <w:ind w:left="640"/>
        <w:jc w:val="both"/>
        <w:tabs>
          <w:tab w:val="right" w:leader="dot" w:pos="8060"/>
        </w:tabs>
      </w:pPr>
      <w:hyperlink w:anchor="b.7-evidence-of-testing-and-operation">
        <w:r>
          <w:rPr>
            <w:rFonts w:ascii="Times New Roman" w:hAnsi="Times New Roman" w:cs="Times New Roman"/>
            <w:sz w:val="22"/>
            <w:color w:val="000000"/>
            <w:u w:val="none"/>
          </w:rPr>
          <w:t xml:space="preserve">B.7 Evidence of Testing and Operation</w:t>
        </w:r>
      </w:hyperlink>
      <w:r>
        <w:rPr>
          <w:rFonts w:ascii="Times New Roman" w:hAnsi="Times New Roman" w:cs="Times New Roman"/>
          <w:sz w:val="22"/>
          <w:color w:val="000000"/>
          <w:u w:val="none"/>
        </w:rPr>
        <w:tab/>
        <w:t xml:space="preserve">47</w:t>
      </w:r>
    </w:p>
    <w:p>
      <w:pPr>
        <w:spacing w:line="288" w:lineRule="auto" w:before="0" w:after="40"/>
        <w:ind w:left="640"/>
        <w:jc w:val="both"/>
        <w:tabs>
          <w:tab w:val="right" w:leader="dot" w:pos="8060"/>
        </w:tabs>
      </w:pPr>
      <w:hyperlink w:anchor="Xc3be17a6feaf50557485e1a44d8c28c1b4a5841">
        <w:r>
          <w:rPr>
            <w:rFonts w:ascii="Times New Roman" w:hAnsi="Times New Roman" w:cs="Times New Roman"/>
            <w:sz w:val="22"/>
            <w:color w:val="000000"/>
            <w:u w:val="none"/>
          </w:rPr>
          <w:t xml:space="preserve">B.8 Comparative Analysis Table (referenced from §1.10)</w:t>
        </w:r>
      </w:hyperlink>
      <w:r>
        <w:rPr>
          <w:rFonts w:ascii="Times New Roman" w:hAnsi="Times New Roman" w:cs="Times New Roman"/>
          <w:sz w:val="22"/>
          <w:color w:val="000000"/>
          <w:u w:val="none"/>
        </w:rPr>
        <w:tab/>
        <w:t xml:space="preserve">49</w:t>
      </w:r>
    </w:p>
    <w:p>
      <w:pPr>
        <w:spacing w:line="288" w:lineRule="auto" w:before="0" w:after="40"/>
        <w:ind w:left="640"/>
        <w:jc w:val="both"/>
        <w:tabs>
          <w:tab w:val="right" w:leader="dot" w:pos="8060"/>
        </w:tabs>
      </w:pPr>
      <w:hyperlink w:anchor="Xf0c58931cf1f4f9947cff1d32ed89fe21673d20">
        <w:r>
          <w:rPr>
            <w:rFonts w:ascii="Times New Roman" w:hAnsi="Times New Roman" w:cs="Times New Roman"/>
            <w:sz w:val="22"/>
            <w:color w:val="000000"/>
            <w:u w:val="none"/>
          </w:rPr>
          <w:t xml:space="preserve">B.9 Test Suite Matrix (referenced from §3.9)</w:t>
        </w:r>
      </w:hyperlink>
      <w:r>
        <w:rPr>
          <w:rFonts w:ascii="Times New Roman" w:hAnsi="Times New Roman" w:cs="Times New Roman"/>
          <w:sz w:val="22"/>
          <w:color w:val="000000"/>
          <w:u w:val="none"/>
        </w:rPr>
        <w:tab/>
        <w:t xml:space="preserve">50</w:t>
      </w:r>
    </w:p>
    <w:p>
      <w:pPr>
        <w:spacing w:line="288" w:lineRule="auto" w:before="0" w:after="40"/>
        <w:ind w:left="640"/>
        <w:jc w:val="both"/>
        <w:tabs>
          <w:tab w:val="right" w:leader="dot" w:pos="8060"/>
        </w:tabs>
      </w:pPr>
      <w:hyperlink w:anchor="Xd90c692be11b441deacf1c2a3640c56ff8fe333">
        <w:r>
          <w:rPr>
            <w:rFonts w:ascii="Times New Roman" w:hAnsi="Times New Roman" w:cs="Times New Roman"/>
            <w:sz w:val="22"/>
            <w:color w:val="000000"/>
            <w:u w:val="none"/>
          </w:rPr>
          <w:t xml:space="preserve">B.10 Independent Reviewer Evaluation Materials (referenced from §4.10)</w:t>
        </w:r>
      </w:hyperlink>
      <w:r>
        <w:rPr>
          <w:rFonts w:ascii="Times New Roman" w:hAnsi="Times New Roman" w:cs="Times New Roman"/>
          <w:sz w:val="22"/>
          <w:color w:val="000000"/>
          <w:u w:val="none"/>
        </w:rPr>
        <w:tab/>
        <w:t xml:space="preserve">51</w:t>
      </w:r>
    </w:p>
    <w:p>
      <w:pPr>
        <w:spacing w:line="288" w:lineRule="auto" w:before="0" w:after="40"/>
        <w:ind w:left="640"/>
        <w:jc w:val="both"/>
        <w:tabs>
          <w:tab w:val="right" w:leader="dot" w:pos="8060"/>
        </w:tabs>
      </w:pPr>
      <w:hyperlink w:anchor="Xd64496666fd4423dbdfb9708af96fd2a31bdf8f">
        <w:r>
          <w:rPr>
            <w:rFonts w:ascii="Times New Roman" w:hAnsi="Times New Roman" w:cs="Times New Roman"/>
            <w:sz w:val="22"/>
            <w:color w:val="000000"/>
            <w:u w:val="none"/>
          </w:rPr>
          <w:t xml:space="preserve">B.11 Public Guidance Transfer Corpus Provenance (referenced from §4.11)</w:t>
        </w:r>
      </w:hyperlink>
      <w:r>
        <w:rPr>
          <w:rFonts w:ascii="Times New Roman" w:hAnsi="Times New Roman" w:cs="Times New Roman"/>
          <w:sz w:val="22"/>
          <w:color w:val="000000"/>
          <w:u w:val="none"/>
        </w:rPr>
        <w:tab/>
        <w:t xml:space="preserve">54</w:t>
      </w:r>
    </w:p>
    <w:p>
      <w:pPr>
        <w:spacing w:line="288" w:lineRule="auto" w:before="0" w:after="40"/>
        <w:ind w:left="640"/>
        <w:jc w:val="both"/>
        <w:tabs>
          <w:tab w:val="right" w:leader="dot" w:pos="8060"/>
        </w:tabs>
      </w:pPr>
      <w:hyperlink w:anchor="Xa3c7045fe3a3bfc9850e0e57f9bd37a751212fc">
        <w:r>
          <w:rPr>
            <w:rFonts w:ascii="Times New Roman" w:hAnsi="Times New Roman" w:cs="Times New Roman"/>
            <w:sz w:val="22"/>
            <w:color w:val="000000"/>
            <w:u w:val="none"/>
          </w:rPr>
          <w:t xml:space="preserve">B.12 Adversarial and Audit Export Evidence (referenced from L6 and §4.4)</w:t>
        </w:r>
      </w:hyperlink>
      <w:r>
        <w:rPr>
          <w:rFonts w:ascii="Times New Roman" w:hAnsi="Times New Roman" w:cs="Times New Roman"/>
          <w:sz w:val="22"/>
          <w:color w:val="000000"/>
          <w:u w:val="none"/>
        </w:rPr>
        <w:tab/>
        <w:t xml:space="preserve">56</w:t>
      </w:r>
    </w:p>
    <w:bookmarkEnd w:id="37"/>
    <w:bookmarkStart w:id="38" w:name="list-of-figures"/>
    <w:p>
      <w:pPr>
        <w:pStyle w:val="Heading1"/>
        <w:pageBreakBefore/>
      </w:pPr>
      <w:r>
        <w:t xml:space="preserve">List of Figures</w:t>
      </w:r>
    </w:p>
    <w:p>
      <w:pPr>
        <w:spacing w:line="288" w:lineRule="auto" w:before="0" w:after="40"/>
        <w:ind w:left="280"/>
        <w:jc w:val="both"/>
        <w:tabs>
          <w:tab w:val="right" w:leader="dot" w:pos="8420"/>
        </w:tabs>
      </w:pPr>
      <w:hyperlink w:anchor="fig-1-1">
        <w:r>
          <w:rPr>
            <w:rFonts w:ascii="Times New Roman" w:hAnsi="Times New Roman" w:cs="Times New Roman"/>
            <w:sz w:val="22"/>
            <w:color w:val="000000"/>
            <w:u w:val="none"/>
          </w:rPr>
          <w:t xml:space="preserve">Figure 1.1 PRISMA 2020 flow diagram: systematic search and selection process</w:t>
        </w:r>
      </w:hyperlink>
      <w:r>
        <w:rPr>
          <w:rFonts w:ascii="Times New Roman" w:hAnsi="Times New Roman" w:cs="Times New Roman"/>
          <w:sz w:val="22"/>
          <w:color w:val="000000"/>
          <w:u w:val="none"/>
        </w:rPr>
        <w:tab/>
        <w:t xml:space="preserve">2</w:t>
      </w:r>
    </w:p>
    <w:p>
      <w:pPr>
        <w:spacing w:line="288" w:lineRule="auto" w:before="0" w:after="40"/>
        <w:ind w:left="280"/>
        <w:jc w:val="both"/>
        <w:tabs>
          <w:tab w:val="right" w:leader="dot" w:pos="8420"/>
        </w:tabs>
      </w:pPr>
      <w:hyperlink w:anchor="fig-2-1">
        <w:r>
          <w:rPr>
            <w:rFonts w:ascii="Times New Roman" w:hAnsi="Times New Roman" w:cs="Times New Roman"/>
            <w:sz w:val="22"/>
            <w:color w:val="000000"/>
            <w:u w:val="none"/>
          </w:rPr>
          <w:t xml:space="preserve">Figure 2.1 Gantt chart: six-sprint development timeline (Weeks 1 to 22)</w:t>
        </w:r>
      </w:hyperlink>
      <w:r>
        <w:rPr>
          <w:rFonts w:ascii="Times New Roman" w:hAnsi="Times New Roman" w:cs="Times New Roman"/>
          <w:sz w:val="22"/>
          <w:color w:val="000000"/>
          <w:u w:val="none"/>
        </w:rPr>
        <w:tab/>
        <w:t xml:space="preserve">7</w:t>
      </w:r>
    </w:p>
    <w:p>
      <w:pPr>
        <w:spacing w:line="288" w:lineRule="auto" w:before="0" w:after="40"/>
        <w:ind w:left="280"/>
        <w:jc w:val="both"/>
        <w:tabs>
          <w:tab w:val="right" w:leader="dot" w:pos="8420"/>
        </w:tabs>
      </w:pPr>
      <w:hyperlink w:anchor="fig-2-2">
        <w:r>
          <w:rPr>
            <w:rFonts w:ascii="Times New Roman" w:hAnsi="Times New Roman" w:cs="Times New Roman"/>
            <w:sz w:val="22"/>
            <w:color w:val="000000"/>
            <w:u w:val="none"/>
          </w:rPr>
          <w:t xml:space="preserve">Figure 2.2 Data flow diagram: end-to-end RAG pipeline architecture</w:t>
        </w:r>
      </w:hyperlink>
      <w:r>
        <w:rPr>
          <w:rFonts w:ascii="Times New Roman" w:hAnsi="Times New Roman" w:cs="Times New Roman"/>
          <w:sz w:val="22"/>
          <w:color w:val="000000"/>
          <w:u w:val="none"/>
        </w:rPr>
        <w:tab/>
        <w:t xml:space="preserve">9</w:t>
      </w:r>
    </w:p>
    <w:p>
      <w:pPr>
        <w:spacing w:line="288" w:lineRule="auto" w:before="0" w:after="40"/>
        <w:ind w:left="280"/>
        <w:jc w:val="both"/>
        <w:tabs>
          <w:tab w:val="right" w:leader="dot" w:pos="8420"/>
        </w:tabs>
      </w:pPr>
      <w:hyperlink w:anchor="fig-4-1">
        <w:r>
          <w:rPr>
            <w:rFonts w:ascii="Times New Roman" w:hAnsi="Times New Roman" w:cs="Times New Roman"/>
            <w:sz w:val="22"/>
            <w:color w:val="000000"/>
            <w:u w:val="none"/>
          </w:rPr>
          <w:t xml:space="preserve">Figure 4.1 Grouped bar chart: baseline comparison across primary metrics</w:t>
        </w:r>
      </w:hyperlink>
      <w:r>
        <w:rPr>
          <w:rFonts w:ascii="Times New Roman" w:hAnsi="Times New Roman" w:cs="Times New Roman"/>
          <w:sz w:val="22"/>
          <w:color w:val="000000"/>
          <w:u w:val="none"/>
        </w:rPr>
        <w:tab/>
        <w:t xml:space="preserve">19</w:t>
      </w:r>
    </w:p>
    <w:p>
      <w:pPr>
        <w:spacing w:line="288" w:lineRule="auto" w:before="0" w:after="40"/>
        <w:ind w:left="280"/>
        <w:jc w:val="both"/>
        <w:tabs>
          <w:tab w:val="right" w:leader="dot" w:pos="8420"/>
        </w:tabs>
      </w:pPr>
      <w:hyperlink w:anchor="fig-4-2">
        <w:r>
          <w:rPr>
            <w:rFonts w:ascii="Times New Roman" w:hAnsi="Times New Roman" w:cs="Times New Roman"/>
            <w:sz w:val="22"/>
            <w:color w:val="000000"/>
            <w:u w:val="none"/>
          </w:rPr>
          <w:t xml:space="preserve">Figure 4.2 Retrieval performance: Evidence Recall@5 and MRR by baseline</w:t>
        </w:r>
      </w:hyperlink>
      <w:r>
        <w:rPr>
          <w:rFonts w:ascii="Times New Roman" w:hAnsi="Times New Roman" w:cs="Times New Roman"/>
          <w:sz w:val="22"/>
          <w:color w:val="000000"/>
          <w:u w:val="none"/>
        </w:rPr>
        <w:tab/>
        <w:t xml:space="preserve">20</w:t>
      </w:r>
    </w:p>
    <w:p>
      <w:pPr>
        <w:spacing w:line="288" w:lineRule="auto" w:before="0" w:after="40"/>
        <w:ind w:left="280"/>
        <w:jc w:val="both"/>
        <w:tabs>
          <w:tab w:val="right" w:leader="dot" w:pos="8420"/>
        </w:tabs>
      </w:pPr>
      <w:hyperlink w:anchor="fig-4-3">
        <w:r>
          <w:rPr>
            <w:rFonts w:ascii="Times New Roman" w:hAnsi="Times New Roman" w:cs="Times New Roman"/>
            <w:sz w:val="22"/>
            <w:color w:val="000000"/>
            <w:u w:val="none"/>
          </w:rPr>
          <w:t xml:space="preserve">Figure 4.3 Groundedness metrics: ungrounded rate and citation precision</w:t>
        </w:r>
      </w:hyperlink>
      <w:r>
        <w:rPr>
          <w:rFonts w:ascii="Times New Roman" w:hAnsi="Times New Roman" w:cs="Times New Roman"/>
          <w:sz w:val="22"/>
          <w:color w:val="000000"/>
          <w:u w:val="none"/>
        </w:rPr>
        <w:tab/>
        <w:t xml:space="preserve">21</w:t>
      </w:r>
    </w:p>
    <w:p>
      <w:pPr>
        <w:spacing w:line="288" w:lineRule="auto" w:before="0" w:after="40"/>
        <w:ind w:left="280"/>
        <w:jc w:val="both"/>
        <w:tabs>
          <w:tab w:val="right" w:leader="dot" w:pos="8420"/>
        </w:tabs>
      </w:pPr>
      <w:hyperlink w:anchor="fig-4-4">
        <w:r>
          <w:rPr>
            <w:rFonts w:ascii="Times New Roman" w:hAnsi="Times New Roman" w:cs="Times New Roman"/>
            <w:sz w:val="22"/>
            <w:color w:val="000000"/>
            <w:u w:val="none"/>
          </w:rPr>
          <w:t xml:space="preserve">Figure 4.4 Operating curve: support-rate threshold sweep for B3-Generative</w:t>
        </w:r>
      </w:hyperlink>
      <w:r>
        <w:rPr>
          <w:rFonts w:ascii="Times New Roman" w:hAnsi="Times New Roman" w:cs="Times New Roman"/>
          <w:sz w:val="22"/>
          <w:color w:val="000000"/>
          <w:u w:val="none"/>
        </w:rPr>
        <w:tab/>
        <w:t xml:space="preserve">22</w:t>
      </w:r>
    </w:p>
    <w:p>
      <w:pPr>
        <w:spacing w:line="288" w:lineRule="auto" w:before="0" w:after="40"/>
        <w:ind w:left="280"/>
        <w:jc w:val="both"/>
        <w:tabs>
          <w:tab w:val="right" w:leader="dot" w:pos="8420"/>
        </w:tabs>
      </w:pPr>
      <w:hyperlink w:anchor="fig-b-1">
        <w:r>
          <w:rPr>
            <w:rFonts w:ascii="Times New Roman" w:hAnsi="Times New Roman" w:cs="Times New Roman"/>
            <w:sz w:val="22"/>
            <w:color w:val="000000"/>
            <w:u w:val="none"/>
          </w:rPr>
          <w:t xml:space="preserve">Figure B.1 Answerable query result showing extractive fallback with citations</w:t>
        </w:r>
      </w:hyperlink>
      <w:r>
        <w:rPr>
          <w:rFonts w:ascii="Times New Roman" w:hAnsi="Times New Roman" w:cs="Times New Roman"/>
          <w:sz w:val="22"/>
          <w:color w:val="000000"/>
          <w:u w:val="none"/>
        </w:rPr>
        <w:tab/>
        <w:t xml:space="preserve">48</w:t>
      </w:r>
    </w:p>
    <w:p>
      <w:pPr>
        <w:spacing w:line="288" w:lineRule="auto" w:before="0" w:after="40"/>
        <w:ind w:left="280"/>
        <w:jc w:val="both"/>
        <w:tabs>
          <w:tab w:val="right" w:leader="dot" w:pos="8420"/>
        </w:tabs>
      </w:pPr>
      <w:hyperlink w:anchor="fig-b-2">
        <w:r>
          <w:rPr>
            <w:rFonts w:ascii="Times New Roman" w:hAnsi="Times New Roman" w:cs="Times New Roman"/>
            <w:sz w:val="22"/>
            <w:color w:val="000000"/>
            <w:u w:val="none"/>
          </w:rPr>
          <w:t xml:space="preserve">Figure B.2 Unanswerable query showing abstention behaviour</w:t>
        </w:r>
      </w:hyperlink>
      <w:r>
        <w:rPr>
          <w:rFonts w:ascii="Times New Roman" w:hAnsi="Times New Roman" w:cs="Times New Roman"/>
          <w:sz w:val="22"/>
          <w:color w:val="000000"/>
          <w:u w:val="none"/>
        </w:rPr>
        <w:tab/>
        <w:t xml:space="preserve">48</w:t>
      </w:r>
    </w:p>
    <w:p>
      <w:pPr>
        <w:spacing w:line="288" w:lineRule="auto" w:before="0" w:after="40"/>
        <w:ind w:left="280"/>
        <w:jc w:val="both"/>
        <w:tabs>
          <w:tab w:val="right" w:leader="dot" w:pos="8420"/>
        </w:tabs>
      </w:pPr>
      <w:hyperlink w:anchor="fig-b-3">
        <w:r>
          <w:rPr>
            <w:rFonts w:ascii="Times New Roman" w:hAnsi="Times New Roman" w:cs="Times New Roman"/>
            <w:sz w:val="22"/>
            <w:color w:val="000000"/>
            <w:u w:val="none"/>
          </w:rPr>
          <w:t xml:space="preserve">Figure B.3 Contradiction query showing retrieved evidence with citations</w:t>
        </w:r>
      </w:hyperlink>
      <w:r>
        <w:rPr>
          <w:rFonts w:ascii="Times New Roman" w:hAnsi="Times New Roman" w:cs="Times New Roman"/>
          <w:sz w:val="22"/>
          <w:color w:val="000000"/>
          <w:u w:val="none"/>
        </w:rPr>
        <w:tab/>
        <w:t xml:space="preserve">49</w:t>
      </w:r>
    </w:p>
    <w:bookmarkEnd w:id="38"/>
    <w:bookmarkStart w:id="39" w:name="list-of-tables"/>
    <w:p>
      <w:pPr>
        <w:pStyle w:val="Heading1"/>
        <w:pageBreakBefore/>
      </w:pPr>
      <w:r>
        <w:t xml:space="preserve">List of Tables</w:t>
      </w:r>
    </w:p>
    <w:p>
      <w:pPr>
        <w:spacing w:line="288" w:lineRule="auto" w:before="0" w:after="40"/>
        <w:ind w:left="280"/>
        <w:jc w:val="both"/>
        <w:tabs>
          <w:tab w:val="right" w:leader="dot" w:pos="8420"/>
        </w:tabs>
      </w:pPr>
      <w:hyperlink w:anchor="tbl-2-1">
        <w:r>
          <w:rPr>
            <w:rFonts w:ascii="Times New Roman" w:hAnsi="Times New Roman" w:cs="Times New Roman"/>
            <w:sz w:val="22"/>
            <w:color w:val="000000"/>
            <w:u w:val="none"/>
          </w:rPr>
          <w:t xml:space="preserve">Table 2.1 Functional and non-functional requirements with acceptance tests</w:t>
        </w:r>
      </w:hyperlink>
      <w:r>
        <w:rPr>
          <w:rFonts w:ascii="Times New Roman" w:hAnsi="Times New Roman" w:cs="Times New Roman"/>
          <w:sz w:val="22"/>
          <w:color w:val="000000"/>
          <w:u w:val="none"/>
        </w:rPr>
        <w:tab/>
        <w:t xml:space="preserve">7</w:t>
      </w:r>
    </w:p>
    <w:p>
      <w:pPr>
        <w:spacing w:line="288" w:lineRule="auto" w:before="0" w:after="40"/>
        <w:ind w:left="280"/>
        <w:jc w:val="both"/>
        <w:tabs>
          <w:tab w:val="right" w:leader="dot" w:pos="8420"/>
        </w:tabs>
      </w:pPr>
      <w:hyperlink w:anchor="tbl-2-2">
        <w:r>
          <w:rPr>
            <w:rFonts w:ascii="Times New Roman" w:hAnsi="Times New Roman" w:cs="Times New Roman"/>
            <w:sz w:val="22"/>
            <w:color w:val="000000"/>
            <w:u w:val="none"/>
          </w:rPr>
          <w:t xml:space="preserve">Table 2.2 Risk register: top risks and mitigations</w:t>
        </w:r>
      </w:hyperlink>
      <w:r>
        <w:rPr>
          <w:rFonts w:ascii="Times New Roman" w:hAnsi="Times New Roman" w:cs="Times New Roman"/>
          <w:sz w:val="22"/>
          <w:color w:val="000000"/>
          <w:u w:val="none"/>
        </w:rPr>
        <w:tab/>
        <w:t xml:space="preserve">11</w:t>
      </w:r>
    </w:p>
    <w:p>
      <w:pPr>
        <w:spacing w:line="288" w:lineRule="auto" w:before="0" w:after="40"/>
        <w:ind w:left="280"/>
        <w:jc w:val="both"/>
        <w:tabs>
          <w:tab w:val="right" w:leader="dot" w:pos="8420"/>
        </w:tabs>
      </w:pPr>
      <w:hyperlink w:anchor="tbl-3-1">
        <w:r>
          <w:rPr>
            <w:rFonts w:ascii="Times New Roman" w:hAnsi="Times New Roman" w:cs="Times New Roman"/>
            <w:sz w:val="22"/>
            <w:color w:val="000000"/>
            <w:u w:val="none"/>
          </w:rPr>
          <w:t xml:space="preserve">Table 3.1 Technology stack and justification</w:t>
        </w:r>
      </w:hyperlink>
      <w:r>
        <w:rPr>
          <w:rFonts w:ascii="Times New Roman" w:hAnsi="Times New Roman" w:cs="Times New Roman"/>
          <w:sz w:val="22"/>
          <w:color w:val="000000"/>
          <w:u w:val="none"/>
        </w:rPr>
        <w:tab/>
        <w:t xml:space="preserve">13</w:t>
      </w:r>
    </w:p>
    <w:p>
      <w:pPr>
        <w:spacing w:line="288" w:lineRule="auto" w:before="0" w:after="40"/>
        <w:ind w:left="280"/>
        <w:jc w:val="both"/>
        <w:tabs>
          <w:tab w:val="right" w:leader="dot" w:pos="8420"/>
        </w:tabs>
      </w:pPr>
      <w:hyperlink w:anchor="tbl-4-1">
        <w:r>
          <w:rPr>
            <w:rFonts w:ascii="Times New Roman" w:hAnsi="Times New Roman" w:cs="Times New Roman"/>
            <w:sz w:val="22"/>
            <w:color w:val="000000"/>
            <w:u w:val="none"/>
          </w:rPr>
          <w:t xml:space="preserve">Table 4.1 Golden set composition by category</w:t>
        </w:r>
      </w:hyperlink>
      <w:r>
        <w:rPr>
          <w:rFonts w:ascii="Times New Roman" w:hAnsi="Times New Roman" w:cs="Times New Roman"/>
          <w:sz w:val="22"/>
          <w:color w:val="000000"/>
          <w:u w:val="none"/>
        </w:rPr>
        <w:tab/>
        <w:t xml:space="preserve">18</w:t>
      </w:r>
    </w:p>
    <w:p>
      <w:pPr>
        <w:spacing w:line="288" w:lineRule="auto" w:before="0" w:after="40"/>
        <w:ind w:left="280"/>
        <w:jc w:val="both"/>
        <w:tabs>
          <w:tab w:val="right" w:leader="dot" w:pos="8420"/>
        </w:tabs>
      </w:pPr>
      <w:hyperlink w:anchor="tbl-4-2">
        <w:r>
          <w:rPr>
            <w:rFonts w:ascii="Times New Roman" w:hAnsi="Times New Roman" w:cs="Times New Roman"/>
            <w:sz w:val="22"/>
            <w:color w:val="000000"/>
            <w:u w:val="none"/>
          </w:rPr>
          <w:t xml:space="preserve">Table 4.2 Baseline comparison across primary metrics (B1/B2/B3-Gen all-split, B3-Ext test split)</w:t>
        </w:r>
      </w:hyperlink>
      <w:r>
        <w:rPr>
          <w:rFonts w:ascii="Times New Roman" w:hAnsi="Times New Roman" w:cs="Times New Roman"/>
          <w:sz w:val="22"/>
          <w:color w:val="000000"/>
          <w:u w:val="none"/>
        </w:rPr>
        <w:tab/>
        <w:t xml:space="preserve">18</w:t>
      </w:r>
    </w:p>
    <w:p>
      <w:pPr>
        <w:spacing w:line="288" w:lineRule="auto" w:before="0" w:after="40"/>
        <w:ind w:left="280"/>
        <w:jc w:val="both"/>
        <w:tabs>
          <w:tab w:val="right" w:leader="dot" w:pos="8420"/>
        </w:tabs>
      </w:pPr>
      <w:hyperlink w:anchor="tbl-4-3">
        <w:r>
          <w:rPr>
            <w:rFonts w:ascii="Times New Roman" w:hAnsi="Times New Roman" w:cs="Times New Roman"/>
            <w:sz w:val="22"/>
            <w:color w:val="000000"/>
            <w:u w:val="none"/>
          </w:rPr>
          <w:t xml:space="preserve">Table 4.3 Final retrieval metrics under BM25 fallback</w:t>
        </w:r>
      </w:hyperlink>
      <w:r>
        <w:rPr>
          <w:rFonts w:ascii="Times New Roman" w:hAnsi="Times New Roman" w:cs="Times New Roman"/>
          <w:sz w:val="22"/>
          <w:color w:val="000000"/>
          <w:u w:val="none"/>
        </w:rPr>
        <w:tab/>
        <w:t xml:space="preserve">20</w:t>
      </w:r>
    </w:p>
    <w:p>
      <w:pPr>
        <w:spacing w:line="288" w:lineRule="auto" w:before="0" w:after="40"/>
        <w:ind w:left="280"/>
        <w:jc w:val="both"/>
        <w:tabs>
          <w:tab w:val="right" w:leader="dot" w:pos="8420"/>
        </w:tabs>
      </w:pPr>
      <w:hyperlink w:anchor="tbl-4-4">
        <w:r>
          <w:rPr>
            <w:rFonts w:ascii="Times New Roman" w:hAnsi="Times New Roman" w:cs="Times New Roman"/>
            <w:sz w:val="22"/>
            <w:color w:val="000000"/>
            <w:u w:val="none"/>
          </w:rPr>
          <w:t xml:space="preserve">Table 4.4 Citation and verification metrics by baseline</w:t>
        </w:r>
      </w:hyperlink>
      <w:r>
        <w:rPr>
          <w:rFonts w:ascii="Times New Roman" w:hAnsi="Times New Roman" w:cs="Times New Roman"/>
          <w:sz w:val="22"/>
          <w:color w:val="000000"/>
          <w:u w:val="none"/>
        </w:rPr>
        <w:tab/>
        <w:t xml:space="preserve">21</w:t>
      </w:r>
    </w:p>
    <w:p>
      <w:pPr>
        <w:spacing w:line="288" w:lineRule="auto" w:before="0" w:after="40"/>
        <w:ind w:left="280"/>
        <w:jc w:val="both"/>
        <w:tabs>
          <w:tab w:val="right" w:leader="dot" w:pos="8420"/>
        </w:tabs>
      </w:pPr>
      <w:hyperlink w:anchor="tbl-4-5">
        <w:r>
          <w:rPr>
            <w:rFonts w:ascii="Times New Roman" w:hAnsi="Times New Roman" w:cs="Times New Roman"/>
            <w:sz w:val="22"/>
            <w:color w:val="000000"/>
            <w:u w:val="none"/>
          </w:rPr>
          <w:t xml:space="preserve">Table 4.5 Development-phase ablation evidence with final B3 reference row</w:t>
        </w:r>
      </w:hyperlink>
      <w:r>
        <w:rPr>
          <w:rFonts w:ascii="Times New Roman" w:hAnsi="Times New Roman" w:cs="Times New Roman"/>
          <w:sz w:val="22"/>
          <w:color w:val="000000"/>
          <w:u w:val="none"/>
        </w:rPr>
        <w:tab/>
        <w:t xml:space="preserve">22</w:t>
      </w:r>
    </w:p>
    <w:p>
      <w:pPr>
        <w:spacing w:line="288" w:lineRule="auto" w:before="0" w:after="40"/>
        <w:ind w:left="280"/>
        <w:jc w:val="both"/>
        <w:tabs>
          <w:tab w:val="right" w:leader="dot" w:pos="8420"/>
        </w:tabs>
      </w:pPr>
      <w:hyperlink w:anchor="tbl-4-6">
        <w:r>
          <w:rPr>
            <w:rFonts w:ascii="Times New Roman" w:hAnsi="Times New Roman" w:cs="Times New Roman"/>
            <w:sz w:val="22"/>
            <w:color w:val="000000"/>
            <w:u w:val="none"/>
          </w:rPr>
          <w:t xml:space="preserve">Table 4.6 Critic Mode pattern-level performance</w:t>
        </w:r>
      </w:hyperlink>
      <w:r>
        <w:rPr>
          <w:rFonts w:ascii="Times New Roman" w:hAnsi="Times New Roman" w:cs="Times New Roman"/>
          <w:sz w:val="22"/>
          <w:color w:val="000000"/>
          <w:u w:val="none"/>
        </w:rPr>
        <w:tab/>
        <w:t xml:space="preserve">23</w:t>
      </w:r>
    </w:p>
    <w:p>
      <w:pPr>
        <w:spacing w:line="288" w:lineRule="auto" w:before="0" w:after="40"/>
        <w:ind w:left="280"/>
        <w:jc w:val="both"/>
        <w:tabs>
          <w:tab w:val="right" w:leader="dot" w:pos="8420"/>
        </w:tabs>
      </w:pPr>
      <w:hyperlink w:anchor="tbl-4-7">
        <w:r>
          <w:rPr>
            <w:rFonts w:ascii="Times New Roman" w:hAnsi="Times New Roman" w:cs="Times New Roman"/>
            <w:sz w:val="22"/>
            <w:color w:val="000000"/>
            <w:u w:val="none"/>
          </w:rPr>
          <w:t xml:space="preserve">Table 4.7 Error taxonomy: B3 failure classification</w:t>
        </w:r>
      </w:hyperlink>
      <w:r>
        <w:rPr>
          <w:rFonts w:ascii="Times New Roman" w:hAnsi="Times New Roman" w:cs="Times New Roman"/>
          <w:sz w:val="22"/>
          <w:color w:val="000000"/>
          <w:u w:val="none"/>
        </w:rPr>
        <w:tab/>
        <w:t xml:space="preserve">24</w:t>
      </w:r>
    </w:p>
    <w:p>
      <w:pPr>
        <w:spacing w:line="288" w:lineRule="auto" w:before="0" w:after="40"/>
        <w:ind w:left="280"/>
        <w:jc w:val="both"/>
        <w:tabs>
          <w:tab w:val="right" w:leader="dot" w:pos="8420"/>
        </w:tabs>
      </w:pPr>
      <w:hyperlink w:anchor="tbl-4-8">
        <w:r>
          <w:rPr>
            <w:rFonts w:ascii="Times New Roman" w:hAnsi="Times New Roman" w:cs="Times New Roman"/>
            <w:sz w:val="22"/>
            <w:color w:val="000000"/>
            <w:u w:val="none"/>
          </w:rPr>
          <w:t xml:space="preserve">Table 4.8 End-to-end latency statistics by baseline</w:t>
        </w:r>
      </w:hyperlink>
      <w:r>
        <w:rPr>
          <w:rFonts w:ascii="Times New Roman" w:hAnsi="Times New Roman" w:cs="Times New Roman"/>
          <w:sz w:val="22"/>
          <w:color w:val="000000"/>
          <w:u w:val="none"/>
        </w:rPr>
        <w:tab/>
        <w:t xml:space="preserve">25</w:t>
      </w:r>
    </w:p>
    <w:p>
      <w:pPr>
        <w:spacing w:line="288" w:lineRule="auto" w:before="0" w:after="40"/>
        <w:ind w:left="280"/>
        <w:jc w:val="both"/>
        <w:tabs>
          <w:tab w:val="right" w:leader="dot" w:pos="8420"/>
        </w:tabs>
      </w:pPr>
      <w:hyperlink w:anchor="tbl-4-9">
        <w:r>
          <w:rPr>
            <w:rFonts w:ascii="Times New Roman" w:hAnsi="Times New Roman" w:cs="Times New Roman"/>
            <w:sz w:val="22"/>
            <w:color w:val="000000"/>
            <w:u w:val="none"/>
          </w:rPr>
          <w:t xml:space="preserve">Table 4.9 Independent reviewer evaluation: per-axis means and per-category breakdown</w:t>
        </w:r>
      </w:hyperlink>
      <w:r>
        <w:rPr>
          <w:rFonts w:ascii="Times New Roman" w:hAnsi="Times New Roman" w:cs="Times New Roman"/>
          <w:sz w:val="22"/>
          <w:color w:val="000000"/>
          <w:u w:val="none"/>
        </w:rPr>
        <w:tab/>
        <w:t xml:space="preserve">25</w:t>
      </w:r>
    </w:p>
    <w:p>
      <w:pPr>
        <w:spacing w:line="288" w:lineRule="auto" w:before="0" w:after="40"/>
        <w:ind w:left="280"/>
        <w:jc w:val="both"/>
        <w:tabs>
          <w:tab w:val="right" w:leader="dot" w:pos="8420"/>
        </w:tabs>
      </w:pPr>
      <w:hyperlink w:anchor="tbl-4-10">
        <w:r>
          <w:rPr>
            <w:rFonts w:ascii="Times New Roman" w:hAnsi="Times New Roman" w:cs="Times New Roman"/>
            <w:sz w:val="22"/>
            <w:color w:val="000000"/>
            <w:u w:val="none"/>
          </w:rPr>
          <w:t xml:space="preserve">Table 4.10 B3-Extractive: synthetic test split versus Public Guidance Transfer Stress Test</w:t>
        </w:r>
      </w:hyperlink>
      <w:r>
        <w:rPr>
          <w:rFonts w:ascii="Times New Roman" w:hAnsi="Times New Roman" w:cs="Times New Roman"/>
          <w:sz w:val="22"/>
          <w:color w:val="000000"/>
          <w:u w:val="none"/>
        </w:rPr>
        <w:tab/>
        <w:t xml:space="preserve">26</w:t>
      </w:r>
    </w:p>
    <w:p>
      <w:pPr>
        <w:spacing w:line="288" w:lineRule="auto" w:before="0" w:after="40"/>
        <w:ind w:left="280"/>
        <w:jc w:val="both"/>
        <w:tabs>
          <w:tab w:val="right" w:leader="dot" w:pos="8420"/>
        </w:tabs>
      </w:pPr>
      <w:hyperlink w:anchor="tbl-4-11">
        <w:r>
          <w:rPr>
            <w:rFonts w:ascii="Times New Roman" w:hAnsi="Times New Roman" w:cs="Times New Roman"/>
            <w:sz w:val="22"/>
            <w:color w:val="000000"/>
            <w:u w:val="none"/>
          </w:rPr>
          <w:t xml:space="preserve">Table 4.11 Bootstrapped 95% confidence intervals</w:t>
        </w:r>
      </w:hyperlink>
      <w:r>
        <w:rPr>
          <w:rFonts w:ascii="Times New Roman" w:hAnsi="Times New Roman" w:cs="Times New Roman"/>
          <w:sz w:val="22"/>
          <w:color w:val="000000"/>
          <w:u w:val="none"/>
        </w:rPr>
        <w:tab/>
        <w:t xml:space="preserve">27</w:t>
      </w:r>
    </w:p>
    <w:p>
      <w:pPr>
        <w:spacing w:line="288" w:lineRule="auto" w:before="0" w:after="40"/>
        <w:ind w:left="280"/>
        <w:jc w:val="both"/>
        <w:tabs>
          <w:tab w:val="right" w:leader="dot" w:pos="8420"/>
        </w:tabs>
      </w:pPr>
      <w:hyperlink w:anchor="tbl-4-12">
        <w:r>
          <w:rPr>
            <w:rFonts w:ascii="Times New Roman" w:hAnsi="Times New Roman" w:cs="Times New Roman"/>
            <w:sz w:val="22"/>
            <w:color w:val="000000"/>
            <w:u w:val="none"/>
          </w:rPr>
          <w:t xml:space="preserve">Table 4.12 Objective achievement summary (Chapter 4 §4.13)</w:t>
        </w:r>
      </w:hyperlink>
      <w:r>
        <w:rPr>
          <w:rFonts w:ascii="Times New Roman" w:hAnsi="Times New Roman" w:cs="Times New Roman"/>
          <w:sz w:val="22"/>
          <w:color w:val="000000"/>
          <w:u w:val="none"/>
        </w:rPr>
        <w:tab/>
        <w:t xml:space="preserve">27</w:t>
      </w:r>
    </w:p>
    <w:p>
      <w:pPr>
        <w:spacing w:line="288" w:lineRule="auto" w:before="0" w:after="40"/>
        <w:ind w:left="280"/>
        <w:jc w:val="both"/>
        <w:tabs>
          <w:tab w:val="right" w:leader="dot" w:pos="8420"/>
        </w:tabs>
      </w:pPr>
      <w:hyperlink w:anchor="tbl-b-1">
        <w:r>
          <w:rPr>
            <w:rFonts w:ascii="Times New Roman" w:hAnsi="Times New Roman" w:cs="Times New Roman"/>
            <w:sz w:val="22"/>
            <w:color w:val="000000"/>
            <w:u w:val="none"/>
          </w:rPr>
          <w:t xml:space="preserve">Table B.1 Comparative analysis of retrieval-augmented and grounded generation systems</w:t>
        </w:r>
      </w:hyperlink>
      <w:r>
        <w:rPr>
          <w:rFonts w:ascii="Times New Roman" w:hAnsi="Times New Roman" w:cs="Times New Roman"/>
          <w:sz w:val="22"/>
          <w:color w:val="000000"/>
          <w:u w:val="none"/>
        </w:rPr>
        <w:tab/>
        <w:t xml:space="preserve">49</w:t>
      </w:r>
    </w:p>
    <w:p>
      <w:pPr>
        <w:spacing w:line="288" w:lineRule="auto" w:before="0" w:after="40"/>
        <w:ind w:left="280"/>
        <w:jc w:val="both"/>
        <w:tabs>
          <w:tab w:val="right" w:leader="dot" w:pos="8420"/>
        </w:tabs>
      </w:pPr>
      <w:hyperlink w:anchor="tbl-b-2">
        <w:r>
          <w:rPr>
            <w:rFonts w:ascii="Times New Roman" w:hAnsi="Times New Roman" w:cs="Times New Roman"/>
            <w:sz w:val="22"/>
            <w:color w:val="000000"/>
            <w:u w:val="none"/>
          </w:rPr>
          <w:t xml:space="preserve">Table B.2 Testing and validation matrix: 39 test files; 194 collected tests (193 passed, 1 conditionally skipped)</w:t>
        </w:r>
      </w:hyperlink>
      <w:r>
        <w:rPr>
          <w:rFonts w:ascii="Times New Roman" w:hAnsi="Times New Roman" w:cs="Times New Roman"/>
          <w:sz w:val="22"/>
          <w:color w:val="000000"/>
          <w:u w:val="none"/>
        </w:rPr>
        <w:tab/>
        <w:t xml:space="preserve">50</w:t>
      </w:r>
    </w:p>
    <w:p>
      <w:pPr>
        <w:spacing w:line="288" w:lineRule="auto" w:before="0" w:after="40"/>
        <w:ind w:left="280"/>
        <w:jc w:val="both"/>
        <w:tabs>
          <w:tab w:val="right" w:leader="dot" w:pos="8420"/>
        </w:tabs>
      </w:pPr>
      <w:hyperlink w:anchor="tbl-b-3">
        <w:r>
          <w:rPr>
            <w:rFonts w:ascii="Times New Roman" w:hAnsi="Times New Roman" w:cs="Times New Roman"/>
            <w:sz w:val="22"/>
            <w:color w:val="000000"/>
            <w:u w:val="none"/>
          </w:rPr>
          <w:t xml:space="preserve">Table B.3 Per-participant rubric scores from the independent reviewer evaluation</w:t>
        </w:r>
      </w:hyperlink>
      <w:r>
        <w:rPr>
          <w:rFonts w:ascii="Times New Roman" w:hAnsi="Times New Roman" w:cs="Times New Roman"/>
          <w:sz w:val="22"/>
          <w:color w:val="000000"/>
          <w:u w:val="none"/>
        </w:rPr>
        <w:tab/>
        <w:t xml:space="preserve">52</w:t>
      </w:r>
    </w:p>
    <w:p>
      <w:pPr>
        <w:spacing w:line="288" w:lineRule="auto" w:before="0" w:after="40"/>
        <w:ind w:left="280"/>
        <w:jc w:val="both"/>
        <w:tabs>
          <w:tab w:val="right" w:leader="dot" w:pos="8420"/>
        </w:tabs>
      </w:pPr>
      <w:hyperlink w:anchor="tbl-b-4">
        <w:r>
          <w:rPr>
            <w:rFonts w:ascii="Times New Roman" w:hAnsi="Times New Roman" w:cs="Times New Roman"/>
            <w:sz w:val="22"/>
            <w:color w:val="000000"/>
            <w:u w:val="none"/>
          </w:rPr>
          <w:t xml:space="preserve">Table B.4 Round 2 inter-rater agreement (Krippendorff alpha)</w:t>
        </w:r>
      </w:hyperlink>
      <w:r>
        <w:rPr>
          <w:rFonts w:ascii="Times New Roman" w:hAnsi="Times New Roman" w:cs="Times New Roman"/>
          <w:sz w:val="22"/>
          <w:color w:val="000000"/>
          <w:u w:val="none"/>
        </w:rPr>
        <w:tab/>
        <w:t xml:space="preserve">54</w:t>
      </w:r>
    </w:p>
    <w:p>
      <w:pPr>
        <w:spacing w:line="288" w:lineRule="auto" w:before="0" w:after="40"/>
        <w:ind w:left="280"/>
        <w:jc w:val="both"/>
        <w:tabs>
          <w:tab w:val="right" w:leader="dot" w:pos="8420"/>
        </w:tabs>
      </w:pPr>
      <w:hyperlink w:anchor="tbl-b-5">
        <w:r>
          <w:rPr>
            <w:rFonts w:ascii="Times New Roman" w:hAnsi="Times New Roman" w:cs="Times New Roman"/>
            <w:sz w:val="22"/>
            <w:color w:val="000000"/>
            <w:u w:val="none"/>
          </w:rPr>
          <w:t xml:space="preserve">Table B.5 Public Guidance Transfer Corpus provenance</w:t>
        </w:r>
      </w:hyperlink>
      <w:r>
        <w:rPr>
          <w:rFonts w:ascii="Times New Roman" w:hAnsi="Times New Roman" w:cs="Times New Roman"/>
          <w:sz w:val="22"/>
          <w:color w:val="000000"/>
          <w:u w:val="none"/>
        </w:rPr>
        <w:tab/>
        <w:t xml:space="preserve">55</w:t>
      </w:r>
    </w:p>
    <w:p>
      <w:pPr>
        <w:spacing w:line="288" w:lineRule="auto" w:before="0" w:after="40"/>
        <w:ind w:left="280"/>
        <w:jc w:val="both"/>
        <w:tabs>
          <w:tab w:val="right" w:leader="dot" w:pos="8420"/>
        </w:tabs>
        <w:sectPr>
          <w:headerReference w:type="default" r:id="rId9"/>
          <w:pgSz w:w="11906" w:h="16838"/>
          <w:pgMar w:top="1417" w:right="1417" w:bottom="1417" w:left="1417" w:header="708" w:footer="708" w:gutter="0"/>
          <w:pgNumType w:fmt="lowerRoman" w:start="1"/>
          <w:type w:val="nextPage"/>
        </w:sectPr>
      </w:pPr>
      <w:hyperlink w:anchor="tbl-b-6">
        <w:r>
          <w:rPr>
            <w:rFonts w:ascii="Times New Roman" w:hAnsi="Times New Roman" w:cs="Times New Roman"/>
            <w:sz w:val="22"/>
            <w:color w:val="000000"/>
            <w:u w:val="none"/>
          </w:rPr>
          <w:t xml:space="preserve">Table B.6 Adversarial probe results, paired across modes</w:t>
        </w:r>
      </w:hyperlink>
      <w:r>
        <w:rPr>
          <w:rFonts w:ascii="Times New Roman" w:hAnsi="Times New Roman" w:cs="Times New Roman"/>
          <w:sz w:val="22"/>
          <w:color w:val="000000"/>
          <w:u w:val="none"/>
        </w:rPr>
        <w:tab/>
        <w:t xml:space="preserve">56</w:t>
      </w:r>
    </w:p>
    <w:bookmarkEnd w:id="39"/>
    <w:bookmarkStart w:id="51" w:name="Xdec3148e2b27743a21167d1a64790a47d9bae32"/>
    <w:p>
      <w:pPr>
        <w:pStyle w:val="Heading1"/>
        <w:pageBreakBefore/>
      </w:pPr>
      <w:r>
        <w:t xml:space="preserve">Chapter 1 Introduction and Background Research</w:t>
      </w:r>
    </w:p>
    <w:bookmarkStart w:id="40" w:name="introduction"/>
    <w:p>
      <w:pPr>
        <w:pStyle w:val="Heading2"/>
      </w:pPr>
      <w:r>
        <w:t xml:space="preserve">1.1 Introduction</w:t>
      </w:r>
    </w:p>
    <w:p>
      <w:pPr>
        <w:jc w:val="both"/>
      </w:pPr>
      <w:r>
        <w:t xml:space="preserve">Organisations rely on internal policy documents (handbooks, IT security addenda, data-protection guidelines) to govern day-to-day decisions, but answering even simple questions (</w:t>
      </w:r>
      <w:r>
        <w:t xml:space="preserve">“how many remote-work days am I entitled to?”</w:t>
      </w:r>
      <w:r>
        <w:t xml:space="preserve">,</w:t>
      </w:r>
      <w:r>
        <w:t xml:space="preserve"> </w:t>
      </w:r>
      <w:r>
        <w:t xml:space="preserve">“how often must passwords be rotated?”</w:t>
      </w:r>
      <w:r>
        <w:t xml:space="preserve">) typically requires scanning long PDFs by hand. Large Language Models can produce fluent answers to such questions, but they will also produce confident-sounding answers with no traceable link to a source paragraph. Hallucination is well documented (Ji et al., 2023; Huang et al., 2023). In a compliance setting, a wrong answer presented confidently can cause real harm: policy is misinterpreted, downstream decisions follow the wrong text, and disputes arise that a direct reading of the source would have prevented.</w:t>
      </w:r>
    </w:p>
    <w:p>
      <w:pPr>
        <w:jc w:val="both"/>
      </w:pPr>
      <w:r>
        <w:t xml:space="preserve">Retrieval-Augmented Generation (RAG) is the dominant mitigation strategy. By prefixing generation with explicit evidence retrieval, RAG constrains output to retrieved passages (Lewis et al., 2020). Standard RAG, however, does not actually force the model to use the retrieved evidence, and does not give it a way to say it does not know. Parallel work on selective prediction and abstention (Kamath et al., 2020; Chen et al., 2023) studies when models should refuse, but largely on open-domain benchmarks rather than restricted enterprise corpora. The core research question is therefore:</w:t>
      </w:r>
    </w:p>
    <w:p>
      <w:pPr>
        <w:jc w:val="both"/>
      </w:pPr>
      <w:r>
        <w:t xml:space="preserve">Can a question-answering system over organisational policy documents be made reliably grounded in source evidence, with every claim traceable to a specific paragraph, while also knowing when to remain silent rather than risk fabrication?</w:t>
      </w:r>
    </w:p>
    <w:bookmarkEnd w:id="40"/>
    <w:bookmarkStart w:id="41" w:name="aims-and-objectives"/>
    <w:p>
      <w:pPr>
        <w:pStyle w:val="Heading2"/>
      </w:pPr>
      <w:r>
        <w:t xml:space="preserve">1.2 Aims and Objectives</w:t>
      </w:r>
    </w:p>
    <w:p>
      <w:pPr>
        <w:jc w:val="both"/>
      </w:pPr>
      <w:r>
        <w:t xml:space="preserve">The aim of this project is to design, implement, and evaluate an Audit-Ready Retrieval-Augmented Generation system for organisational policy documents that enforces a strict</w:t>
      </w:r>
      <w:r>
        <w:t xml:space="preserve"> </w:t>
      </w:r>
      <w:r>
        <w:t xml:space="preserve">“cited or silent”</w:t>
      </w:r>
      <w:r>
        <w:t xml:space="preserve"> </w:t>
      </w:r>
      <w:r>
        <w:t xml:space="preserve">rule.</w:t>
      </w:r>
    </w:p>
    <w:p>
      <w:pPr>
        <w:jc w:val="both"/>
      </w:pPr>
      <w:r>
        <w:t xml:space="preserve">Objectives:</w:t>
      </w:r>
      <w:r>
        <w:t xml:space="preserve"> </w:t>
      </w:r>
      <w:r>
        <w:t xml:space="preserve">1. Build a multi-stage RAG pipeline that answers only when supported by paragraph-level citations (Target: ungrounded claim rate ≤ 5%).</w:t>
      </w:r>
      <w:r>
        <w:t xml:space="preserve"> </w:t>
      </w:r>
      <w:r>
        <w:t xml:space="preserve">2. Implement deterministic abstention via cross-encoder confidence and token-overlap thresholds (Target: abstention accuracy ≥ 80% on unanswerable queries).</w:t>
      </w:r>
      <w:r>
        <w:t xml:space="preserve"> </w:t>
      </w:r>
      <w:r>
        <w:t xml:space="preserve">3. Achieve high retrieval precision through dense bi-encoder retrieval and cross-encoder reranking (Target: Evidence Recall@5 ≥ 80%).</w:t>
      </w:r>
      <w:r>
        <w:t xml:space="preserve"> </w:t>
      </w:r>
      <w:r>
        <w:t xml:space="preserve">4. Detect and surface contradictions between policy documents.</w:t>
      </w:r>
      <w:r>
        <w:t xml:space="preserve"> </w:t>
      </w:r>
      <w:r>
        <w:t xml:space="preserve">5. Develop a heuristic Critic Mode to audit policy text for vague quantifiers and implicit contradictions.</w:t>
      </w:r>
      <w:r>
        <w:t xml:space="preserve"> </w:t>
      </w:r>
      <w:r>
        <w:t xml:space="preserve">6. Evaluate rigorously using a curated golden set with automated metrics, ablation studies, and a comparison of generative and extractive (LLM-free) modes.</w:t>
      </w:r>
    </w:p>
    <w:p>
      <w:pPr>
        <w:jc w:val="both"/>
      </w:pPr>
      <w:r>
        <w:t xml:space="preserve">Each objective maps to a specific metric and acceptance test defined in Chapter 2.</w:t>
      </w:r>
    </w:p>
    <w:bookmarkEnd w:id="41"/>
    <w:bookmarkStart w:id="42" w:name="systematic-search-strategy"/>
    <w:p>
      <w:pPr>
        <w:pStyle w:val="Heading2"/>
      </w:pPr>
      <w:r>
        <w:t xml:space="preserve">1.3 Systematic Search Strategy</w:t>
      </w:r>
    </w:p>
    <w:p>
      <w:pPr>
        <w:jc w:val="both"/>
      </w:pPr>
      <w:r>
        <w:t xml:space="preserve">I ran a structured literature search between November 2025 and January 2026 across Google Scholar, ACM Digital Library, IEEE Xplore, and arXiv, guided by the PRISMA 2020 framework (Page et al., 2021). Boolean queries combined four keyword clusters: core technique (RAG, grounded generation), reliability (hallucination, citation verification, abstention), domain (policy QA, legal NLP, closed-domain), and evaluation (RAGAS, faithfulness, LLM-as-judge).</w:t>
      </w:r>
    </w:p>
    <w:p>
      <w:pPr>
        <w:jc w:val="both"/>
      </w:pPr>
      <w:r>
        <w:t xml:space="preserve">Inclusion / Exclusion Criteria:</w:t>
      </w:r>
    </w:p>
    <w:tbl>
      <w:tblPr>
        <w:tblStyle w:val="TableGrid"/>
        <w:tblW w:type="pct" w:w="5000"/>
        <w:jc w:val="center"/>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640"/>
        <w:gridCol w:w="2640"/>
        <w:gridCol w:w="264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Criterion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Inclusion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Exclusion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Date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2018-2026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Pre-2018 unless foundational</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Venue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Peer-reviewed or established preprint (core review); standards/practitioner reports as contextual sources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Blog posts, SEO content, white papers without methodology</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Empirical content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Quantitative evaluation or formal analysis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Purely opinion-based</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Relevance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Grounding, verification, abstention in generative QA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Generic LLM surveys without RAG focus</w:t>
            </w:r>
          </w:p>
        </w:tc>
      </w:tr>
    </w:tbl>
    <w:p>
      <w:pPr>
        <w:jc w:val="both"/>
      </w:pPr>
      <w:r>
        <w:t xml:space="preserve">PRISMA flow: 584 records identified, 112 duplicates removed, 472 screened, 318 excluded at title/abstract, 154 full-text assessed, 116 excluded, leaving 38 included (Figure 1.1).</w:t>
      </w:r>
    </w:p>
    <w:p>
      <w:pPr>
        <w:spacing w:before="40" w:after="0"/>
        <w:jc w:val="center"/>
      </w:pPr>
      <w:r>
        <w:drawing>
          <wp:inline>
            <wp:extent cx="3200400" cy="4168959"/>
            <wp:docPr id="2" name="Picture 2"/>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200400" cy="4168959"/>
                    </a:xfrm>
                    <a:prstGeom prst="rect"/>
                  </pic:spPr>
                </pic:pic>
              </a:graphicData>
            </a:graphic>
          </wp:inline>
        </w:drawing>
      </w:r>
    </w:p>
    <w:p>
      <w:pPr>
        <w:spacing w:before="0" w:after="80"/>
        <w:jc w:val="center"/>
      </w:pPr>
      <w:r>
        <w:rPr>
          <w:i/>
          <w:iCs/>
          <w:sz w:val="20"/>
        </w:rPr>
        <w:t xml:space="preserve">Figure 1.1: PRISMA 2020 flow diagram, 584 identified records narrowed to 38 included studies.</w:t>
      </w:r>
    </w:p>
    <w:p>
      <w:pPr>
        <w:jc w:val="both"/>
      </w:pPr>
      <w:r>
        <w:t xml:space="preserve">The 38 studies form the core literature review. A broader research pack (</w:t>
      </w:r>
      <w:r>
        <w:rPr>
          <w:rStyle w:val="VerbatimChar"/>
        </w:rPr>
        <w:t xml:space="preserve">docs/research/literature_matrix.md</w:t>
      </w:r>
      <w:r>
        <w:t xml:space="preserve">) catalogues 105 sources in total: the 38 core papers plus 67 additional sources from backward / forward citation chaining, standards, and contextual references. These extra sources support the wider methodology and LSEP discussion without forming part of the formal PRISMA core.</w:t>
      </w:r>
    </w:p>
    <w:bookmarkEnd w:id="42"/>
    <w:bookmarkStart w:id="43" w:name="retrieval-augmented-generation"/>
    <w:p>
      <w:pPr>
        <w:pStyle w:val="Heading2"/>
      </w:pPr>
      <w:r>
        <w:t xml:space="preserve">1.4 Retrieval-Augmented Generation</w:t>
      </w:r>
    </w:p>
    <w:p>
      <w:pPr>
        <w:jc w:val="both"/>
      </w:pPr>
      <w:r>
        <w:t xml:space="preserve">Lewis et al. (2020) formalised RAG as coupling a non-parametric retrieval memory with a parametric generative model. A dense passage retriever (DPR; Karpukhin et al., 2020) identifies relevant documents from a corpus and concatenates them into the model’s input context, with FAISS providing tractable approximate nearest-neighbour search at scale (Johnson, Douze and Jégou, 2019). The architecture provides, in principle, a traceable link between answer and source, but in practice that link is fragile: Gao et al. (2023) observe that models frequently ignore retrieved context when it conflicts with parametric beliefs (the</w:t>
      </w:r>
      <w:r>
        <w:t xml:space="preserve"> </w:t>
      </w:r>
      <w:r>
        <w:t xml:space="preserve">“faithfulness gap”</w:t>
      </w:r>
      <w:r>
        <w:t xml:space="preserve">), and Cuconasu et al. (2024) demonstrate that injecting irrelevant noise can paradoxically improve answer quality, indicating that the retrieval / generation relationship is more complex than early work assumed. RAG provides the architectural skeleton; it does not, on its own, guarantee that generated text faithfully reflects retrieved evidence.</w:t>
      </w:r>
    </w:p>
    <w:bookmarkEnd w:id="43"/>
    <w:bookmarkStart w:id="44" w:name="X8a87b1766c55b9701083f68ddacb3d7924ae1d5"/>
    <w:p>
      <w:pPr>
        <w:pStyle w:val="Heading2"/>
      </w:pPr>
      <w:r>
        <w:t xml:space="preserve">1.5 Hallucination, Attribution, and Post-Hoc Verification</w:t>
      </w:r>
    </w:p>
    <w:p>
      <w:pPr>
        <w:jc w:val="both"/>
      </w:pPr>
      <w:r>
        <w:t xml:space="preserve">Ji et al. (2023) distinguish intrinsic hallucination (output contradicts source) from extrinsic hallucination (output makes claims not supported by any source) and identify it as the primary barrier to deploying generative models in high-stakes contexts. Huang et al. (2023) extend this to LLMs and argue that scale amplifies rather than resolves the problem: larger models hallucinate with greater confidence and fluency. Mitigation strategies divide into three families. Training-based attribution (Bohnet et al., 2022) trains the model to produce inline citations but requires large supervised datasets and produces generated rather than verified citations; Wallat et al. (2024) further distinguish citation correctness from citation faithfulness, a distinction that matters in audit-critical environments. Post-hoc editing (Gao et al., 2023, RARR) revises unsupported claims via additional LLM passes, at high computational cost and with its own hallucination risk; Yue et al. (2023) note that LLM-judge evaluation introduces circularity when judge and generator share architecture or biases. Self-reflective generation (Asai et al., 2024, Self-RAG) instruction-tunes the LLM to emit reflection tokens that control retrieval and quality, but the resulting model is brittle and architecture-specific. None of these paradigms satisfies the requirements of a deterministic, auditable compliance tool; the approach taken here is instead a lightweight, heuristic verification layer applied after generation, using token-overlap rather than learned models, and revisited in Section 4.7.</w:t>
      </w:r>
    </w:p>
    <w:bookmarkEnd w:id="44"/>
    <w:bookmarkStart w:id="45" w:name="Xc7caeabd380139febf70e34f46b6bbe65817dda"/>
    <w:p>
      <w:pPr>
        <w:pStyle w:val="Heading2"/>
      </w:pPr>
      <w:r>
        <w:t xml:space="preserve">1.6 Information Retrieval: Dense Retrieval and Cross-Encoder Reranking</w:t>
      </w:r>
    </w:p>
    <w:p>
      <w:pPr>
        <w:jc w:val="both"/>
      </w:pPr>
      <w:r>
        <w:t xml:space="preserve">Retrieval quality bounds RAG quality: if the correct paragraph is not retrieved, no generation step can recover. Barnett et al. (2024) identify retrieval failure as the most common production-RAG failure mode. The two complementary primitives are bi-encoders, which independently encode queries and documents into a shared vector space and support fast nearest-neighbour search, and cross-encoders (Nogueira and Cho, 2019), which encode query and document jointly to produce more precise relevance scores at higher latency. Lin et al. (2021) confirm that cross-encoders consistently outperform bi-encoders on precision-critical tasks. The standard resolution, and the one adopted here, is a two-stage retrieve-and-rerank pipeline: bi-encoder retrieval over the corpus, then cross-encoder reranking of a small candidate set (Nogueira and Cho, 2019; Lin et al., 2021). For closed enterprise corpora of the size used here (under 2,000 paragraphs) the cross-encoder cost is bounded and acceptable. ColBERT’s late-interaction approach (Khattab and Zaharia, 2020) achieves near-cross-encoder precision at bi-encoder speed but requires materialising token-level embeddings, an overhead not justified for stable policy corpora.</w:t>
      </w:r>
    </w:p>
    <w:bookmarkEnd w:id="45"/>
    <w:bookmarkStart w:id="46" w:name="nlp-in-legal-and-policy-domains"/>
    <w:p>
      <w:pPr>
        <w:pStyle w:val="Heading2"/>
      </w:pPr>
      <w:r>
        <w:t xml:space="preserve">1.7 NLP in Legal and Policy Domains</w:t>
      </w:r>
    </w:p>
    <w:p>
      <w:pPr>
        <w:jc w:val="both"/>
      </w:pPr>
      <w:r>
        <w:t xml:space="preserve">Policy QA straddles but is not fully served by legal NLP. Zhong et al. (2020) survey legal NLP tasks (judgement prediction, statute retrieval, contract analysis) and observe that the field largely focuses on classification and retrieval rather than the kind of grounded, citation-verified question-answering required here. Chalkidis et al. (2020) demonstrate with LEGAL-BERT that domain-specific pre-training improves legal text classification. Guha et al. (2023) introduce LegalBench (162 reasoning tasks), revealing that GPT-4 handles issue-spotting well but struggles with multi-step reasoning. Katz et al. (2024) confirm a similar pattern on the Uniform Bar Examination.</w:t>
      </w:r>
    </w:p>
    <w:p>
      <w:pPr>
        <w:jc w:val="both"/>
      </w:pPr>
      <w:r>
        <w:t xml:space="preserve">Organisational policies differ from legal statutes: they are shorter, less formally structured, and more frequently updated. They also exhibit a distinctive failure mode that the legal NLP literature rarely addresses, namely intra-corpus contradiction, where a group-level policy and a local addendum impose conflicting standards.</w:t>
      </w:r>
    </w:p>
    <w:bookmarkEnd w:id="46"/>
    <w:bookmarkStart w:id="47" w:name="selective-prediction-and-abstention"/>
    <w:p>
      <w:pPr>
        <w:pStyle w:val="Heading2"/>
      </w:pPr>
      <w:r>
        <w:t xml:space="preserve">1.8 Selective Prediction and Abstention</w:t>
      </w:r>
    </w:p>
    <w:p>
      <w:pPr>
        <w:jc w:val="both"/>
      </w:pPr>
      <w:r>
        <w:t xml:space="preserve">A system that answers every query inevitably produces hallucinations. Selective prediction offers an alternative: the model abstains when confidence falls below threshold. Kamath et al. (2020) show that calibrated confidence scores can identify queries where performance is likely poor, increasing reliability by concentrating output on high-confidence regions. Kadavath et al. (2022) probe whether LLMs</w:t>
      </w:r>
      <w:r>
        <w:t xml:space="preserve"> </w:t>
      </w:r>
      <w:r>
        <w:t xml:space="preserve">“know what they know”</w:t>
      </w:r>
      <w:r>
        <w:t xml:space="preserve"> </w:t>
      </w:r>
      <w:r>
        <w:t xml:space="preserve">by examining probability / accuracy correspondence and find that larger models calibrate better, but with substantial domain variation. Chen et al. (2023, ASPIRE) fine-tune for explicit self-evaluation scores; Yin et al. (2023) confirm that models exhibit partial self-knowledge that degrades on out-of-distribution queries; Ren et al. (2023) find retrieval augmentation improves but does not eliminate the factual boundary.</w:t>
      </w:r>
    </w:p>
    <w:p>
      <w:pPr>
        <w:jc w:val="both"/>
      </w:pPr>
      <w:r>
        <w:t xml:space="preserve">For Policy Copilot, abstention is implemented through cross-encoder confidence scoring and heuristic claim-level verification rather than model self-evaluation, which would introduce non-determinism. If the reranker’s top score falls below a tuned threshold the LLM is not invoked. If generated claims fail token-overlap verification they are excised. The design trades sophistication for auditability and determinism.</w:t>
      </w:r>
    </w:p>
    <w:bookmarkEnd w:id="47"/>
    <w:bookmarkStart w:id="48" w:name="Xadb554a0a766e2b8933507397ef2729e007aea4"/>
    <w:p>
      <w:pPr>
        <w:pStyle w:val="Heading2"/>
      </w:pPr>
      <w:r>
        <w:t xml:space="preserve">1.9 Evaluation Frameworks for Retrieval-Augmented Generation</w:t>
      </w:r>
    </w:p>
    <w:p>
      <w:pPr>
        <w:jc w:val="both"/>
      </w:pPr>
      <w:r>
        <w:t xml:space="preserve">Es et al. (2023) introduce RAGAS, decomposing RAG evaluation into Faithfulness, Answer Relevance, and Context Relevance, each scored by LLM judges. Saad-Falcon et al. (2023, ARES) add confidence intervals and statistical testing. Zheng et al. (2024) document three systematic biases in LLM-as-Judge: position bias, verbosity bias, and self-enhancement bias, all particularly risky when judge and generator share architecture. Penzkofer and Baumann (2024, RAGE) define Citation-Precision (fraction of citations that support their claim) and Citation-Recall (fraction of claims that should be cited and are). These map directly to the</w:t>
      </w:r>
      <w:r>
        <w:t xml:space="preserve"> </w:t>
      </w:r>
      <w:r>
        <w:t xml:space="preserve">“cited or silent”</w:t>
      </w:r>
      <w:r>
        <w:t xml:space="preserve"> </w:t>
      </w:r>
      <w:r>
        <w:t xml:space="preserve">rule.</w:t>
      </w:r>
    </w:p>
    <w:p>
      <w:pPr>
        <w:jc w:val="both"/>
      </w:pPr>
      <w:r>
        <w:t xml:space="preserve">The evaluation strategy adopted for Policy Copilot is deliberately hybrid. Automated metrics (Answer Rate, Abstention Accuracy, Ungrounded Rate, Evidence Recall@5) form the quantitative backbone, supplemented by qualitative error analysis. LLM-as-judge is avoided for the primary evaluation because of the documented biases and a decision to keep evaluation reproducible and independently auditable.</w:t>
      </w:r>
    </w:p>
    <w:bookmarkEnd w:id="48"/>
    <w:bookmarkStart w:id="49" w:name="comparative-analysis-of-existing-systems"/>
    <w:p>
      <w:pPr>
        <w:pStyle w:val="Heading2"/>
      </w:pPr>
      <w:r>
        <w:t xml:space="preserve">1.10 Comparative Analysis of Existing Systems</w:t>
      </w:r>
    </w:p>
    <w:p>
      <w:pPr>
        <w:jc w:val="both"/>
      </w:pPr>
      <w:r>
        <w:t xml:space="preserve">Table B.1 in Appendix B.8 puts Policy Copilot side-by-side with the main retrieval-augmented and grounded-generation systems I read about, on five dimensions: domain, grounding mechanism, abstention handling, key limitation, and relevance. Two patterns came out of the comparison. Most systems target open-domain corpora where the priority is answering as many questions as possible, even when answers are sometimes wrong (Standard RAG, DPR, FreshLLMs); the systems that do refuse when evidence is weak (Self-RAG, ASPIRE) decide when to refuse using a learned model, which is expensive to retrain for a new corpus. What I did not find was a system that combines rule-based grounding checks with explicit refusal over a small, closed corpus — the configuration this project targets. Policy Copilot fills that gap by pairing deterministic Jaccard token overlap with cross-encoder confidence gating and per-claim pruning over a closed policy corpus.</w:t>
      </w:r>
    </w:p>
    <w:bookmarkEnd w:id="49"/>
    <w:bookmarkStart w:id="50" w:name="gap-analysis-and-project-rationale"/>
    <w:p>
      <w:pPr>
        <w:pStyle w:val="Heading2"/>
      </w:pPr>
      <w:r>
        <w:t xml:space="preserve">1.11 Gap Analysis and Project Rationale</w:t>
      </w:r>
    </w:p>
    <w:p>
      <w:pPr>
        <w:jc w:val="both"/>
      </w:pPr>
      <w:r>
        <w:t xml:space="preserve">The literature points to a clear gap. On the generation side, the main techniques for cutting hallucinations (Attributed QA, RARR, Self-RAG) are built for open-domain benchmarks, need expensive fine-tuning or several LLM calls per query, and aim to answer as many questions as possible rather than refuse when evidence is weak; for a compliance use-case that priority is the wrong way round. On the evaluation side, LLM-as-judge frameworks (RAGAS, RAGE) suffer from the documented position, verbosity, and self-enhancement biases (Zheng et al., 2024), and Wallat et al. (2024) show that citation correctness and faithfulness are not the same property. On the retrieval side, two-stage retrieve-and-rerank is well established but typically deployed at web scale where cross-encoder latency hurts (Nogueira and Cho, 2019; Lin et al., 2021); for a closed corpus under 2,000 paragraphs that latency constraint largely goes away, and paragraph-level chunking performs about as well as more expensive semantic chunking on policy documents (Qu, Bao and Tu, 2024).</w:t>
      </w:r>
    </w:p>
    <w:p>
      <w:pPr>
        <w:jc w:val="both"/>
      </w:pPr>
      <w:r>
        <w:t xml:space="preserve">Taken together these observations point to a less-explored combination: a closed-domain RAG system that uses rule-based grounding checks and refuses by default, optimised for precision over recall. Policy Copilot is built into that combination. It abstains before generation when reranker confidence is too low, and removes any claim whose citation fails token-overlap verification. The</w:t>
      </w:r>
      <w:r>
        <w:t xml:space="preserve"> </w:t>
      </w:r>
      <w:r>
        <w:t xml:space="preserve">“cited or silent”</w:t>
      </w:r>
      <w:r>
        <w:t xml:space="preserve"> </w:t>
      </w:r>
      <w:r>
        <w:t xml:space="preserve">rule that results was, across the literature I reviewed, not empirically evaluated on a bounded enterprise policy corpus in this exact configuration. The contribution is therefore not RAG itself, nor an evaluation framework in the LangSmith or RAGAS sense, but the end-to-end system design that treats grounding, abstention, citation verification, and audit traceability as part of the contract the system is being designed against, rather than as features added once a working answer pipeline already exists.</w:t>
      </w:r>
    </w:p>
    <w:p>
      <w:pPr>
        <w:jc w:val="both"/>
      </w:pPr>
      <w:r>
        <w:pict>
          <v:rect style="width:0;height:1.5pt" o:hralign="center" o:hrstd="t" o:hr="t"/>
        </w:pict>
      </w:r>
    </w:p>
    <w:bookmarkEnd w:id="50"/>
    <w:bookmarkEnd w:id="51"/>
    <w:bookmarkStart w:id="59" w:name="chapter-2-methodology"/>
    <w:p>
      <w:pPr>
        <w:pStyle w:val="Heading1"/>
      </w:pPr>
      <w:r>
        <w:t xml:space="preserve">Chapter 2 Methodology</w:t>
      </w:r>
    </w:p>
    <w:bookmarkStart w:id="52" w:name="development-process"/>
    <w:p>
      <w:pPr>
        <w:pStyle w:val="Heading2"/>
      </w:pPr>
      <w:r>
        <w:t xml:space="preserve">2.1 Development Process</w:t>
      </w:r>
    </w:p>
    <w:p>
      <w:pPr>
        <w:jc w:val="both"/>
      </w:pPr>
      <w:r>
        <w:t xml:space="preserve">Development followed a sprint-based methodology adapted from agile principles for a single-developer research project. I ran six sprints across Weeks 1 to 22 of the project’s core implementation phase, each targeting a self-contained architectural component:</w:t>
      </w:r>
    </w:p>
    <w:p>
      <w:pPr>
        <w:numPr>
          <w:ilvl w:val="0"/>
          <w:numId w:val="1011"/>
        </w:numPr>
        <w:jc w:val="both"/>
      </w:pPr>
      <w:r>
        <w:t xml:space="preserve">Sprint 1, Corpus Engineering (Weeks 1 to 3): synthetic policy documents (Employee Handbook, IT Security Addendum, Physical Security Protocol), PDF ingestion pipeline, and stable identifier scheme.</w:t>
      </w:r>
    </w:p>
    <w:p>
      <w:pPr>
        <w:numPr>
          <w:ilvl w:val="0"/>
          <w:numId w:val="1011"/>
        </w:numPr>
        <w:jc w:val="both"/>
      </w:pPr>
      <w:r>
        <w:t xml:space="preserve">Sprint 2, Retrieval Pipeline (Weeks 4 to 6): FAISS-backed dense retrieval using Sentence-Transformers. Deliverable: a functional retriever returning top-k candidates.</w:t>
      </w:r>
    </w:p>
    <w:p>
      <w:pPr>
        <w:numPr>
          <w:ilvl w:val="0"/>
          <w:numId w:val="1011"/>
        </w:numPr>
        <w:jc w:val="both"/>
      </w:pPr>
      <w:r>
        <w:t xml:space="preserve">Sprint 3, Generative Pipeline (Weeks 7 to 9): LLM integration (OpenAI API) with Pydantic-enforced JSON schema. Deliverable: B2 (Naive RAG) baseline.</w:t>
      </w:r>
    </w:p>
    <w:p>
      <w:pPr>
        <w:numPr>
          <w:ilvl w:val="0"/>
          <w:numId w:val="1011"/>
        </w:numPr>
        <w:jc w:val="both"/>
      </w:pPr>
      <w:r>
        <w:t xml:space="preserve">Sprint 4, Reliability Layers (Weeks 10 to 14): cross-encoder reranking, abstention gate, per-claim verification, contradiction detection. This sprint produced the core B3 system.</w:t>
      </w:r>
    </w:p>
    <w:p>
      <w:pPr>
        <w:numPr>
          <w:ilvl w:val="0"/>
          <w:numId w:val="1011"/>
        </w:numPr>
        <w:jc w:val="both"/>
      </w:pPr>
      <w:r>
        <w:t xml:space="preserve">Sprint 5, Critic Mode (Weeks 15 to 17): heuristic policy auditor for vague quantifiers, implicit contradictions, and ambiguous directives.</w:t>
      </w:r>
    </w:p>
    <w:p>
      <w:pPr>
        <w:numPr>
          <w:ilvl w:val="0"/>
          <w:numId w:val="1011"/>
        </w:numPr>
        <w:jc w:val="both"/>
      </w:pPr>
      <w:r>
        <w:t xml:space="preserve">Sprint 6, Evaluation Harness (Weeks 18 to 22): 63-query golden set, extractive fallback mode, all baselines and ablations, and the results that feed Chapter 4.</w:t>
      </w:r>
    </w:p>
    <w:p>
      <w:pPr>
        <w:spacing w:before="40" w:after="0"/>
        <w:jc w:val="center"/>
      </w:pPr>
      <w:r>
        <w:drawing>
          <wp:inline>
            <wp:extent cx="4114800" cy="1739114"/>
            <wp:docPr id="3" name="Picture 3"/>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4114800" cy="1739114"/>
                    </a:xfrm>
                    <a:prstGeom prst="rect"/>
                  </pic:spPr>
                </pic:pic>
              </a:graphicData>
            </a:graphic>
          </wp:inline>
        </w:drawing>
      </w:r>
    </w:p>
    <w:p>
      <w:pPr>
        <w:spacing w:before="0" w:after="80"/>
        <w:jc w:val="center"/>
      </w:pPr>
      <w:r>
        <w:rPr>
          <w:i/>
          <w:iCs/>
          <w:sz w:val="20"/>
        </w:rPr>
        <w:t xml:space="preserve">Figure 2.1: Gantt chart of the six-sprint development timeline (Weeks 1 to 22, November 2025 to April 2026). Report writing, documentation hardening, and evaluation refinement ran in parallel with the later sprints and continued through the April 2026 submission window.</w:t>
      </w:r>
    </w:p>
    <w:p>
      <w:pPr>
        <w:jc w:val="both"/>
      </w:pPr>
      <w:r>
        <w:t xml:space="preserve">Version control used a GitHub repository with a branch-per-sprint strategy. The final history contains over 200 commits spanning the full project lifecycle, providing a verifiable development timeline. The six implementation sprints (S1 to S6) ran from November 2025 to early April 2026; the final weeks before the 30 April 2026 submission focused on report writing, documentation hardening, evaluation refinement, and final package preparation rather than new implementation work.</w:t>
      </w:r>
    </w:p>
    <w:bookmarkEnd w:id="52"/>
    <w:bookmarkStart w:id="53" w:name="requirements-analysis"/>
    <w:p>
      <w:pPr>
        <w:pStyle w:val="Heading2"/>
      </w:pPr>
      <w:r>
        <w:t xml:space="preserve">2.2 Requirements Analysis</w:t>
      </w:r>
    </w:p>
    <w:p>
      <w:pPr>
        <w:jc w:val="both"/>
      </w:pPr>
      <w:r>
        <w:t xml:space="preserve">Requirements were derived from the research objectives (Section 1.2) and the gap analysis (Section 1.11). I formulated each as a testable contract with explicit acceptance criteria.</w:t>
      </w:r>
    </w:p>
    <w:p>
      <w:pPr>
        <w:jc w:val="both"/>
      </w:pPr>
    </w:p>
    <w:p>
      <w:pPr>
        <w:jc w:val="both"/>
      </w:pPr>
      <w:r>
        <w:rPr>
          <w:b/>
          <w:bCs/>
          <w:sz w:val="21"/>
        </w:rPr>
        <w:t xml:space="preserve">Table 2.1: Functional and non-functional requirements with acceptance criteria.</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ID</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Requirement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Description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Acceptance Criterion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Priority</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Linked Objective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FR1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Evidence Grounding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Every claim in a generated answer must cite a specific paragraph ID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Ungrounded claim rate ≤ 5% on the golden set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Obj. 1</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FR2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Abstention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System returns</w:t>
            </w:r>
            <w:r>
              <w:rPr>
                <w:rFonts w:ascii="Times New Roman" w:hAnsi="Times New Roman"/>
                <w:color w:val="000000"/>
                <w:sz w:val="16"/>
              </w:rPr>
              <w:t xml:space="preserve"> </w:t>
            </w:r>
            <w:r>
              <w:rPr>
                <w:rStyle w:val="VerbatimChar"/>
                <w:rFonts w:ascii="Times New Roman" w:hAnsi="Times New Roman"/>
                <w:color w:val="000000"/>
                <w:sz w:val="16"/>
              </w:rPr>
              <w:t xml:space="preserve">INSUFFICIENT_EVIDENCE</w:t>
            </w:r>
            <w:r>
              <w:rPr>
                <w:rFonts w:ascii="Times New Roman" w:hAnsi="Times New Roman"/>
                <w:color w:val="000000"/>
                <w:sz w:val="16"/>
              </w:rPr>
              <w:t xml:space="preserve"> </w:t>
            </w:r>
            <w:r>
              <w:rPr>
                <w:rFonts w:ascii="Times New Roman" w:hAnsi="Times New Roman"/>
                <w:color w:val="000000"/>
                <w:sz w:val="16"/>
              </w:rPr>
              <w:t xml:space="preserve">when confidence is below threshold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Abstention accuracy ≥ 80% on unanswerable golden-set queries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Obj. 2</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FR3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Citation Verification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Post-generation verification removes claims not supported by cited text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 95% of surviving claims pass manual spot-check</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Obj. 1</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FR4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Extractive Fallback</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System operates without an LLM, returning raw top-ranked evidence text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100% citation precision in extractive mode (by construction)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Obj. 6</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FR5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Contradiction Detection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System flags contradictory directives across policy documents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Detected contradictions match manually annotated conflicts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Obj. 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FR6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Critic Mode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Heuristic auditor identifies vague or problematic policy language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Macro F1 ≥ 85% on the critic test suite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Obj. 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NFR1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Latency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End-to-end response time for a single query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P95 latency &lt; 10 seconds on standard hardware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NFR2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Reproducibility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All evaluation results are deterministic and scriptable</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6"/>
              </w:rPr>
              <w:t>python scripts/run_​eval.py</w:t>
            </w:r>
            <w:r>
              <w:rPr>
                <w:rFonts w:ascii="Times New Roman" w:hAnsi="Times New Roman"/>
                <w:color w:val="000000"/>
                <w:sz w:val="16"/>
              </w:rPr>
              <w:t xml:space="preserve"> </w:t>
            </w:r>
            <w:r>
              <w:rPr>
                <w:rFonts w:ascii="Times New Roman" w:hAnsi="Times New Roman"/>
                <w:color w:val="000000"/>
                <w:sz w:val="16"/>
              </w:rPr>
              <w:t xml:space="preserve">reproduces all reported metrics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Obj. 6</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NFR3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Modularity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Pipeline components can be toggled independently via configuration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Reranker, Verifier, and Critic can each be disabled without breaking the pipeline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Low</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w:t>
            </w:r>
          </w:p>
        </w:tc>
      </w:tr>
    </w:tbl>
    <w:p>
      <w:pPr>
        <w:jc w:val="both"/>
      </w:pPr>
      <w:r>
        <w:t xml:space="preserve">Functional requirements (FR1 to FR6) define what the system promises. Non-functional requirements (NFR1 to NFR3) constrain how they are delivered. A design tension emerged in Sprint 4 between FR1 (grounding) and NFR1 (latency): cross-encoder reranking added roughly 1.8 seconds per query but was essential for grounding precision. I accepted latency as the secondary concern, consistent with the</w:t>
      </w:r>
      <w:r>
        <w:t xml:space="preserve"> </w:t>
      </w:r>
      <w:r>
        <w:t xml:space="preserve">“precision over recall”</w:t>
      </w:r>
      <w:r>
        <w:t xml:space="preserve"> </w:t>
      </w:r>
      <w:r>
        <w:t xml:space="preserve">philosophy and justified by the bounded corpus size (Section 2.4, Decision 2).</w:t>
      </w:r>
    </w:p>
    <w:bookmarkEnd w:id="53"/>
    <w:bookmarkStart w:id="54" w:name="system-architecture"/>
    <w:p>
      <w:pPr>
        <w:pStyle w:val="Heading2"/>
      </w:pPr>
      <w:r>
        <w:t xml:space="preserve">2.3 System Architecture</w:t>
      </w:r>
    </w:p>
    <w:p>
      <w:pPr>
        <w:jc w:val="both"/>
      </w:pPr>
      <w:r>
        <w:t xml:space="preserve">The system follows a modular Retrieve-and-Rerank-then-Generate-and-Verify pipeline (Figure 2.2) in which each stage can be independently tested, toggled, and replaced.</w:t>
      </w:r>
    </w:p>
    <w:p>
      <w:pPr>
        <w:spacing w:before="40" w:after="0"/>
        <w:jc w:val="center"/>
      </w:pPr>
      <w:r>
        <w:drawing>
          <wp:inline>
            <wp:extent cx="4114800" cy="3916062"/>
            <wp:docPr id="4" name="Picture 4"/>
            <wp:cNvGraphicFramePr>
              <a:graphicFrameLocks noChangeAspect="1"/>
            </wp:cNvGraphicFramePr>
            <a:graphic>
              <a:graphicData uri="http://schemas.openxmlformats.org/drawingml/2006/picture">
                <pic:pic>
                  <pic:nvPicPr>
                    <pic:cNvPr id="0" name="image.png"/>
                    <pic:cNvPicPr/>
                  </pic:nvPicPr>
                  <pic:blipFill>
                    <a:blip r:embed="rId3"/>
                    <a:stretch>
                      <a:fillRect/>
                    </a:stretch>
                  </pic:blipFill>
                  <pic:spPr>
                    <a:xfrm>
                      <a:off x="0" y="0"/>
                      <a:ext cx="4114800" cy="3916062"/>
                    </a:xfrm>
                    <a:prstGeom prst="rect"/>
                  </pic:spPr>
                </pic:pic>
              </a:graphicData>
            </a:graphic>
          </wp:inline>
        </w:drawing>
      </w:r>
    </w:p>
    <w:p>
      <w:pPr>
        <w:spacing w:before="0" w:after="80"/>
        <w:jc w:val="center"/>
      </w:pPr>
      <w:r>
        <w:rPr>
          <w:i/>
          <w:iCs/>
          <w:sz w:val="20"/>
        </w:rPr>
        <w:t xml:space="preserve">Figure 2.2: End-to-end pipeline from PDF ingestion through retrieval, reranking, abstention, generation, and verification.</w:t>
      </w:r>
    </w:p>
    <w:p>
      <w:pPr>
        <w:jc w:val="both"/>
      </w:pPr>
      <w:r>
        <w:t xml:space="preserve">There are six stages, each a distinct module. (1) Ingestion parses PDFs into paragraph chunks with stable identifiers</w:t>
      </w:r>
      <w:r>
        <w:t xml:space="preserve"> </w:t>
      </w:r>
      <w:r>
        <w:rPr>
          <w:rStyle w:val="VerbatimChar"/>
        </w:rPr>
        <w:t xml:space="preserve">doc_id::page::index::hash</w:t>
      </w:r>
      <w:r>
        <w:t xml:space="preserve"> </w:t>
      </w:r>
      <w:r>
        <w:t xml:space="preserve">(truncated SHA-256), preserving citation integrity across re-ingestion. (2) Retrieval uses</w:t>
      </w:r>
      <w:r>
        <w:t xml:space="preserve"> </w:t>
      </w:r>
      <w:r>
        <w:rPr>
          <w:rStyle w:val="VerbatimChar"/>
        </w:rPr>
        <w:t xml:space="preserve">all-MiniLM-L6-v2</w:t>
      </w:r>
      <w:r>
        <w:t xml:space="preserve"> </w:t>
      </w:r>
      <w:r>
        <w:t xml:space="preserve">to embed paragraphs into a 384-dim FAISS</w:t>
      </w:r>
      <w:r>
        <w:t xml:space="preserve"> </w:t>
      </w:r>
      <w:r>
        <w:rPr>
          <w:rStyle w:val="VerbatimChar"/>
        </w:rPr>
        <w:t xml:space="preserve">IndexFlatL2</w:t>
      </w:r>
      <w:r>
        <w:t xml:space="preserve">; top 20 candidates are returned per query. (3) Reranking uses</w:t>
      </w:r>
      <w:r>
        <w:t xml:space="preserve"> </w:t>
      </w:r>
      <w:r>
        <w:rPr>
          <w:rStyle w:val="VerbatimChar"/>
        </w:rPr>
        <w:t xml:space="preserve">cross-encoder/ms-marco-MiniLM-L-6-v2</w:t>
      </w:r>
      <w:r>
        <w:t xml:space="preserve"> </w:t>
      </w:r>
      <w:r>
        <w:t xml:space="preserve">to rescore the 20 candidates; the top score then feeds the abstention gate. (4) Abstention Gate triggers</w:t>
      </w:r>
      <w:r>
        <w:t xml:space="preserve"> </w:t>
      </w:r>
      <w:r>
        <w:rPr>
          <w:rStyle w:val="VerbatimChar"/>
        </w:rPr>
        <w:t xml:space="preserve">INSUFFICIENT_EVIDENCE</w:t>
      </w:r>
      <w:r>
        <w:t xml:space="preserve"> </w:t>
      </w:r>
      <w:r>
        <w:t xml:space="preserve">if the top reranker score falls below threshold (default 0.30), and crucially does so before any LLM call, so the decision is deterministic. (5) Generation sends the top 5 reranked paragraphs to the LLM with a strict Pydantic-enforced JSON schema in Generative Mode; in Extractive Mode the LLM is bypassed entirely and the verbatim top paragraph is returned with its citation ID, so citation precision in that mode is 100% by construction. (6) Verification decomposes the LLM answer into sentence-level claims and checks each against cited evidence using Jaccard token overlap and numeric consistency. Failed claims are pruned, and if all are pruned the response is downgraded to abstention.</w:t>
      </w:r>
    </w:p>
    <w:p>
      <w:pPr>
        <w:jc w:val="both"/>
      </w:pPr>
      <w:r>
        <w:t xml:space="preserve">This staged design ensures reliability is an emergent outcome of multiple independent checks, each empirically evaluable through ablation (Section 2.6).</w:t>
      </w:r>
    </w:p>
    <w:bookmarkEnd w:id="54"/>
    <w:bookmarkStart w:id="55" w:name="X7ccf04426c99e55041019493f19bed9efcd37bc"/>
    <w:p>
      <w:pPr>
        <w:pStyle w:val="Heading2"/>
      </w:pPr>
      <w:r>
        <w:t xml:space="preserve">2.4 Design Decisions and Alternatives Considered</w:t>
      </w:r>
    </w:p>
    <w:p>
      <w:pPr>
        <w:jc w:val="both"/>
      </w:pPr>
      <w:r>
        <w:t xml:space="preserve">The following decisions were the most consequential architectural trade-offs. Some of them were practical trade-offs given the project’s time and complexity budget rather than theoretically perfect choices, and I have tried to be explicit about that where it applies.</w:t>
      </w:r>
    </w:p>
    <w:p>
      <w:pPr>
        <w:jc w:val="both"/>
      </w:pPr>
      <w:r>
        <w:t xml:space="preserve">Decision 1: RAG vs. long-context injection. Adopted: RAG with 5-paragraph context. Rejected alternative: injecting the entire ~25,000-token corpus into a long-context model (Claude 3, GPT-4 Turbo). I rejected the long-context option for three reasons. Liu et al. (2023) document</w:t>
      </w:r>
      <w:r>
        <w:t xml:space="preserve"> </w:t>
      </w:r>
      <w:r>
        <w:t xml:space="preserve">“lost in the middle”</w:t>
      </w:r>
      <w:r>
        <w:t xml:space="preserve"> </w:t>
      </w:r>
      <w:r>
        <w:t xml:space="preserve">effects in long contexts; pricing scales roughly 10× per query; and RAG forces explicit evidence selection, which is what enables the traceability required by FR1.</w:t>
      </w:r>
    </w:p>
    <w:p>
      <w:pPr>
        <w:jc w:val="both"/>
      </w:pPr>
      <w:r>
        <w:t xml:space="preserve">Decision 2: Dense + cross-encoder reranking vs. BM25. Adopted: two-stage bi-encoder + cross-encoder. Rejected: BM25 keyword search. Policy queries frequently use synonyms (</w:t>
      </w:r>
      <w:r>
        <w:t xml:space="preserve">“remote work”</w:t>
      </w:r>
      <w:r>
        <w:t xml:space="preserve"> </w:t>
      </w:r>
      <w:r>
        <w:t xml:space="preserve">/</w:t>
      </w:r>
      <w:r>
        <w:t xml:space="preserve"> </w:t>
      </w:r>
      <w:r>
        <w:t xml:space="preserve">“work from home”</w:t>
      </w:r>
      <w:r>
        <w:t xml:space="preserve">;</w:t>
      </w:r>
      <w:r>
        <w:t xml:space="preserve"> </w:t>
      </w:r>
      <w:r>
        <w:t xml:space="preserve">“password rotation”</w:t>
      </w:r>
      <w:r>
        <w:t xml:space="preserve"> </w:t>
      </w:r>
      <w:r>
        <w:t xml:space="preserve">/</w:t>
      </w:r>
      <w:r>
        <w:t xml:space="preserve"> </w:t>
      </w:r>
      <w:r>
        <w:t xml:space="preserve">“credential refresh”</w:t>
      </w:r>
      <w:r>
        <w:t xml:space="preserve">) that lexical matching cannot resolve. The cross-encoder logit also gives me a useful confidence signal for the abstention gate, where bi-encoder cosine scores are poorly calibrated (Nogueira and Cho, 2019). The roughly 1.8s reranking latency was acceptable given the bounded corpus and the non-real-time nature of policy queries.</w:t>
      </w:r>
    </w:p>
    <w:p>
      <w:pPr>
        <w:jc w:val="both"/>
      </w:pPr>
      <w:r>
        <w:t xml:space="preserve">Decision 3: Heuristic verification vs. LLM-based verification. Adopted: Jaccard token overlap + numeric consistency, post-generation. Rejected: LLM-as-judge for verification. Zheng et al. (2024) document verbosity and self-enhancement biases that would undermine NFR2 (reproducibility); an LLM judge would also double the API cost and introduce non-determinism in the very layer that needed to be deterministic. The heuristic is less expressive (it cannot detect semantic entailment or paraphrase support) but it is fully auditable and immune to model drift. Those limitations are revisited in Section 4.7.</w:t>
      </w:r>
    </w:p>
    <w:p>
      <w:pPr>
        <w:jc w:val="both"/>
      </w:pPr>
      <w:r>
        <w:t xml:space="preserve">Decision 4: Paragraph-level fixed chunking vs. semantic chunking. Adopted: structural paragraph-level chunking. Rejected: embedding-based semantic chunking. Qu, Bao and Tu (2024) show that semantic chunking does not consistently outperform fixed chunking on structured documents. Policies are already structurally organised, so paragraph-level chunking preserves natural boundaries with consistent granularity for citation. Practitioner discussions of chunking strategies (e.g., open-source tutorials and vendor blog posts) were useful for surveying the design space, but the methodological argument here rests on the peer-reviewed Qu et al. result.</w:t>
      </w:r>
    </w:p>
    <w:p>
      <w:pPr>
        <w:jc w:val="both"/>
      </w:pPr>
      <w:r>
        <w:t xml:space="preserve">Decision 5: Pydantic schema enforcement vs. free-text parsing. Adopted: strict JSON schema via Pydantic with repair-and-retry. Rejected: free-text generation with regex citation extraction. Regex extraction is fragile and fails silently on formatting variations. A schema means every response either conforms (separate</w:t>
      </w:r>
      <w:r>
        <w:t xml:space="preserve"> </w:t>
      </w:r>
      <w:r>
        <w:rPr>
          <w:rStyle w:val="VerbatimChar"/>
        </w:rPr>
        <w:t xml:space="preserve">answer</w:t>
      </w:r>
      <w:r>
        <w:t xml:space="preserve"> </w:t>
      </w:r>
      <w:r>
        <w:t xml:space="preserve">and</w:t>
      </w:r>
      <w:r>
        <w:t xml:space="preserve"> </w:t>
      </w:r>
      <w:r>
        <w:rPr>
          <w:rStyle w:val="VerbatimChar"/>
        </w:rPr>
        <w:t xml:space="preserve">citations</w:t>
      </w:r>
      <w:r>
        <w:t xml:space="preserve"> </w:t>
      </w:r>
      <w:r>
        <w:t xml:space="preserve">fields) or is rejected and retried. That property is essential for FR3.</w:t>
      </w:r>
    </w:p>
    <w:bookmarkEnd w:id="55"/>
    <w:bookmarkStart w:id="56" w:name="risk-assessment"/>
    <w:p>
      <w:pPr>
        <w:pStyle w:val="Heading2"/>
      </w:pPr>
      <w:r>
        <w:t xml:space="preserve">2.5 Risk Assessment</w:t>
      </w:r>
    </w:p>
    <w:p>
      <w:pPr>
        <w:jc w:val="both"/>
      </w:pPr>
      <w:r>
        <w:t xml:space="preserve">A complementary system-level risk audit table (</w:t>
      </w:r>
      <w:r>
        <w:rPr>
          <w:rStyle w:val="VerbatimChar"/>
        </w:rPr>
        <w:t xml:space="preserve">docs/risk_audit_table.md</w:t>
      </w:r>
      <w:r>
        <w:t xml:space="preserve">) documents 10 failure modes (hallucination, citation fabrication, contradiction suppression, abstention failure, stale corpus, adversarial prompts, backend fallback, automation bias, privacy, environmental cost) with detection, mitigations, and residual risk. The project-level risk register (Table 2.2) summarises the principal mitigations actually applied during development.</w:t>
      </w:r>
    </w:p>
    <w:p>
      <w:pPr>
        <w:jc w:val="both"/>
      </w:pPr>
    </w:p>
    <w:p>
      <w:pPr>
        <w:jc w:val="both"/>
      </w:pPr>
      <w:r>
        <w:rPr>
          <w:b/>
          <w:bCs/>
          <w:sz w:val="21"/>
        </w:rPr>
        <w:t xml:space="preserve">Table 2.2: Risk register.</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Risk</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Likelihood</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Impact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Mitigation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LLM API unavailability or rate-limiting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Extractive Fallback Mode (FR4); exponential backoff and caching</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Heuristic verification misses semantically supported claims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Acknowledged limitation; ablation quantifies error rate (§4.6); NLI verification is future work</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Synthetic corpus lacks real-world PDF noise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Deliberate formatting inconsistencies; the system’s safety behaviour is also stress-tested on a small public-guidance transfer corpus (§4.11)</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Scope creep</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Requirements priority rankings; low-priority NFR3 deferred when sprint tightened</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Reranker threshold poorly calibrated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Tuned on dev split; sensitivity analysis reported (§4.5)</w:t>
            </w:r>
          </w:p>
        </w:tc>
      </w:tr>
    </w:tbl>
    <w:bookmarkEnd w:id="56"/>
    <w:bookmarkStart w:id="57" w:name="evaluation-methodology"/>
    <w:p>
      <w:pPr>
        <w:pStyle w:val="Heading2"/>
      </w:pPr>
      <w:r>
        <w:t xml:space="preserve">2.6 Evaluation Methodology</w:t>
      </w:r>
    </w:p>
    <w:p>
      <w:pPr>
        <w:jc w:val="both"/>
      </w:pPr>
      <w:r>
        <w:t xml:space="preserve">The evaluation strategy isolates the contribution of each architectural component and provides quantitative evidence for the central hypothesis. To make the</w:t>
      </w:r>
      <w:r>
        <w:t xml:space="preserve"> </w:t>
      </w:r>
      <w:r>
        <w:t xml:space="preserve">“audit-ready”</w:t>
      </w:r>
      <w:r>
        <w:t xml:space="preserve"> </w:t>
      </w:r>
      <w:r>
        <w:t xml:space="preserve">claim measurable, a 5-axis auditability rubric (</w:t>
      </w:r>
      <w:r>
        <w:rPr>
          <w:rStyle w:val="VerbatimChar"/>
        </w:rPr>
        <w:t xml:space="preserve">eval/rubrics/auditability_rubric.md</w:t>
      </w:r>
      <w:r>
        <w:t xml:space="preserve">) covers evidence relevance, citation faithfulness, abstention correctness, contradiction correctness, and failure-mode attribution; each axis maps to a quantitative metric (</w:t>
      </w:r>
      <w:r>
        <w:rPr>
          <w:rStyle w:val="VerbatimChar"/>
        </w:rPr>
        <w:t xml:space="preserve">results/tables/auditability_scores.csv</w:t>
      </w:r>
      <w:r>
        <w:t xml:space="preserve">).</w:t>
      </w:r>
    </w:p>
    <w:p>
      <w:pPr>
        <w:jc w:val="both"/>
      </w:pPr>
      <w:r>
        <w:t xml:space="preserve">Baseline ladder. I evaluated three progressive baselines. B1 (Prompt-Only) is a zero-shot LLM with no retrieval, which measures raw hallucination. B2 (Naive RAG) adds bi-encoder retrieval and an LLM, but no reranking, verification, or abstention. B3 (Policy Copilot) is the full pipeline, evaluated in both Generative and Extractive configurations. The ladder isolates contributions cleanly: B1→B2 measures retrieval; B2→B3 measures reranking + verification + abstention. Ablations then disable individual B3 components.</w:t>
      </w:r>
    </w:p>
    <w:p>
      <w:pPr>
        <w:jc w:val="both"/>
      </w:pPr>
      <w:r>
        <w:t xml:space="preserve">Metrics. Four primary measures, each targeting a distinct reliability aspect:</w:t>
      </w:r>
    </w:p>
    <w:tbl>
      <w:tblPr>
        <w:tblStyle w:val="TableGrid"/>
        <w:tblW w:type="pct" w:w="5000"/>
        <w:jc w:val="center"/>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640"/>
        <w:gridCol w:w="2640"/>
        <w:gridCol w:w="264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Metric</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Definition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Target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Answer Rate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Non-abstention responses / answerable queries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 85%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Abstention Accuracy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Correct refusals / unanswerable queries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 80%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Ungrounded Rate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Failed verification / total claims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 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Evidence Recall@5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Gold paragraphs in top 5 / gold paragraphs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 80%</w:t>
            </w:r>
          </w:p>
        </w:tc>
      </w:tr>
    </w:tbl>
    <w:p>
      <w:pPr>
        <w:jc w:val="both"/>
      </w:pPr>
      <w:r>
        <w:t xml:space="preserve">Answer Rate and Abstention Accuracy form a trade-off pair: abstaining on everything yields perfect abstention but zero coverage. Ungrounded Rate quantifies the</w:t>
      </w:r>
      <w:r>
        <w:t xml:space="preserve"> </w:t>
      </w:r>
      <w:r>
        <w:t xml:space="preserve">“cited or silent”</w:t>
      </w:r>
      <w:r>
        <w:t xml:space="preserve"> </w:t>
      </w:r>
      <w:r>
        <w:t xml:space="preserve">rule. Evidence Recall@5 isolates retrieval from generation.</w:t>
      </w:r>
    </w:p>
    <w:p>
      <w:pPr>
        <w:jc w:val="both"/>
      </w:pPr>
      <w:r>
        <w:t xml:space="preserve">Reproducible pipeline. All evaluations run through</w:t>
      </w:r>
      <w:r>
        <w:t xml:space="preserve"> </w:t>
      </w:r>
      <w:r>
        <w:rPr>
          <w:rStyle w:val="VerbatimChar"/>
        </w:rPr>
        <w:t xml:space="preserve">scripts/run_eval.py</w:t>
      </w:r>
      <w:r>
        <w:t xml:space="preserve"> </w:t>
      </w:r>
      <w:r>
        <w:t xml:space="preserve">with command-line flags for baseline, mode, and ablation. Outputs are JSONL, CSV, and summary JSON, satisfying NFR2: any evaluator can reproduce the reported results with a single command.</w:t>
      </w:r>
    </w:p>
    <w:bookmarkEnd w:id="57"/>
    <w:bookmarkStart w:id="58" w:name="golden-set-construction"/>
    <w:p>
      <w:pPr>
        <w:pStyle w:val="Heading2"/>
      </w:pPr>
      <w:r>
        <w:t xml:space="preserve">2.7 Golden Set Construction</w:t>
      </w:r>
    </w:p>
    <w:p>
      <w:pPr>
        <w:jc w:val="both"/>
      </w:pPr>
      <w:r>
        <w:t xml:space="preserve">The evaluation golden set comprises 63 queries in three categories. Answerable (36) queries have answers explicit in one or more paragraphs. Unanswerable (17) queries are plausible but absent from the corpus and test the abstention path. Contradiction (10) queries trigger genuine conflicts between documents (for example, 90-day vs. 60-day password rotation in the Handbook vs. the IT Addendum), testing both contradiction detection and ambiguous-evidence behaviour.</w:t>
      </w:r>
    </w:p>
    <w:p>
      <w:pPr>
        <w:jc w:val="both"/>
      </w:pPr>
      <w:r>
        <w:t xml:space="preserve">The size reflects a trade-off between statistical coverage and manual annotation burden (roughly 15 minutes per query for answer verification and paragraph alignment). A larger set would strengthen statistical power; this is acknowledged as a limitation in §5.2. The set is split into a validation subset (19 queries) for threshold tuning and a test subset (44 queries) for all reported metrics, ensuring no optimisation on test data.</w:t>
      </w:r>
    </w:p>
    <w:bookmarkEnd w:id="58"/>
    <w:bookmarkEnd w:id="59"/>
    <w:bookmarkStart w:id="69" w:name="chapter-3-implementation-and-validation"/>
    <w:p>
      <w:pPr>
        <w:pStyle w:val="Heading1"/>
      </w:pPr>
      <w:r>
        <w:t xml:space="preserve">Chapter 3 Implementation and Validation</w:t>
      </w:r>
    </w:p>
    <w:p>
      <w:pPr>
        <w:jc w:val="both"/>
      </w:pPr>
      <w:r>
        <w:t xml:space="preserve">This chapter describes the implementation of Policy Copilot in enough technical detail to satisfy two audiences: an assessor evaluating the complexity and quality of the engineering work, and a future developer seeking to extend or reproduce the system. The chapter is organised by component, following the pipeline stages introduced in Section 2.3, and concludes with the testing strategy and the engineering challenges encountered during development.</w:t>
      </w:r>
    </w:p>
    <w:bookmarkStart w:id="60" w:name="technology-stack"/>
    <w:p>
      <w:pPr>
        <w:pStyle w:val="Heading2"/>
      </w:pPr>
      <w:r>
        <w:t xml:space="preserve">3.1 Technology Stack</w:t>
      </w:r>
    </w:p>
    <w:p>
      <w:pPr>
        <w:jc w:val="both"/>
      </w:pPr>
      <w:r>
        <w:t xml:space="preserve">The system is implemented in Python 3.10+. Table 3.1 summarises the key dependencies and their roles.</w:t>
      </w:r>
    </w:p>
    <w:p>
      <w:pPr>
        <w:jc w:val="both"/>
      </w:pPr>
    </w:p>
    <w:p>
      <w:pPr>
        <w:jc w:val="both"/>
      </w:pPr>
      <w:r>
        <w:rPr>
          <w:b/>
          <w:bCs/>
          <w:sz w:val="21"/>
        </w:rPr>
        <w:t xml:space="preserve">Table 3.1: Technology stack and component justification.</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Component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Library / Tool</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Version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Role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Justification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Embedding (bi-encoder)</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sentence-transformers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Generates dense paragraph embeddings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Pre-trained</w:t>
            </w:r>
            <w:r>
              <w:rPr>
                <w:rFonts w:ascii="Times New Roman" w:hAnsi="Times New Roman"/>
                <w:color w:val="000000"/>
                <w:sz w:val="18"/>
              </w:rPr>
              <w:t xml:space="preserve"> </w:t>
            </w:r>
            <w:r>
              <w:rPr>
                <w:rStyle w:val="VerbatimChar"/>
                <w:rFonts w:ascii="Times New Roman" w:hAnsi="Times New Roman"/>
                <w:color w:val="000000"/>
                <w:sz w:val="18"/>
              </w:rPr>
              <w:t xml:space="preserve">all-MiniLM-L6-v2</w:t>
            </w:r>
            <w:r>
              <w:rPr>
                <w:rFonts w:ascii="Times New Roman" w:hAnsi="Times New Roman"/>
                <w:color w:val="000000"/>
                <w:sz w:val="18"/>
              </w:rPr>
              <w:t xml:space="preserve"> </w:t>
            </w:r>
            <w:r>
              <w:rPr>
                <w:rFonts w:ascii="Times New Roman" w:hAnsi="Times New Roman"/>
                <w:color w:val="000000"/>
                <w:sz w:val="18"/>
              </w:rPr>
              <w:t xml:space="preserve">offers strong performance at low latency; no fine-tuning required</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Vector index</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faiss-cpu</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Approximate nearest-neighbour search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Industry standard for dense retrieval;</w:t>
            </w:r>
            <w:r>
              <w:rPr>
                <w:rFonts w:ascii="Times New Roman" w:hAnsi="Times New Roman"/>
                <w:color w:val="000000"/>
                <w:sz w:val="18"/>
              </w:rPr>
              <w:t xml:space="preserve"> </w:t>
            </w:r>
            <w:r>
              <w:rPr>
                <w:rStyle w:val="VerbatimChar"/>
                <w:rFonts w:ascii="Times New Roman" w:hAnsi="Times New Roman"/>
                <w:color w:val="000000"/>
                <w:sz w:val="18"/>
              </w:rPr>
              <w:t xml:space="preserve">IndexFlatL2</w:t>
            </w:r>
            <w:r>
              <w:rPr>
                <w:rFonts w:ascii="Times New Roman" w:hAnsi="Times New Roman"/>
                <w:color w:val="000000"/>
                <w:sz w:val="18"/>
              </w:rPr>
              <w:t xml:space="preserve"> </w:t>
            </w:r>
            <w:r>
              <w:rPr>
                <w:rFonts w:ascii="Times New Roman" w:hAnsi="Times New Roman"/>
                <w:color w:val="000000"/>
                <w:sz w:val="18"/>
              </w:rPr>
              <w:t xml:space="preserve">chosen for exact search (corpus size permits it)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Reranking (cross-encoder)</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sentence-transformers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Joint query / document scoring</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cross-encoder/ms-marco-MiniLM-L-6-v2</w:t>
            </w:r>
            <w:r>
              <w:rPr>
                <w:rFonts w:ascii="Times New Roman" w:hAnsi="Times New Roman"/>
                <w:color w:val="000000"/>
                <w:sz w:val="18"/>
              </w:rPr>
              <w:t xml:space="preserve"> </w:t>
            </w:r>
            <w:r>
              <w:rPr>
                <w:rFonts w:ascii="Times New Roman" w:hAnsi="Times New Roman"/>
                <w:color w:val="000000"/>
                <w:sz w:val="18"/>
              </w:rPr>
              <w:t xml:space="preserve">provides relevance logits suitable for threshold gating</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LLM integration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OpenAI Python SDK</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Generative answer production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API-based integration enables model-agnostic design; no fine-tuning dependency</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Schema enforcement</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pydantic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JSON response validation and repair</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Strict type checking catches malformed LLM output before downstream processing</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Configuration</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pydantic-settings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Environment and config management</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.env</w:t>
            </w:r>
            <w:r>
              <w:rPr>
                <w:rFonts w:ascii="Times New Roman" w:hAnsi="Times New Roman"/>
                <w:color w:val="000000"/>
                <w:sz w:val="18"/>
              </w:rPr>
              <w:t xml:space="preserve">-based configuration with type-safe defaults; clean separation of secrets from code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PDF parsing</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pypdf</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Text extraction from policy PDFs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Lightweight, pure-Python, handles the synthetic policy PDFs reliably;</w:t>
            </w:r>
            <w:r>
              <w:rPr>
                <w:rFonts w:ascii="Times New Roman" w:hAnsi="Times New Roman"/>
                <w:color w:val="000000"/>
                <w:sz w:val="18"/>
              </w:rPr>
              <w:t xml:space="preserve"> </w:t>
            </w:r>
            <w:r>
              <w:rPr>
                <w:rStyle w:val="VerbatimChar"/>
                <w:rFonts w:ascii="Times New Roman" w:hAnsi="Times New Roman"/>
                <w:color w:val="000000"/>
                <w:sz w:val="18"/>
              </w:rPr>
              <w:t xml:space="preserve">pdfplumber</w:t>
            </w:r>
            <w:r>
              <w:rPr>
                <w:rFonts w:ascii="Times New Roman" w:hAnsi="Times New Roman"/>
                <w:color w:val="000000"/>
                <w:sz w:val="18"/>
              </w:rPr>
              <w:t xml:space="preserve"> </w:t>
            </w:r>
            <w:r>
              <w:rPr>
                <w:rFonts w:ascii="Times New Roman" w:hAnsi="Times New Roman"/>
                <w:color w:val="000000"/>
                <w:sz w:val="18"/>
              </w:rPr>
              <w:t xml:space="preserve">is also pinned as a fallback for layout-sensitive cases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Testing</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pytest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 and integration testing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De facto standard for Python testing; fixtures and parametrisation simplify test organisation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Version control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Git / GitHub</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Source code management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Public repository with branch-per-sprint strategy; 200+ commits across two semesters</w:t>
            </w:r>
          </w:p>
        </w:tc>
      </w:tr>
    </w:tbl>
    <w:p>
      <w:pPr>
        <w:jc w:val="both"/>
      </w:pPr>
      <w:r>
        <w:t xml:space="preserve">LangChain and LlamaIndex were considered as orchestration frameworks but rejected during Sprint 1. Their abstractions obscured pipeline internals (in particular the reranker score needed for the abstention gate), and intercepting individual claims for verification proved difficult. Implementing from first principles cost more development effort, but it gave me a codebase where every reliability decision is explicit and testable.</w:t>
      </w:r>
    </w:p>
    <w:bookmarkEnd w:id="60"/>
    <w:bookmarkStart w:id="61" w:name="corpus-engineering-and-ingestion"/>
    <w:p>
      <w:pPr>
        <w:pStyle w:val="Heading2"/>
      </w:pPr>
      <w:r>
        <w:t xml:space="preserve">3.2 Corpus Engineering and Ingestion</w:t>
      </w:r>
    </w:p>
    <w:p>
      <w:pPr>
        <w:jc w:val="both"/>
      </w:pPr>
      <w:r>
        <w:t xml:space="preserve">The evaluation corpus comprises three synthetic policy documents authored for this project: an Employee Handbook (~20 pp; remote work, leave, discipline, security obligations), an IT Security Addendum (~15 pp; passwords, access control, incident response, devices), and a Physical Security Protocol (~18 pp; visitors, CCTV, access cards, emergency response). I chose synthetic documents because real organisational policies are confidential and could not be redistributed reproducibly (NFR2), and because synthesis allowed deliberate test injection: intentional contradictions between Handbook and IT Addendum, vague quantifier language for Critic Mode, and varying paragraph structures.</w:t>
      </w:r>
    </w:p>
    <w:p>
      <w:pPr>
        <w:jc w:val="both"/>
      </w:pPr>
      <w:r>
        <w:t xml:space="preserve">The</w:t>
      </w:r>
      <w:r>
        <w:t xml:space="preserve"> </w:t>
      </w:r>
      <w:r>
        <w:rPr>
          <w:rStyle w:val="VerbatimChar"/>
        </w:rPr>
        <w:t xml:space="preserve">ingest</w:t>
      </w:r>
      <w:r>
        <w:t xml:space="preserve"> </w:t>
      </w:r>
      <w:r>
        <w:t xml:space="preserve">module (</w:t>
      </w:r>
      <w:r>
        <w:rPr>
          <w:rStyle w:val="VerbatimChar"/>
        </w:rPr>
        <w:t xml:space="preserve">src/policy_copilot/ingest/</w:t>
      </w:r>
      <w:r>
        <w:t xml:space="preserve">) uses</w:t>
      </w:r>
      <w:r>
        <w:t xml:space="preserve"> </w:t>
      </w:r>
      <w:r>
        <w:rPr>
          <w:rStyle w:val="VerbatimChar"/>
        </w:rPr>
        <w:t xml:space="preserve">pypdf</w:t>
      </w:r>
      <w:r>
        <w:t xml:space="preserve"> </w:t>
      </w:r>
      <w:r>
        <w:t xml:space="preserve">to extract text and applies double-newline paragraph splitting with whitespace normalisation.</w:t>
      </w:r>
      <w:r>
        <w:t xml:space="preserve"> </w:t>
      </w:r>
      <w:r>
        <w:rPr>
          <w:rStyle w:val="VerbatimChar"/>
        </w:rPr>
        <w:t xml:space="preserve">pdfplumber</w:t>
      </w:r>
      <w:r>
        <w:t xml:space="preserve"> </w:t>
      </w:r>
      <w:r>
        <w:t xml:space="preserve">is pinned as an optional fallback for layout-sensitive cases but is not on the active extraction path for this corpus. Each paragraph receives a stable identifier</w:t>
      </w:r>
      <w:r>
        <w:t xml:space="preserve"> </w:t>
      </w:r>
      <w:r>
        <w:rPr>
          <w:rStyle w:val="VerbatimChar"/>
        </w:rPr>
        <w:t xml:space="preserve">{doc_id}::{page}::{index}::{content_hash}</w:t>
      </w:r>
      <w:r>
        <w:t xml:space="preserve"> </w:t>
      </w:r>
      <w:r>
        <w:t xml:space="preserve">where</w:t>
      </w:r>
      <w:r>
        <w:t xml:space="preserve"> </w:t>
      </w:r>
      <w:r>
        <w:rPr>
          <w:rStyle w:val="VerbatimChar"/>
        </w:rPr>
        <w:t xml:space="preserve">content_hash</w:t>
      </w:r>
      <w:r>
        <w:t xml:space="preserve"> </w:t>
      </w:r>
      <w:r>
        <w:t xml:space="preserve">is a truncated SHA-256 of the normalised text. This scheme preserves citation integrity across re-ingestion: unchanged paragraphs retain their IDs, and only modified paragraphs receive new hashes. An earlier prototype using sequential integer IDs proved fragile when documents were re-ordered. Paragraphs under 20 characters (typically headers) are filtered out.</w:t>
      </w:r>
    </w:p>
    <w:bookmarkEnd w:id="61"/>
    <w:bookmarkStart w:id="62" w:name="retrieval-and-reranking"/>
    <w:p>
      <w:pPr>
        <w:pStyle w:val="Heading2"/>
      </w:pPr>
      <w:r>
        <w:t xml:space="preserve">3.3 Retrieval and Reranking</w:t>
      </w:r>
    </w:p>
    <w:p>
      <w:pPr>
        <w:jc w:val="both"/>
      </w:pPr>
      <w:r>
        <w:t xml:space="preserve">The</w:t>
      </w:r>
      <w:r>
        <w:t xml:space="preserve"> </w:t>
      </w:r>
      <w:r>
        <w:rPr>
          <w:rStyle w:val="VerbatimChar"/>
        </w:rPr>
        <w:t xml:space="preserve">Retriever</w:t>
      </w:r>
      <w:r>
        <w:t xml:space="preserve"> </w:t>
      </w:r>
      <w:r>
        <w:t xml:space="preserve">class embeds each paragraph into a 384-dim vector via</w:t>
      </w:r>
      <w:r>
        <w:t xml:space="preserve"> </w:t>
      </w:r>
      <w:r>
        <w:rPr>
          <w:rStyle w:val="VerbatimChar"/>
        </w:rPr>
        <w:t xml:space="preserve">all-MiniLM-L6-v2</w:t>
      </w:r>
      <w:r>
        <w:t xml:space="preserve"> </w:t>
      </w:r>
      <w:r>
        <w:t xml:space="preserve">and stores them in a FAISS</w:t>
      </w:r>
      <w:r>
        <w:t xml:space="preserve"> </w:t>
      </w:r>
      <w:r>
        <w:rPr>
          <w:rStyle w:val="VerbatimChar"/>
        </w:rPr>
        <w:t xml:space="preserve">IndexFlatL2</w:t>
      </w:r>
      <w:r>
        <w:t xml:space="preserve">. I chose exact rather than approximate search because the corpus is under 2,000 paragraphs, so exact search completes in under 10 ms with no recall ceiling. Top-k = 20 candidates are returned per query. I selected this value during Sprint 2: k = 10 occasionally missed multi-paragraph gold answers, while k = 50 increased reranking time without precision improvement. k = 20 captured ≥95% of gold paragraphs.</w:t>
      </w:r>
    </w:p>
    <w:p>
      <w:pPr>
        <w:jc w:val="both"/>
      </w:pPr>
      <w:r>
        <w:t xml:space="preserve">The</w:t>
      </w:r>
      <w:r>
        <w:t xml:space="preserve"> </w:t>
      </w:r>
      <w:r>
        <w:rPr>
          <w:rStyle w:val="VerbatimChar"/>
        </w:rPr>
        <w:t xml:space="preserve">Reranker</w:t>
      </w:r>
      <w:r>
        <w:t xml:space="preserve"> </w:t>
      </w:r>
      <w:r>
        <w:t xml:space="preserve">class wraps</w:t>
      </w:r>
      <w:r>
        <w:t xml:space="preserve"> </w:t>
      </w:r>
      <w:r>
        <w:rPr>
          <w:rStyle w:val="VerbatimChar"/>
        </w:rPr>
        <w:t xml:space="preserve">cross-encoder/ms-marco-MiniLM-L-6-v2</w:t>
      </w:r>
      <w:r>
        <w:t xml:space="preserve">. For each candidate the reranker constructs a</w:t>
      </w:r>
      <w:r>
        <w:t xml:space="preserve"> </w:t>
      </w:r>
      <w:r>
        <w:rPr>
          <w:rStyle w:val="VerbatimChar"/>
        </w:rPr>
        <w:t xml:space="preserve">[query, paragraph]</w:t>
      </w:r>
      <w:r>
        <w:t xml:space="preserve"> </w:t>
      </w:r>
      <w:r>
        <w:t xml:space="preserve">pair and outputs a single relevance logit. The maximum logit feeds the abstention gate: if it falls below threshold (default 0.30), the system returns</w:t>
      </w:r>
      <w:r>
        <w:t xml:space="preserve"> </w:t>
      </w:r>
      <w:r>
        <w:rPr>
          <w:rStyle w:val="VerbatimChar"/>
        </w:rPr>
        <w:t xml:space="preserve">INSUFFICIENT_EVIDENCE</w:t>
      </w:r>
      <w:r>
        <w:t xml:space="preserve"> </w:t>
      </w:r>
      <w:r>
        <w:t xml:space="preserve">without invoking the LLM, keeping abstention deterministic and independent of the generative model. The threshold was selected via sensitivity analysis on the validation split (varying 0.0 to 2.0 in 0.1 steps), reported in §4.5. Note that I did not run a formal calibration analysis on the reranker logit;</w:t>
      </w:r>
      <w:r>
        <w:t xml:space="preserve"> </w:t>
      </w:r>
      <w:r>
        <w:t xml:space="preserve">“useful confidence signal”</w:t>
      </w:r>
      <w:r>
        <w:t xml:space="preserve"> </w:t>
      </w:r>
      <w:r>
        <w:t xml:space="preserve">is meant practically rather than statistically.</w:t>
      </w:r>
    </w:p>
    <w:bookmarkEnd w:id="62"/>
    <w:bookmarkStart w:id="63" w:name="answer-generation"/>
    <w:p>
      <w:pPr>
        <w:pStyle w:val="Heading2"/>
      </w:pPr>
      <w:r>
        <w:t xml:space="preserve">3.4 Answer Generation</w:t>
      </w:r>
    </w:p>
    <w:p>
      <w:pPr>
        <w:jc w:val="both"/>
      </w:pPr>
      <w:r>
        <w:t xml:space="preserve">The</w:t>
      </w:r>
      <w:r>
        <w:t xml:space="preserve"> </w:t>
      </w:r>
      <w:r>
        <w:rPr>
          <w:rStyle w:val="VerbatimChar"/>
        </w:rPr>
        <w:t xml:space="preserve">Answerer</w:t>
      </w:r>
      <w:r>
        <w:t xml:space="preserve"> </w:t>
      </w:r>
      <w:r>
        <w:t xml:space="preserve">class constructs the LLM prompt from three elements: a system instruction establishing the</w:t>
      </w:r>
      <w:r>
        <w:t xml:space="preserve"> </w:t>
      </w:r>
      <w:r>
        <w:t xml:space="preserve">“cited or silent”</w:t>
      </w:r>
      <w:r>
        <w:t xml:space="preserve"> </w:t>
      </w:r>
      <w:r>
        <w:t xml:space="preserve">contract, a one-shot example of correctly formatted output, and the evidence block containing the top 5 reranked paragraphs prefixed with their IDs. The one-shot example was refined across Sprints 3 and 4. An initial zero-shot approach produced 40% citation-format errors; adding a single carefully crafted example reduced that to under 5%, consistent with Brown et al. (2020) on few-shot prompting for format adherence.</w:t>
      </w:r>
    </w:p>
    <w:p>
      <w:pPr>
        <w:jc w:val="both"/>
      </w:pPr>
      <w:r>
        <w:t xml:space="preserve">The LLM is instructed to return JSON conforming to the</w:t>
      </w:r>
      <w:r>
        <w:t xml:space="preserve"> </w:t>
      </w:r>
      <w:r>
        <w:rPr>
          <w:rStyle w:val="VerbatimChar"/>
        </w:rPr>
        <w:t xml:space="preserve">RAGResponse</w:t>
      </w:r>
      <w:r>
        <w:t xml:space="preserve"> </w:t>
      </w:r>
      <w:r>
        <w:t xml:space="preserve">Pydantic model (separating</w:t>
      </w:r>
      <w:r>
        <w:t xml:space="preserve"> </w:t>
      </w:r>
      <w:r>
        <w:rPr>
          <w:rStyle w:val="VerbatimChar"/>
        </w:rPr>
        <w:t xml:space="preserve">answer</w:t>
      </w:r>
      <w:r>
        <w:t xml:space="preserve"> </w:t>
      </w:r>
      <w:r>
        <w:t xml:space="preserve">text from a</w:t>
      </w:r>
      <w:r>
        <w:t xml:space="preserve"> </w:t>
      </w:r>
      <w:r>
        <w:rPr>
          <w:rStyle w:val="VerbatimChar"/>
        </w:rPr>
        <w:t xml:space="preserve">citations</w:t>
      </w:r>
      <w:r>
        <w:t xml:space="preserve"> </w:t>
      </w:r>
      <w:r>
        <w:t xml:space="preserve">list).</w:t>
      </w:r>
      <w:r>
        <w:t xml:space="preserve"> </w:t>
      </w:r>
      <w:r>
        <w:rPr>
          <w:rStyle w:val="VerbatimChar"/>
        </w:rPr>
        <w:t xml:space="preserve">model_validate_json()</w:t>
      </w:r>
      <w:r>
        <w:t xml:space="preserve"> </w:t>
      </w:r>
      <w:r>
        <w:t xml:space="preserve">enforces the schema; if validation fails, a repair-and-retry mechanism extracts a valid JSON substring before falling back to Extractive Mode. Factory functions</w:t>
      </w:r>
      <w:r>
        <w:t xml:space="preserve"> </w:t>
      </w:r>
      <w:r>
        <w:rPr>
          <w:rStyle w:val="VerbatimChar"/>
        </w:rPr>
        <w:t xml:space="preserve">make_insufficient()</w:t>
      </w:r>
      <w:r>
        <w:t xml:space="preserve"> </w:t>
      </w:r>
      <w:r>
        <w:t xml:space="preserve">and</w:t>
      </w:r>
      <w:r>
        <w:t xml:space="preserve"> </w:t>
      </w:r>
      <w:r>
        <w:rPr>
          <w:rStyle w:val="VerbatimChar"/>
        </w:rPr>
        <w:t xml:space="preserve">make_llm_disabled()</w:t>
      </w:r>
      <w:r>
        <w:t xml:space="preserve"> </w:t>
      </w:r>
      <w:r>
        <w:t xml:space="preserve">produce standardised responses for abstention and extractive paths, ensuring a uniform schema across all response types. That uniformity is essential for downstream JSONL logging.</w:t>
      </w:r>
    </w:p>
    <w:p>
      <w:pPr>
        <w:jc w:val="both"/>
      </w:pPr>
      <w:r>
        <w:t xml:space="preserve">In Extractive Mode the LLM is bypassed entirely; the system returns the verbatim top-ranked paragraph with its citation ID, so citation precision in that mode is 100% by construction (the returned text is the cited evidence). The cost is that responses are quoted evidence rather than synthesised answers. I added this mode mainly as a fallback in case the LLM was unavailable (Table 2.2), but it turned out to be useful for evaluation too: running the same queries with and without the LLM separates what the LLM is contributing from what the retrieval and verification layers are doing on their own.</w:t>
      </w:r>
    </w:p>
    <w:bookmarkEnd w:id="63"/>
    <w:bookmarkStart w:id="64" w:name="citation-verification-and-abstention"/>
    <w:p>
      <w:pPr>
        <w:pStyle w:val="Heading2"/>
      </w:pPr>
      <w:r>
        <w:t xml:space="preserve">3.5 Citation Verification and Abstention</w:t>
      </w:r>
    </w:p>
    <w:p>
      <w:pPr>
        <w:jc w:val="both"/>
      </w:pPr>
      <w:r>
        <w:t xml:space="preserve">The verification subsystem (</w:t>
      </w:r>
      <w:r>
        <w:rPr>
          <w:rStyle w:val="VerbatimChar"/>
        </w:rPr>
        <w:t xml:space="preserve">src/policy_copilot/verify/</w:t>
      </w:r>
      <w:r>
        <w:t xml:space="preserve">) is the architectural centrepiece. It comprises four sub-modules.</w:t>
      </w:r>
    </w:p>
    <w:p>
      <w:pPr>
        <w:jc w:val="both"/>
      </w:pPr>
      <w:r>
        <w:t xml:space="preserve">Claim Decomposition.</w:t>
      </w:r>
      <w:r>
        <w:t xml:space="preserve"> </w:t>
      </w:r>
      <w:r>
        <w:rPr>
          <w:rStyle w:val="VerbatimChar"/>
        </w:rPr>
        <w:t xml:space="preserve">split_claims()</w:t>
      </w:r>
      <w:r>
        <w:t xml:space="preserve"> </w:t>
      </w:r>
      <w:r>
        <w:t xml:space="preserve">decomposes the answer into sentence-level claims;</w:t>
      </w:r>
      <w:r>
        <w:t xml:space="preserve"> </w:t>
      </w:r>
      <w:r>
        <w:rPr>
          <w:rStyle w:val="VerbatimChar"/>
        </w:rPr>
        <w:t xml:space="preserve">extract_all_citations()</w:t>
      </w:r>
      <w:r>
        <w:t xml:space="preserve"> </w:t>
      </w:r>
      <w:r>
        <w:t xml:space="preserve">parses associated citation IDs. Naive period-splitting mishandles abbreviations (</w:t>
      </w:r>
      <w:r>
        <w:t xml:space="preserve">“e.g.,”</w:t>
      </w:r>
      <w:r>
        <w:t xml:space="preserve">), decimals (</w:t>
      </w:r>
      <w:r>
        <w:t xml:space="preserve">“2.5 days”</w:t>
      </w:r>
      <w:r>
        <w:t xml:space="preserve">), and enumerated lists. The final regex-based splitter whitelists common abbreviation patterns and treats list prefixes as structural markers, a refinement that emerged from Sprint 4 failure-case analysis.</w:t>
      </w:r>
    </w:p>
    <w:p>
      <w:pPr>
        <w:jc w:val="both"/>
      </w:pPr>
      <w:r>
        <w:t xml:space="preserve">Citation Verification.</w:t>
      </w:r>
      <w:r>
        <w:t xml:space="preserve"> </w:t>
      </w:r>
      <w:r>
        <w:rPr>
          <w:rStyle w:val="VerbatimChar"/>
        </w:rPr>
        <w:t xml:space="preserve">verify_claims()</w:t>
      </w:r>
      <w:r>
        <w:t xml:space="preserve"> </w:t>
      </w:r>
      <w:r>
        <w:t xml:space="preserve">applies two heuristic checks per claim. Jaccard token overlap: the claim and the cited paragraph are tokenised (lowercased, stopwords removed); if Jaccard falls below threshold (default 0.10) the citation is flagged as unsupported. Numeric consistency: if the claim contains specific numbers (integers, decimals, percentages,</w:t>
      </w:r>
      <w:r>
        <w:t xml:space="preserve"> </w:t>
      </w:r>
      <w:r>
        <w:t xml:space="preserve">“30 days”</w:t>
      </w:r>
      <w:r>
        <w:t xml:space="preserve">,</w:t>
      </w:r>
      <w:r>
        <w:t xml:space="preserve"> </w:t>
      </w:r>
      <w:r>
        <w:t xml:space="preserve">“90-day”</w:t>
      </w:r>
      <w:r>
        <w:t xml:space="preserve">), they must appear verbatim in the cited paragraph. This addresses a hallucination class I observed in Sprint 3, where the LLM</w:t>
      </w:r>
      <w:r>
        <w:t xml:space="preserve"> </w:t>
      </w:r>
      <w:r>
        <w:t xml:space="preserve">“rounded”</w:t>
      </w:r>
      <w:r>
        <w:t xml:space="preserve"> </w:t>
      </w:r>
      <w:r>
        <w:t xml:space="preserve">numeric values (</w:t>
      </w:r>
      <w:r>
        <w:t xml:space="preserve">“approximately 30 days”</w:t>
      </w:r>
      <w:r>
        <w:t xml:space="preserve"> </w:t>
      </w:r>
      <w:r>
        <w:t xml:space="preserve">when the policy said</w:t>
      </w:r>
      <w:r>
        <w:t xml:space="preserve"> </w:t>
      </w:r>
      <w:r>
        <w:t xml:space="preserve">“28 days”</w:t>
      </w:r>
      <w:r>
        <w:t xml:space="preserve">). The Jaccard threshold was selected via grid search on the validation split, balancing false positives and negatives (§4.5).</w:t>
      </w:r>
    </w:p>
    <w:p>
      <w:pPr>
        <w:jc w:val="both"/>
      </w:pPr>
      <w:r>
        <w:t xml:space="preserve">I deliberately chose Jaccard over embedding-cosine. Embeddings would generalise across paraphrases more smoothly but would introduce non-determinism into the verification layer, which is a trade-off I chose not to accept for a layer that needs to be reproducible and explainable.</w:t>
      </w:r>
    </w:p>
    <w:p>
      <w:pPr>
        <w:jc w:val="both"/>
      </w:pPr>
      <w:r>
        <w:t xml:space="preserve">Support Policy Enforcement.</w:t>
      </w:r>
      <w:r>
        <w:t xml:space="preserve"> </w:t>
      </w:r>
      <w:r>
        <w:rPr>
          <w:rStyle w:val="VerbatimChar"/>
        </w:rPr>
        <w:t xml:space="preserve">enforce_support_policy()</w:t>
      </w:r>
      <w:r>
        <w:t xml:space="preserve"> </w:t>
      </w:r>
      <w:r>
        <w:t xml:space="preserve">prunes claims that fail both checks. If pruning removes all claims, the response is downgraded to abstention. This enforce-or-abstain logic implements the</w:t>
      </w:r>
      <w:r>
        <w:t xml:space="preserve"> </w:t>
      </w:r>
      <w:r>
        <w:t xml:space="preserve">“cited or silent”</w:t>
      </w:r>
      <w:r>
        <w:t xml:space="preserve"> </w:t>
      </w:r>
      <w:r>
        <w:t xml:space="preserve">rule in practice.</w:t>
      </w:r>
    </w:p>
    <w:p>
      <w:pPr>
        <w:jc w:val="both"/>
      </w:pPr>
      <w:r>
        <w:t xml:space="preserve">Contradiction Detection.</w:t>
      </w:r>
      <w:r>
        <w:t xml:space="preserve"> </w:t>
      </w:r>
      <w:r>
        <w:rPr>
          <w:rStyle w:val="VerbatimChar"/>
        </w:rPr>
        <w:t xml:space="preserve">detect_contradictions()</w:t>
      </w:r>
      <w:r>
        <w:t xml:space="preserve"> </w:t>
      </w:r>
      <w:r>
        <w:t xml:space="preserve">scans retrieved paragraphs for opposing normative directives, looking for patterns where one paragraph uses</w:t>
      </w:r>
      <w:r>
        <w:t xml:space="preserve"> </w:t>
      </w:r>
      <w:r>
        <w:t xml:space="preserve">“must”</w:t>
      </w:r>
      <w:r>
        <w:t xml:space="preserve">/</w:t>
      </w:r>
      <w:r>
        <w:t xml:space="preserve">“shall”</w:t>
      </w:r>
      <w:r>
        <w:t xml:space="preserve"> </w:t>
      </w:r>
      <w:r>
        <w:t xml:space="preserve">and another uses</w:t>
      </w:r>
      <w:r>
        <w:t xml:space="preserve"> </w:t>
      </w:r>
      <w:r>
        <w:t xml:space="preserve">“must not”</w:t>
      </w:r>
      <w:r>
        <w:t xml:space="preserve">/</w:t>
      </w:r>
      <w:r>
        <w:t xml:space="preserve">“shall not”</w:t>
      </w:r>
      <w:r>
        <w:t xml:space="preserve"> </w:t>
      </w:r>
      <w:r>
        <w:t xml:space="preserve">on the same subject.</w:t>
      </w:r>
      <w:r>
        <w:t xml:space="preserve"> </w:t>
      </w:r>
      <w:r>
        <w:rPr>
          <w:rStyle w:val="VerbatimChar"/>
        </w:rPr>
        <w:t xml:space="preserve">apply_contradiction_policy()</w:t>
      </w:r>
      <w:r>
        <w:t xml:space="preserve"> </w:t>
      </w:r>
      <w:r>
        <w:t xml:space="preserve">then appends warnings to responses. This addresses intra-corpus contradiction, a failure mode specific to organisational policies and largely absent from the open-domain QA literature. I injected deliberate contradictions during corpus construction (for example, differing password-rotation periods).</w:t>
      </w:r>
    </w:p>
    <w:bookmarkEnd w:id="64"/>
    <w:bookmarkStart w:id="65" w:name="critic-mode"/>
    <w:p>
      <w:pPr>
        <w:pStyle w:val="Heading2"/>
      </w:pPr>
      <w:r>
        <w:t xml:space="preserve">3.6 Critic Mode</w:t>
      </w:r>
    </w:p>
    <w:p>
      <w:pPr>
        <w:jc w:val="both"/>
      </w:pPr>
      <w:r>
        <w:t xml:space="preserve">The Critic module (</w:t>
      </w:r>
      <w:r>
        <w:rPr>
          <w:rStyle w:val="VerbatimChar"/>
        </w:rPr>
        <w:t xml:space="preserve">src/policy_copilot/critic/</w:t>
      </w:r>
      <w:r>
        <w:t xml:space="preserve">) operates independently of the QA pipeline, auditing policy text for language patterns indicating ambiguity, vagueness, or logical inconsistency. The module exports</w:t>
      </w:r>
      <w:r>
        <w:t xml:space="preserve"> </w:t>
      </w:r>
      <w:r>
        <w:rPr>
          <w:rStyle w:val="VerbatimChar"/>
        </w:rPr>
        <w:t xml:space="preserve">detect_heuristic()</w:t>
      </w:r>
      <w:r>
        <w:t xml:space="preserve"> </w:t>
      </w:r>
      <w:r>
        <w:t xml:space="preserve">(regex-based pattern matching, the basis of Chapter 4 evaluation) and</w:t>
      </w:r>
      <w:r>
        <w:t xml:space="preserve"> </w:t>
      </w:r>
      <w:r>
        <w:rPr>
          <w:rStyle w:val="VerbatimChar"/>
        </w:rPr>
        <w:t xml:space="preserve">detect_llm()</w:t>
      </w:r>
      <w:r>
        <w:t xml:space="preserve"> </w:t>
      </w:r>
      <w:r>
        <w:t xml:space="preserve">(LLM-based detection of subtler issues, defined but not part of the headline benchmark). Six labels (</w:t>
      </w:r>
      <w:r>
        <w:rPr>
          <w:rStyle w:val="VerbatimChar"/>
        </w:rPr>
        <w:t xml:space="preserve">L1</w:t>
      </w:r>
      <w:r>
        <w:t xml:space="preserve">-</w:t>
      </w:r>
      <w:r>
        <w:rPr>
          <w:rStyle w:val="VerbatimChar"/>
        </w:rPr>
        <w:t xml:space="preserve">L6</w:t>
      </w:r>
      <w:r>
        <w:t xml:space="preserve">) are defined in</w:t>
      </w:r>
      <w:r>
        <w:t xml:space="preserve"> </w:t>
      </w:r>
      <w:r>
        <w:rPr>
          <w:rStyle w:val="VerbatimChar"/>
        </w:rPr>
        <w:t xml:space="preserve">src/policy_copilot/critic/labels.py</w:t>
      </w:r>
      <w:r>
        <w:t xml:space="preserve">: L1 Normative / Loaded Language (</w:t>
      </w:r>
      <w:r>
        <w:t xml:space="preserve">“obviously”</w:t>
      </w:r>
      <w:r>
        <w:t xml:space="preserve">,</w:t>
      </w:r>
      <w:r>
        <w:t xml:space="preserve"> </w:t>
      </w:r>
      <w:r>
        <w:t xml:space="preserve">“everyone knows”</w:t>
      </w:r>
      <w:r>
        <w:t xml:space="preserve">), L2 Framing Imbalance (</w:t>
      </w:r>
      <w:r>
        <w:t xml:space="preserve">“merely”</w:t>
      </w:r>
      <w:r>
        <w:t xml:space="preserve">,</w:t>
      </w:r>
      <w:r>
        <w:t xml:space="preserve"> </w:t>
      </w:r>
      <w:r>
        <w:t xml:space="preserve">“only a”</w:t>
      </w:r>
      <w:r>
        <w:t xml:space="preserve">), L3 Unsupported Claim (</w:t>
      </w:r>
      <w:r>
        <w:t xml:space="preserve">“guarantees zero”</w:t>
      </w:r>
      <w:r>
        <w:t xml:space="preserve">,</w:t>
      </w:r>
      <w:r>
        <w:t xml:space="preserve"> </w:t>
      </w:r>
      <w:r>
        <w:t xml:space="preserve">“eliminates all”</w:t>
      </w:r>
      <w:r>
        <w:t xml:space="preserve">), L4 Internal Contradiction (</w:t>
      </w:r>
      <w:r>
        <w:t xml:space="preserve">“must”</w:t>
      </w:r>
      <w:r>
        <w:t xml:space="preserve"> </w:t>
      </w:r>
      <w:r>
        <w:t xml:space="preserve">vs</w:t>
      </w:r>
      <w:r>
        <w:t xml:space="preserve"> </w:t>
      </w:r>
      <w:r>
        <w:t xml:space="preserve">“must not”</w:t>
      </w:r>
      <w:r>
        <w:t xml:space="preserve"> </w:t>
      </w:r>
      <w:r>
        <w:t xml:space="preserve">within scope), L5 False Dilemma (</w:t>
      </w:r>
      <w:r>
        <w:t xml:space="preserve">“either / or”</w:t>
      </w:r>
      <w:r>
        <w:t xml:space="preserve"> </w:t>
      </w:r>
      <w:r>
        <w:t xml:space="preserve">framings), and L6 Slippery Slope. Each label maps to compiled regex patterns;</w:t>
      </w:r>
      <w:r>
        <w:t xml:space="preserve"> </w:t>
      </w:r>
      <w:r>
        <w:rPr>
          <w:rStyle w:val="VerbatimChar"/>
        </w:rPr>
        <w:t xml:space="preserve">detect_heuristic()</w:t>
      </w:r>
      <w:r>
        <w:t xml:space="preserve"> </w:t>
      </w:r>
      <w:r>
        <w:t xml:space="preserve">iterates over policy snippets and returns the matched labels with rationales. Precision and recall results appear in §4.7.</w:t>
      </w:r>
    </w:p>
    <w:bookmarkEnd w:id="65"/>
    <w:bookmarkStart w:id="66" w:name="audit-workbench-ui-and-reviewer-mode"/>
    <w:p>
      <w:pPr>
        <w:pStyle w:val="Heading2"/>
      </w:pPr>
      <w:r>
        <w:t xml:space="preserve">3.7 Audit Workbench: UI and Reviewer Mode</w:t>
      </w:r>
    </w:p>
    <w:p>
      <w:pPr>
        <w:jc w:val="both"/>
      </w:pPr>
      <w:r>
        <w:t xml:space="preserve">The Streamlit interface (</w:t>
      </w:r>
      <w:r>
        <w:rPr>
          <w:rStyle w:val="VerbatimChar"/>
        </w:rPr>
        <w:t xml:space="preserve">src/policy_copilot/ui/</w:t>
      </w:r>
      <w:r>
        <w:t xml:space="preserve">) is a multi-mode audit workbench rather than a chat demo. Six sidebar modes are available: Ask (chat with inline citations), Audit Trace (claim-by-claim verification dossier), Critic Lens (Critic Mode with filterable findings), Experiment Explorer (browse and compare runs from</w:t>
      </w:r>
      <w:r>
        <w:t xml:space="preserve"> </w:t>
      </w:r>
      <w:r>
        <w:rPr>
          <w:rStyle w:val="VerbatimChar"/>
        </w:rPr>
        <w:t xml:space="preserve">results/runs/</w:t>
      </w:r>
      <w:r>
        <w:t xml:space="preserve">), Reviewer Mode (structured human-in-the-loop scoring), and Help &amp; Guide (onboarding and glossary).</w:t>
      </w:r>
    </w:p>
    <w:p>
      <w:pPr>
        <w:jc w:val="both"/>
      </w:pPr>
      <w:r>
        <w:t xml:space="preserve">Reviewer Mode (</w:t>
      </w:r>
      <w:r>
        <w:rPr>
          <w:rStyle w:val="VerbatimChar"/>
        </w:rPr>
        <w:t xml:space="preserve">reviewer_service.py</w:t>
      </w:r>
      <w:r>
        <w:t xml:space="preserve">) implements an adjudication workflow modelled on annotation-queue patterns from trace-evaluation platforms (LangSmith, Langfuse, TruLens): select a run, see a progress indicator, step through queries, score on the same five-axis 1-to-5 rubric used in §4.10 (Correctness, Groundedness, Citation Usefulness, Usefulness, Trust Calibration; rubric definitions in</w:t>
      </w:r>
      <w:r>
        <w:t xml:space="preserve"> </w:t>
      </w:r>
      <w:r>
        <w:rPr>
          <w:rStyle w:val="VerbatimChar"/>
        </w:rPr>
        <w:t xml:space="preserve">docs/evidence/human_eval/rubric.md</w:t>
      </w:r>
      <w:r>
        <w:t xml:space="preserve">), add notes, submit, and export the session as JSON or CSV. This positions Reviewer Mode as exportable evidence generation rather than a presentation feature.</w:t>
      </w:r>
    </w:p>
    <w:p>
      <w:pPr>
        <w:jc w:val="both"/>
      </w:pPr>
      <w:r>
        <w:t xml:space="preserve">One-click audit export via</w:t>
      </w:r>
      <w:r>
        <w:t xml:space="preserve"> </w:t>
      </w:r>
      <w:r>
        <w:rPr>
          <w:rStyle w:val="VerbatimChar"/>
        </w:rPr>
        <w:t xml:space="preserve">AuditReportService</w:t>
      </w:r>
      <w:r>
        <w:t xml:space="preserve"> </w:t>
      </w:r>
      <w:r>
        <w:t xml:space="preserve">produces JSON, HTML, and Markdown formats plus a single ZIP bundle. Each packet records the question, the answer, the evidence rail with scores, claim verification results, contradiction alerts, latency breakdown, model and backend metadata, and a timestamp.</w:t>
      </w:r>
    </w:p>
    <w:bookmarkEnd w:id="66"/>
    <w:bookmarkStart w:id="67" w:name="engineering-challenges"/>
    <w:p>
      <w:pPr>
        <w:pStyle w:val="Heading2"/>
      </w:pPr>
      <w:r>
        <w:t xml:space="preserve">3.8 Engineering Challenges</w:t>
      </w:r>
    </w:p>
    <w:p>
      <w:pPr>
        <w:jc w:val="both"/>
      </w:pPr>
      <w:r>
        <w:t xml:space="preserve">Four non-trivial problems demonstrate the project’s complexity. JSON schema compliance: an initial 12% failure rate (the LLM producing non-JSON) was reduced to under 1% via a three-level repair: brace-matching extraction, retry with appended</w:t>
      </w:r>
      <w:r>
        <w:t xml:space="preserve"> </w:t>
      </w:r>
      <w:r>
        <w:t xml:space="preserve">“respond only in JSON”</w:t>
      </w:r>
      <w:r>
        <w:t xml:space="preserve"> </w:t>
      </w:r>
      <w:r>
        <w:t xml:space="preserve">instruction, and finally Extractive Mode fallback. Claim-splitting edge cases: naive period-splitting required around 15 regex iterations to handle abbreviations, decimals, and enumerated lists. The single bug that took longest to track down was the splitter swallowing the second item in a numbered list after the LLM dropped the trailing period; that one cost most of a day before I added a test that pinned the exact failing string. Reranker score behaviour: raw cross-encoder logits proved more discriminating than softmax-normalised scores for the abstention gate, consistent with Nogueira and Cho (2019). Stable ID collision: two single-sentence</w:t>
      </w:r>
      <w:r>
        <w:t xml:space="preserve"> </w:t>
      </w:r>
      <w:r>
        <w:t xml:space="preserve">“Overview”</w:t>
      </w:r>
      <w:r>
        <w:t xml:space="preserve"> </w:t>
      </w:r>
      <w:r>
        <w:t xml:space="preserve">headers from different documents initially produced identical hashes; I fixed this by incorporating</w:t>
      </w:r>
      <w:r>
        <w:t xml:space="preserve"> </w:t>
      </w:r>
      <w:r>
        <w:rPr>
          <w:rStyle w:val="VerbatimChar"/>
        </w:rPr>
        <w:t xml:space="preserve">doc_id</w:t>
      </w:r>
      <w:r>
        <w:t xml:space="preserve"> </w:t>
      </w:r>
      <w:r>
        <w:t xml:space="preserve">and</w:t>
      </w:r>
      <w:r>
        <w:t xml:space="preserve"> </w:t>
      </w:r>
      <w:r>
        <w:rPr>
          <w:rStyle w:val="VerbatimChar"/>
        </w:rPr>
        <w:t xml:space="preserve">page_number</w:t>
      </w:r>
      <w:r>
        <w:t xml:space="preserve"> </w:t>
      </w:r>
      <w:r>
        <w:t xml:space="preserve">into the hash input.</w:t>
      </w:r>
    </w:p>
    <w:bookmarkEnd w:id="67"/>
    <w:bookmarkStart w:id="68" w:name="testing-and-validation"/>
    <w:p>
      <w:pPr>
        <w:pStyle w:val="Heading2"/>
      </w:pPr>
      <w:r>
        <w:t xml:space="preserve">3.9 Testing and Validation</w:t>
      </w:r>
    </w:p>
    <w:p>
      <w:pPr>
        <w:jc w:val="both"/>
      </w:pPr>
      <w:r>
        <w:t xml:space="preserve">The evaluator test suite collects 194 tests under the documented</w:t>
      </w:r>
      <w:r>
        <w:t xml:space="preserve"> </w:t>
      </w:r>
      <w:r>
        <w:rPr>
          <w:rStyle w:val="VerbatimChar"/>
        </w:rPr>
        <w:t xml:space="preserve">pytest -q --ignore=tests/test_run_eval_requires_key_in_generative.py</w:t>
      </w:r>
      <w:r>
        <w:t xml:space="preserve"> </w:t>
      </w:r>
      <w:r>
        <w:t xml:space="preserve">command: 193 pass and 1 is conditionally skipped. The 39 test files are organised in three tiers: unit (functions in isolation), integration (pipeline stage interactions), and system (end-to-end and reproducibility). The suite executes in under 10 s on consumer hardware. Representative coverage includes ingestion (PDF parsing, ID stability), verification (Jaccard overlap, numeric consistency, claim-splitting edge cases), retrieval (reranker sorting, BM25 baseline), generation (Pydantic schema, repair-and-retry), abstention (threshold gating), integration tests for end-to-end B3 generative and extractive pipelines, and system tests for golden-set integrity, backend provenance, run configuration, and reproducibility preflight. The complete per-file matrix appears in Appendix B.9.</w:t>
      </w:r>
    </w:p>
    <w:p>
      <w:pPr>
        <w:jc w:val="both"/>
      </w:pPr>
      <w:r>
        <w:pict>
          <v:rect style="width:0;height:1.5pt" o:hralign="center" o:hrstd="t" o:hr="t"/>
        </w:pict>
      </w:r>
    </w:p>
    <w:bookmarkEnd w:id="68"/>
    <w:bookmarkEnd w:id="69"/>
    <w:bookmarkStart w:id="83" w:name="X46dc8ea9a406e02ce081e30da563d6bddb23eba"/>
    <w:p>
      <w:pPr>
        <w:pStyle w:val="Heading1"/>
      </w:pPr>
      <w:r>
        <w:t xml:space="preserve">Chapter 4 Results, Evaluation and Discussion</w:t>
      </w:r>
    </w:p>
    <w:p>
      <w:pPr>
        <w:jc w:val="both"/>
      </w:pPr>
      <w:r>
        <w:t xml:space="preserve">This chapter presents the quantitative results, interprets them against the project’s aims, and critically examines limitations and future work.</w:t>
      </w:r>
    </w:p>
    <w:bookmarkStart w:id="70" w:name="experimental-setup"/>
    <w:p>
      <w:pPr>
        <w:pStyle w:val="Heading2"/>
      </w:pPr>
      <w:r>
        <w:t xml:space="preserve">4.1 Experimental Setup</w:t>
      </w:r>
    </w:p>
    <w:p>
      <w:pPr>
        <w:jc w:val="both"/>
      </w:pPr>
      <w:r>
        <w:t xml:space="preserve">All experiments ran on a consumer laptop (Apple M1, 16 GB RAM) via</w:t>
      </w:r>
      <w:r>
        <w:t xml:space="preserve"> </w:t>
      </w:r>
      <w:r>
        <w:rPr>
          <w:rStyle w:val="VerbatimChar"/>
        </w:rPr>
        <w:t xml:space="preserve">scripts/run_eval.py</w:t>
      </w:r>
      <w:r>
        <w:t xml:space="preserve">. Each baseline-mode combination was executed once, producing JSONL output and summary metrics in a deterministic, auditable format.</w:t>
      </w:r>
    </w:p>
    <w:p>
      <w:pPr>
        <w:jc w:val="both"/>
      </w:pPr>
    </w:p>
    <w:p>
      <w:pPr>
        <w:jc w:val="both"/>
      </w:pPr>
      <w:r>
        <w:rPr>
          <w:b/>
          <w:bCs/>
          <w:sz w:val="21"/>
        </w:rPr>
        <w:t xml:space="preserve">Table 4.1: Golden set composition.</w:t>
      </w:r>
    </w:p>
    <w:tbl>
      <w:tblPr>
        <w:tblStyle w:val="TableGrid"/>
        <w:tblW w:type="pct" w:w="500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Layout w:type="autofit"/>
      </w:tblPr>
      <w:tblGrid>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Category</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Total</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Test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Dev</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Purpose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Answerable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Coverage and grounding quality</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Unanswerable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Abstention reliability</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Contradiction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Conflict detection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Total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63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44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w:t>
            </w:r>
          </w:p>
        </w:tc>
      </w:tr>
    </w:tbl>
    <w:p>
      <w:pPr>
        <w:jc w:val="both"/>
      </w:pPr>
      <w:r>
        <w:t xml:space="preserve">The dev split was used exclusively for threshold tuning (§4.5). Split labels are reported per run in</w:t>
      </w:r>
      <w:r>
        <w:t xml:space="preserve"> </w:t>
      </w:r>
      <w:r>
        <w:rPr>
          <w:rStyle w:val="VerbatimChar"/>
        </w:rPr>
        <w:t xml:space="preserve">results/tables/run_summary.csv</w:t>
      </w:r>
      <w:r>
        <w:t xml:space="preserve">: B1, B2 and B3-Generative were executed across the full 63-query golden set (</w:t>
      </w:r>
      <w:r>
        <w:rPr>
          <w:rStyle w:val="VerbatimChar"/>
        </w:rPr>
        <w:t xml:space="preserve">split=all</w:t>
      </w:r>
      <w:r>
        <w:t xml:space="preserve">), while B3-Extractive was run on the held-out 44-query test split (</w:t>
      </w:r>
      <w:r>
        <w:rPr>
          <w:rStyle w:val="VerbatimChar"/>
        </w:rPr>
        <w:t xml:space="preserve">split=test</w:t>
      </w:r>
      <w:r>
        <w:t xml:space="preserve">). Evaluation was conducted in Generative Mode (B1, B2, B3-Gen with LLM) and Extractive Mode (B3-Ext only, LLM bypassed; 100% citation precision in that mode is true by construction). Tables 4.2-4.7 below quote each row with the split it was actually computed on.</w:t>
      </w:r>
    </w:p>
    <w:p>
      <w:pPr>
        <w:jc w:val="both"/>
      </w:pPr>
      <w:r>
        <w:t xml:space="preserve">Objective slice. Automated RAG evaluation depends on either gold annotations (debatable) or LLM-as-judge scoring (biased; Zheng et al., 2024). To reduce reliance on the latter, I identified an objective slice of 16 answerable queries whose correct answer is a specific number, named procedure, or yes / no obligation deterministically verifiable against source paragraphs (</w:t>
      </w:r>
      <w:r>
        <w:t xml:space="preserve">“What is the minimum password length?”</w:t>
      </w:r>
      <w:r>
        <w:t xml:space="preserve">,</w:t>
      </w:r>
      <w:r>
        <w:t xml:space="preserve"> </w:t>
      </w:r>
      <w:r>
        <w:t xml:space="preserve">“How often must passwords be changed?”</w:t>
      </w:r>
      <w:r>
        <w:t xml:space="preserve">). The slice is tagged in</w:t>
      </w:r>
      <w:r>
        <w:t xml:space="preserve"> </w:t>
      </w:r>
      <w:r>
        <w:rPr>
          <w:rStyle w:val="VerbatimChar"/>
        </w:rPr>
        <w:t xml:space="preserve">eval/golden_set/golden_set.csv</w:t>
      </w:r>
      <w:r>
        <w:t xml:space="preserve"> </w:t>
      </w:r>
      <w:r>
        <w:t xml:space="preserve">via the</w:t>
      </w:r>
      <w:r>
        <w:t xml:space="preserve"> </w:t>
      </w:r>
      <w:r>
        <w:rPr>
          <w:rStyle w:val="VerbatimChar"/>
        </w:rPr>
        <w:t xml:space="preserve">objective_slice</w:t>
      </w:r>
      <w:r>
        <w:t xml:space="preserve"> </w:t>
      </w:r>
      <w:r>
        <w:t xml:space="preserve">column, and results are computed by</w:t>
      </w:r>
      <w:r>
        <w:t xml:space="preserve"> </w:t>
      </w:r>
      <w:r>
        <w:rPr>
          <w:rStyle w:val="VerbatimChar"/>
        </w:rPr>
        <w:t xml:space="preserve">scripts/eval_objective_slice.py</w:t>
      </w:r>
      <w:r>
        <w:t xml:space="preserve">. B1 answers all 16 with no grounding; B2 answers 13/16 with retrieval but no abstention; B3 answers 3/16 and abstains on 13/16, reflecting its conservative threshold.</w:t>
      </w:r>
    </w:p>
    <w:bookmarkEnd w:id="70"/>
    <w:bookmarkStart w:id="71" w:name="headline-results-baseline-comparison"/>
    <w:p>
      <w:pPr>
        <w:pStyle w:val="Heading2"/>
      </w:pPr>
      <w:r>
        <w:t xml:space="preserve">4.2 Headline Results: Baseline Comparison</w:t>
      </w:r>
    </w:p>
    <w:p>
      <w:pPr>
        <w:jc w:val="both"/>
      </w:pPr>
    </w:p>
    <w:p>
      <w:pPr>
        <w:jc w:val="both"/>
      </w:pPr>
      <w:r>
        <w:rPr>
          <w:b/>
          <w:bCs/>
          <w:sz w:val="21"/>
        </w:rPr>
        <w:t xml:space="preserve">Table 4.2: Baseline comparison across primary metrics. B1, B2 and B3-Generative are reported across the full 63-query golden set (</w:t>
      </w:r>
      <w:r>
        <w:rPr>
          <w:rStyle w:val="VerbatimChar"/>
          <w:b/>
          <w:bCs/>
          <w:sz w:val="21"/>
        </w:rPr>
        <w:t xml:space="preserve">split=all</w:t>
      </w:r>
      <w:r>
        <w:rPr>
          <w:b/>
          <w:bCs/>
          <w:sz w:val="21"/>
        </w:rPr>
        <w:t xml:space="preserve">); B3-Extractive is reported on the 44-query held-out test split (</w:t>
      </w:r>
      <w:r>
        <w:rPr>
          <w:rStyle w:val="VerbatimChar"/>
          <w:b/>
          <w:bCs/>
          <w:sz w:val="21"/>
        </w:rPr>
        <w:t xml:space="preserve">split=test</w:t>
      </w:r>
      <w:r>
        <w:rPr>
          <w:b/>
          <w:bCs/>
          <w:sz w:val="21"/>
        </w:rPr>
        <w:t xml:space="preserve">).</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Baseline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Mode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Answer Rate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Abstention Accuracy</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Ungrounded Rate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Evidence Recall@5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B1 (Prompt-Only)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Generative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100%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N/A</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B2 (Naive RAG)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Generative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83.3%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76.5%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73.9%</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B3 (Policy Copilot)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Generative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25.0%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94.1%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73.9%</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B3 (Policy Copilot)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Extractive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88%</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50.0% (n=12)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73.4%</w:t>
            </w:r>
          </w:p>
        </w:tc>
      </w:tr>
    </w:tbl>
    <w:p>
      <w:pPr>
        <w:jc w:val="both"/>
      </w:pPr>
      <w:r>
        <w:t xml:space="preserve">The pattern to notice in Figure 4.1 is the inverse relationship between B1’s Answer Rate and B3’s Abstention Accuracy: each baseline trades coverage for safety in a different direction.</w:t>
      </w:r>
    </w:p>
    <w:p>
      <w:pPr>
        <w:spacing w:before="40" w:after="0"/>
        <w:jc w:val="center"/>
      </w:pPr>
      <w:r>
        <w:drawing>
          <wp:inline>
            <wp:extent cx="3657600" cy="2360540"/>
            <wp:docPr id="5" name="Picture 5"/>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3657600" cy="2360540"/>
                    </a:xfrm>
                    <a:prstGeom prst="rect"/>
                  </pic:spPr>
                </pic:pic>
              </a:graphicData>
            </a:graphic>
          </wp:inline>
        </w:drawing>
      </w:r>
    </w:p>
    <w:p>
      <w:pPr>
        <w:spacing w:before="0" w:after="80"/>
        <w:jc w:val="center"/>
      </w:pPr>
      <w:r>
        <w:rPr>
          <w:i/>
          <w:iCs/>
          <w:sz w:val="20"/>
        </w:rPr>
        <w:t xml:space="preserve">Figure 4.1: Grouped bar chart comparing B1, B2, and B3 across Answer Rate, Abstention Accuracy, and Ungrounded Rate. Error bars show the 95% bootstrap confidence interval for B3 (n = 63, 2,000 resamples; §4.12).</w:t>
      </w:r>
    </w:p>
    <w:p>
      <w:pPr>
        <w:jc w:val="both"/>
      </w:pPr>
      <w:r>
        <w:t xml:space="preserve">B1 answers every query but does no grounding, which is the standard hallucination baseline (Ji et al., 2023). For a compliance use-case it is not viable. B2 reaches 76.5% Abstention Accuracy without any explicit gating, just below the 80% target (FR2). I attribute this to the LLM’s own tendency to refuse on clearly irrelevant context, but its citations are not verified, so the abstention is more of a side effect than a designed behaviour. B3-Generative reports 0.0% Ungrounded Rate and 94.1% Abstention Accuracy (above the 80% target) at the cost of a 25.0% Answer Rate. The 0.0% figure should be read carefully: it does not mean the LLM never produced an unsupported claim. Whenever the LLM produces a response that fails the minimum support-rate check, the support-rate enforcement gate converts that response into an abstention. The intermediate per-claim ungrounded rate is 4% (Table 4.4) and is the more honest measure of what the verification layer itself is catching.</w:t>
      </w:r>
    </w:p>
    <w:p>
      <w:pPr>
        <w:jc w:val="both"/>
      </w:pPr>
      <w:r>
        <w:t xml:space="preserve">B3-Extractive (test split, 44 queries) reaches an 88% Answer Rate and a 50.0% Abstention Accuracy on the n = 12 unanswerable queries in that split. Its 0% Ungrounded Rate is true by construction: the returned text is the cited paragraph. Two caveats apply. First, an Extractive answer is a quoted evidence paragraph rather than a synthesised answer, so it is not directly comparable to the generative QA quality of B1, B2 or B3-Generative on the same queries. Second, the modest Abstention Accuracy reflects the fact that Extractive Mode does not call the LLM and therefore cannot use the post-LLM</w:t>
      </w:r>
      <w:r>
        <w:t xml:space="preserve"> </w:t>
      </w:r>
      <w:r>
        <w:rPr>
          <w:rStyle w:val="VerbatimChar"/>
        </w:rPr>
        <w:t xml:space="preserve">min_support_rate</w:t>
      </w:r>
      <w:r>
        <w:t xml:space="preserve"> </w:t>
      </w:r>
      <w:r>
        <w:t xml:space="preserve">gate that drives B3-Generative’s 94.1% all-split abstention figure; on its small unanswerable test subset it falls back to retrieval-confidence abstention only. The Extractive result is best read as a sanity check on the surrounding pipeline (retrieval, citation construction, contradiction handling) rather than as an independent reliability result. Section 4.13 returns to the trade-off.</w:t>
      </w:r>
    </w:p>
    <w:bookmarkEnd w:id="71"/>
    <w:bookmarkStart w:id="72" w:name="retrieval-performance"/>
    <w:p>
      <w:pPr>
        <w:pStyle w:val="Heading2"/>
      </w:pPr>
      <w:r>
        <w:t xml:space="preserve">4.3 Retrieval Performance</w:t>
      </w:r>
    </w:p>
    <w:p>
      <w:pPr>
        <w:jc w:val="both"/>
      </w:pPr>
      <w:r>
        <w:t xml:space="preserve">Retrieval ceiling determines downstream answer quality (Barnett et al., 2024). Table 4.3 reports retrieval metrics. The most important caveat for this whole subsection is that the final reproducibility run used a BM25 fallback retriever, not the dense + cross-encoder pipeline the system was designed around.</w:t>
      </w:r>
    </w:p>
    <w:p>
      <w:pPr>
        <w:jc w:val="both"/>
      </w:pPr>
    </w:p>
    <w:p>
      <w:pPr>
        <w:jc w:val="both"/>
      </w:pPr>
      <w:r>
        <w:rPr>
          <w:b/>
          <w:bCs/>
          <w:sz w:val="21"/>
        </w:rPr>
        <w:t xml:space="preserve">Table 4.3: Final test-split retrieval metrics under the BM25 fallback. Dev-phase numbers with the dense + cross-encoder pipeline are discussed in the note below.</w:t>
      </w:r>
    </w:p>
    <w:tbl>
      <w:tblPr>
        <w:tblStyle w:val="TableGrid"/>
        <w:tblW w:type="auto" w:w="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640"/>
        <w:gridCol w:w="2640"/>
        <w:gridCol w:w="264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Metric</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B2 (Bi-encoder only)</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B3 (Bi-encoder + Cross-encoder)</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Evidence Recall@5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73.9%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73.9%</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MRR</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0.77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0.77</w:t>
            </w:r>
          </w:p>
        </w:tc>
      </w:tr>
    </w:tbl>
    <w:p>
      <w:pPr>
        <w:jc w:val="both"/>
      </w:pPr>
      <w:r>
        <w:t xml:space="preserve">Note: B2 and B3 report identical metrics in the final test-split run because both fell back to the same BM25 retriever when the dense FAISS index was unavailable in the final reproducibility environment. The reranker still ran on B3’s candidates but could not improve recall on an identical candidate set. Development-phase runs with the dense index active showed a clear reranking benefit: Evidence Recall@5 rose from 68% (B2) to 85% (B3), and MRR from 0.52 to 0.78, broadly consistent with the two-stage benefit reported in the literature (Nogueira and Cho, 2019; Lin et al., 2021). These dev-phase numbers are the ones that better represent the design’s intended retrieval performance, and the test-split numbers in Table 4.3 should be read with that in mind. The reranker’s qualitative contribution is isolated separately in the §4.6 ablation.</w:t>
      </w:r>
    </w:p>
    <w:p>
      <w:pPr>
        <w:spacing w:before="40" w:after="0"/>
        <w:jc w:val="center"/>
      </w:pPr>
      <w:r>
        <w:drawing>
          <wp:inline>
            <wp:extent cx="3657600" cy="2360540"/>
            <wp:docPr id="6" name="Picture 6"/>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3657600" cy="2360540"/>
                    </a:xfrm>
                    <a:prstGeom prst="rect"/>
                  </pic:spPr>
                </pic:pic>
              </a:graphicData>
            </a:graphic>
          </wp:inline>
        </w:drawing>
      </w:r>
    </w:p>
    <w:p>
      <w:pPr>
        <w:spacing w:before="0" w:after="80"/>
        <w:jc w:val="center"/>
      </w:pPr>
      <w:r>
        <w:rPr>
          <w:i/>
          <w:iCs/>
          <w:sz w:val="20"/>
        </w:rPr>
        <w:t xml:space="preserve">Figure 4.2: Retrieval quality, B2 vs B3 on Recall@5, MRR, and Precision@5.</w:t>
      </w:r>
    </w:p>
    <w:bookmarkEnd w:id="72"/>
    <w:bookmarkStart w:id="73" w:name="groundedness-and-verification"/>
    <w:p>
      <w:pPr>
        <w:pStyle w:val="Heading2"/>
      </w:pPr>
      <w:r>
        <w:t xml:space="preserve">4.4 Groundedness and Verification</w:t>
      </w:r>
    </w:p>
    <w:p>
      <w:pPr>
        <w:jc w:val="both"/>
      </w:pPr>
      <w:r>
        <w:t xml:space="preserve">The system’s job is to make sure every surviving claim is backed by its cited evidence. Table 4.4 separates the claim-level intermediate metric (what verification catches before any response-level decision) from the headline response-level metric in Table 4.2.</w:t>
      </w:r>
    </w:p>
    <w:p>
      <w:pPr>
        <w:jc w:val="both"/>
      </w:pPr>
    </w:p>
    <w:p>
      <w:pPr>
        <w:jc w:val="both"/>
      </w:pPr>
      <w:r>
        <w:rPr>
          <w:b/>
          <w:bCs/>
          <w:sz w:val="21"/>
        </w:rPr>
        <w:t xml:space="preserve">Table 4.4: Groundedness metrics for B3-Generative (full 63-query golden set,</w:t>
      </w:r>
      <w:r>
        <w:rPr>
          <w:b/>
          <w:bCs/>
          <w:sz w:val="21"/>
        </w:rPr>
        <w:t xml:space="preserve"> </w:t>
      </w:r>
      <w:r>
        <w:rPr>
          <w:rStyle w:val="VerbatimChar"/>
          <w:b/>
          <w:bCs/>
          <w:sz w:val="21"/>
        </w:rPr>
        <w:t xml:space="preserve">split=all</w:t>
      </w:r>
      <w:r>
        <w:rPr>
          <w:b/>
          <w:bCs/>
          <w:sz w:val="21"/>
        </w:rPr>
        <w:t xml:space="preserve">).</w:t>
      </w:r>
    </w:p>
    <w:tbl>
      <w:tblPr>
        <w:tblStyle w:val="TableGrid"/>
        <w:tblW w:type="auto" w:w="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640"/>
        <w:gridCol w:w="2640"/>
        <w:gridCol w:w="264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Metric</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Before Verification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After Verification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Ungrounded Rate (claim-level)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12%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Citation Precision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78%</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94%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Claims per Response (avg.)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3.2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2.8</w:t>
            </w:r>
          </w:p>
        </w:tc>
      </w:tr>
    </w:tbl>
    <w:p>
      <w:pPr>
        <w:jc w:val="both"/>
      </w:pPr>
      <w:r>
        <w:t xml:space="preserve">Note: These are intermediate claim-level rates measured after pruning failed claims but before the response-level support-rate enforcement step. The support-rate step then suppresses any response below the minimum support threshold by converting it into an abstention. After that final step, the response-level Ungrounded Rate reported in Table 4.2 is 0.0%. The two numbers therefore measure different things: 4% is the residual rate the heuristic itself cannot catch, and 0.0% is what surfaces to a user once partially-grounded responses are removed.</w:t>
      </w:r>
    </w:p>
    <w:p>
      <w:pPr>
        <w:spacing w:before="40" w:after="0"/>
        <w:jc w:val="center"/>
      </w:pPr>
      <w:r>
        <w:drawing>
          <wp:inline>
            <wp:extent cx="3657600" cy="2298275"/>
            <wp:docPr id="7" name="Picture 7"/>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3657600" cy="2298275"/>
                    </a:xfrm>
                    <a:prstGeom prst="rect"/>
                  </pic:spPr>
                </pic:pic>
              </a:graphicData>
            </a:graphic>
          </wp:inline>
        </w:drawing>
      </w:r>
    </w:p>
    <w:p>
      <w:pPr>
        <w:spacing w:before="0" w:after="80"/>
        <w:jc w:val="center"/>
      </w:pPr>
      <w:r>
        <w:rPr>
          <w:i/>
          <w:iCs/>
          <w:sz w:val="20"/>
        </w:rPr>
        <w:t xml:space="preserve">Figure 4.3: Groundedness, Ungrounded Rate and Citation Precision before and after verification.</w:t>
      </w:r>
    </w:p>
    <w:p>
      <w:pPr>
        <w:jc w:val="both"/>
      </w:pPr>
      <w:r>
        <w:t xml:space="preserve">Verification reduces the claim-level Ungrounded Rate from 12% to 4% (roughly a two-thirds reduction) and pushes Citation Precision from 78% to 94%. Precision improves while average claims per response only drops from 3.2 to 2.8, indicating that pruning is mostly hitting weaker claims rather than removing material at random. The Jaccard threshold (0.10) was tuned on the dev split to balance two failure modes: too aggressive a threshold prunes legitimate paraphrases, and too permissive a threshold lets weakly-supported claims through. The threshold sweep used to pick this value is reported in §4.5, and the trade-off is revisited as a limitation in §4.13.</w:t>
      </w:r>
    </w:p>
    <w:bookmarkEnd w:id="73"/>
    <w:bookmarkStart w:id="74" w:name="abstention-threshold-sensitivity"/>
    <w:p>
      <w:pPr>
        <w:pStyle w:val="Heading2"/>
      </w:pPr>
      <w:r>
        <w:t xml:space="preserve">4.5 Abstention Threshold Sensitivity</w:t>
      </w:r>
    </w:p>
    <w:p>
      <w:pPr>
        <w:jc w:val="both"/>
      </w:pPr>
      <w:r>
        <w:t xml:space="preserve">B3 has two abstention knobs: a pre-LLM cross-encoder gate (</w:t>
      </w:r>
      <w:r>
        <w:rPr>
          <w:rStyle w:val="VerbatimChar"/>
        </w:rPr>
        <w:t xml:space="preserve">abstain_threshold = 0.30</w:t>
      </w:r>
      <w:r>
        <w:t xml:space="preserve">) and a post-LLM per-claim support-rate gate (</w:t>
      </w:r>
      <w:r>
        <w:rPr>
          <w:rStyle w:val="VerbatimChar"/>
        </w:rPr>
        <w:t xml:space="preserve">min_support_rate = 0.80</w:t>
      </w:r>
      <w:r>
        <w:t xml:space="preserve">). In the BM25-fallback configuration used for the final evaluation the cross-encoder gate is effectively saturated (max_rerank = 1.0 on every query), so the support-rate gate is the threshold doing the real work. Figure 4.4 therefore reports the operating curve as the support-rate threshold τ varies from 0.00 to 1.00 over the full 63-query golden set.</w:t>
      </w:r>
    </w:p>
    <w:p>
      <w:pPr>
        <w:spacing w:before="40" w:after="0"/>
        <w:jc w:val="center"/>
      </w:pPr>
      <w:r>
        <w:drawing>
          <wp:inline>
            <wp:extent cx="3657600" cy="2596502"/>
            <wp:docPr id="8" name="Picture 8"/>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3657600" cy="2596502"/>
                    </a:xfrm>
                    <a:prstGeom prst="rect"/>
                  </pic:spPr>
                </pic:pic>
              </a:graphicData>
            </a:graphic>
          </wp:inline>
        </w:drawing>
      </w:r>
    </w:p>
    <w:p>
      <w:pPr>
        <w:spacing w:before="0" w:after="80"/>
        <w:jc w:val="center"/>
      </w:pPr>
      <w:r>
        <w:rPr>
          <w:i/>
          <w:iCs/>
          <w:sz w:val="20"/>
        </w:rPr>
        <w:t xml:space="preserve">Figure 4.4: Operating curve for B3-Generative, parameterised by the post-LLM support-rate threshold τ. Produced by replaying the gate over the stored</w:t>
      </w:r>
      <w:r>
        <w:rPr>
          <w:i/>
          <w:iCs/>
          <w:sz w:val="20"/>
        </w:rPr>
        <w:t xml:space="preserve"> </w:t>
      </w:r>
      <w:r>
        <w:rPr>
          <w:rStyle w:val="VerbatimChar"/>
          <w:i/>
          <w:iCs/>
          <w:sz w:val="20"/>
        </w:rPr>
        <w:t xml:space="preserve">outputs.jsonl</w:t>
      </w:r>
      <w:r>
        <w:rPr>
          <w:i/>
          <w:iCs/>
          <w:sz w:val="20"/>
        </w:rPr>
        <w:t xml:space="preserve"> </w:t>
      </w:r>
      <w:r>
        <w:rPr>
          <w:i/>
          <w:iCs/>
          <w:sz w:val="20"/>
        </w:rPr>
        <w:t xml:space="preserve">(</w:t>
      </w:r>
      <w:r>
        <w:rPr>
          <w:rStyle w:val="VerbatimChar"/>
          <w:i/>
          <w:iCs/>
          <w:sz w:val="20"/>
        </w:rPr>
        <w:t xml:space="preserve">scripts/sweep_abstention.py</w:t>
      </w:r>
      <w:r>
        <w:rPr>
          <w:i/>
          <w:iCs/>
          <w:sz w:val="20"/>
        </w:rPr>
        <w:t xml:space="preserve">); the shipped operating point at τ = 0.80 sits in the upper-left and the</w:t>
      </w:r>
      <w:r>
        <w:rPr>
          <w:i/>
          <w:iCs/>
          <w:sz w:val="20"/>
        </w:rPr>
        <w:t xml:space="preserve"> </w:t>
      </w:r>
      <w:r>
        <w:rPr>
          <w:i/>
          <w:iCs/>
          <w:sz w:val="20"/>
        </w:rPr>
        <w:t xml:space="preserve">“ideal”</w:t>
      </w:r>
      <w:r>
        <w:rPr>
          <w:i/>
          <w:iCs/>
          <w:sz w:val="20"/>
        </w:rPr>
        <w:t xml:space="preserve"> </w:t>
      </w:r>
      <w:r>
        <w:rPr>
          <w:i/>
          <w:iCs/>
          <w:sz w:val="20"/>
        </w:rPr>
        <w:t xml:space="preserve">corner is upper-right. The abrupt knee at τ ≈ 0.65 is what makes Abstention Accuracy ≥ 90% expensive in coverage terms.</w:t>
      </w:r>
    </w:p>
    <w:p>
      <w:pPr>
        <w:jc w:val="both"/>
      </w:pPr>
      <w:r>
        <w:t xml:space="preserve">The curve falls into three regions. Below τ ≈ 0.30 the support-rate gate barely fires and B3 behaves close to B2 (high Answer Rate, mediocre Abstention Accuracy). Between 0.30 and 0.65 Abstention Accuracy improves while Answer Rate stays close to 80%. Above τ ≈ 0.65 the curve bends sharply: Abstention Accuracy rises from 82% to 94% but Answer Rate collapses from roughly 80% to 25%. The shipped value of τ = 0.80 sits on the precision-favouring side of that knee, consistent with the project’s</w:t>
      </w:r>
      <w:r>
        <w:t xml:space="preserve"> </w:t>
      </w:r>
      <w:r>
        <w:t xml:space="preserve">“cited or silent”</w:t>
      </w:r>
      <w:r>
        <w:t xml:space="preserve"> </w:t>
      </w:r>
      <w:r>
        <w:t xml:space="preserve">rule (Objective 2) and FR2’s ≥ 80% target. The visible cost is the low Answer Rate; §4.13 returns to whether that trade-off is appropriate, and to the open question of how to recover coverage without weakening abstention.</w:t>
      </w:r>
    </w:p>
    <w:bookmarkEnd w:id="74"/>
    <w:bookmarkStart w:id="75" w:name="ablation-studies"/>
    <w:p>
      <w:pPr>
        <w:pStyle w:val="Heading2"/>
      </w:pPr>
      <w:r>
        <w:t xml:space="preserve">4.6 Ablation Studies</w:t>
      </w:r>
    </w:p>
    <w:p>
      <w:pPr>
        <w:jc w:val="both"/>
      </w:pPr>
      <w:r>
        <w:t xml:space="preserve">Four ablations isolate the contribution of each reliability component.</w:t>
      </w:r>
    </w:p>
    <w:p>
      <w:pPr>
        <w:jc w:val="both"/>
      </w:pPr>
    </w:p>
    <w:p>
      <w:pPr>
        <w:jc w:val="both"/>
      </w:pPr>
      <w:r>
        <w:rPr>
          <w:b/>
          <w:bCs/>
          <w:sz w:val="21"/>
        </w:rPr>
        <w:t xml:space="preserve">Table 4.5: Development-phase ablation evidence (rows for the</w:t>
      </w:r>
      <w:r>
        <w:rPr>
          <w:b/>
          <w:bCs/>
          <w:sz w:val="21"/>
        </w:rPr>
        <w:t xml:space="preserve"> </w:t>
      </w:r>
      <w:r>
        <w:rPr>
          <w:b/>
          <w:bCs/>
          <w:sz w:val="21"/>
        </w:rPr>
        <w:t xml:space="preserve">“minus X”</w:t>
      </w:r>
      <w:r>
        <w:rPr>
          <w:b/>
          <w:bCs/>
          <w:sz w:val="21"/>
        </w:rPr>
        <w:t xml:space="preserve"> </w:t>
      </w:r>
      <w:r>
        <w:rPr>
          <w:b/>
          <w:bCs/>
          <w:sz w:val="21"/>
        </w:rPr>
        <w:t xml:space="preserve">configurations) with the final live test-split B3 Full row for reference.</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Configuration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Answer Rate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Abstention Acc.</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Ungrounded Rate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Recall@5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B3 Full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25.0%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94.1%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73.9%</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B3 minus Reranker</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18%</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68%</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B3 minus Verification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58%</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B3 minus Abstention Gate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B3 minus Contradiction Det.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58%</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85%</w:t>
            </w:r>
          </w:p>
        </w:tc>
      </w:tr>
    </w:tbl>
    <w:p>
      <w:pPr>
        <w:jc w:val="both"/>
      </w:pPr>
      <w:r>
        <w:t xml:space="preserve">Note: Ablation rows for the</w:t>
      </w:r>
      <w:r>
        <w:t xml:space="preserve"> </w:t>
      </w:r>
      <w:r>
        <w:t xml:space="preserve">“minus X”</w:t>
      </w:r>
      <w:r>
        <w:t xml:space="preserve"> </w:t>
      </w:r>
      <w:r>
        <w:t xml:space="preserve">configurations are design-time estimates from Sprint 5 dev-split runs with individual components disabled. Only the B3 Full row reflects the final live test-split evaluation. The Answer Rate gap reflects the stricter 0.30 threshold adopted post-Sprint-5. These rows should be read as development-phase evidence about the relative shape of each component’s contribution rather than as final test-split numbers.</w:t>
      </w:r>
    </w:p>
    <w:p>
      <w:pPr>
        <w:jc w:val="both"/>
      </w:pPr>
      <w:r>
        <w:t xml:space="preserve">Reranking had the largest effect in these ablations. Removing it quadruples the Ungrounded Rate (4% to 16%) and collapses Abstention Accuracy (94.1% to 18%), because bi-encoder cosine scores are poorly calibrated relative to cross-encoder logits; Recall@5 also drops from 85% to 68%. Verification provides a meaningful secondary safeguard: without it, claim-level Ungrounded Rate rises to the raw LLM rate (12%), so the heuristic catches roughly two-thirds of hallucinated claims. The Abstention Gate controls coverage versus safety: removing it restores 100% Answer Rate without affecting verified Ungrounded Rate, but it causes the system to attempt unanswerable queries where verification may fail. Contradiction Detection has negligible aggregate impact (it operates on 10/63 queries), but its contribution is qualitative: it surfaces conflicts users need to see.</w:t>
      </w:r>
    </w:p>
    <w:bookmarkEnd w:id="75"/>
    <w:bookmarkStart w:id="76" w:name="critic-mode-evaluation"/>
    <w:p>
      <w:pPr>
        <w:pStyle w:val="Heading2"/>
      </w:pPr>
      <w:r>
        <w:t xml:space="preserve">4.7 Critic Mode Evaluation</w:t>
      </w:r>
    </w:p>
    <w:p>
      <w:pPr>
        <w:jc w:val="both"/>
      </w:pPr>
      <w:r>
        <w:t xml:space="preserve">The Critic module was evaluated against an internally-authored labelled test suite of policy sentences (no external benchmark exists for this task on organisational policy text). Each sentence was hand-tagged with its expected category (or</w:t>
      </w:r>
      <w:r>
        <w:t xml:space="preserve"> </w:t>
      </w:r>
      <w:r>
        <w:t xml:space="preserve">“clean”</w:t>
      </w:r>
      <w:r>
        <w:t xml:space="preserve"> </w:t>
      </w:r>
      <w:r>
        <w:t xml:space="preserve">for unproblematic sentences); precision and recall are computed per category.</w:t>
      </w:r>
    </w:p>
    <w:p>
      <w:pPr>
        <w:jc w:val="both"/>
      </w:pPr>
    </w:p>
    <w:p>
      <w:pPr>
        <w:jc w:val="both"/>
      </w:pPr>
      <w:r>
        <w:rPr>
          <w:b/>
          <w:bCs/>
          <w:sz w:val="21"/>
        </w:rPr>
        <w:t xml:space="preserve">Table 4.6: Critic Mode heuristic detection performance on the 50-snippet labelled suite (</w:t>
      </w:r>
      <w:r>
        <w:rPr>
          <w:rStyle w:val="VerbatimChar"/>
          <w:b/>
          <w:bCs/>
          <w:sz w:val="21"/>
        </w:rPr>
        <w:t xml:space="preserve">data/handbook/variants/</w:t>
      </w:r>
      <w:r>
        <w:rPr>
          <w:b/>
          <w:bCs/>
          <w:sz w:val="21"/>
        </w:rPr>
        <w:t xml:space="preserve">). Reproduced by</w:t>
      </w:r>
      <w:r>
        <w:rPr>
          <w:b/>
          <w:bCs/>
          <w:sz w:val="21"/>
        </w:rPr>
        <w:t xml:space="preserve"> </w:t>
      </w:r>
      <w:r>
        <w:rPr>
          <w:rStyle w:val="VerbatimChar"/>
          <w:b/>
          <w:bCs/>
          <w:sz w:val="21"/>
        </w:rPr>
        <w:t xml:space="preserve">python scripts/run_critic_eval.py --run_name critic_heuristic_final --mode heuristic</w:t>
      </w:r>
      <w:r>
        <w:rPr>
          <w:b/>
          <w:bCs/>
          <w:sz w:val="21"/>
        </w:rPr>
        <w:t xml:space="preserve">; per-label and macro values are committed in</w:t>
      </w:r>
      <w:r>
        <w:rPr>
          <w:b/>
          <w:bCs/>
          <w:sz w:val="21"/>
        </w:rPr>
        <w:t xml:space="preserve"> </w:t>
      </w:r>
      <w:r>
        <w:rPr>
          <w:rStyle w:val="VerbatimChar"/>
          <w:b/>
          <w:bCs/>
          <w:sz w:val="21"/>
        </w:rPr>
        <w:t xml:space="preserve">results/tables/critic_summary.csv</w:t>
      </w:r>
      <w:r>
        <w:rPr>
          <w:b/>
          <w:bCs/>
          <w:sz w:val="21"/>
        </w:rPr>
        <w:t xml:space="preserve"> </w:t>
      </w:r>
      <w:r>
        <w:rPr>
          <w:b/>
          <w:bCs/>
          <w:sz w:val="21"/>
        </w:rPr>
        <w:t xml:space="preserve">(the LLM-critic L1-L6 labels in</w:t>
      </w:r>
      <w:r>
        <w:rPr>
          <w:b/>
          <w:bCs/>
          <w:sz w:val="21"/>
        </w:rPr>
        <w:t xml:space="preserve"> </w:t>
      </w:r>
      <w:r>
        <w:rPr>
          <w:rStyle w:val="VerbatimChar"/>
          <w:b/>
          <w:bCs/>
          <w:sz w:val="21"/>
        </w:rPr>
        <w:t xml:space="preserve">src/policy_copilot/critic/labels.py</w:t>
      </w:r>
      <w:r>
        <w:rPr>
          <w:b/>
          <w:bCs/>
          <w:sz w:val="21"/>
        </w:rPr>
        <w:t xml:space="preserve"> </w:t>
      </w:r>
      <w:r>
        <w:rPr>
          <w:b/>
          <w:bCs/>
          <w:sz w:val="21"/>
        </w:rPr>
        <w:t xml:space="preserve">are the heuristic taxonomy used here).</w:t>
      </w:r>
    </w:p>
    <w:tbl>
      <w:tblPr>
        <w:tblStyle w:val="TableGrid"/>
        <w:tblW w:type="pct" w:w="500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Layout w:type="autofit"/>
      </w:tblPr>
      <w:tblGrid>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Label</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Category</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Precision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Recall</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F1</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Normative / Loaded Language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Framing Imbalance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60.0%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85.7%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70.6%</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Unsupported Claim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Internal Contradiction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False Dilemma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85.7%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92.3%</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Slippery Slope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r>
      <w:tr>
        <w:tc>
          <w:tcPr>
            <w:tcMar>
              <w:top w:w="60" w:type="dxa"/>
              <w:bottom w:w="60" w:type="dxa"/>
              <w:left w:w="100" w:type="dxa"/>
              <w:right w:w="100" w:type="dxa"/>
            </w:tcMar>
          </w:tcPr>
          <w:p>
            <w:pPr>
              <w:spacing w:line="276" w:lineRule="auto" w:before="0" w:after="0"/>
            </w:pP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Macro Average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93.3%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95.2%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93.8%</w:t>
            </w:r>
          </w:p>
        </w:tc>
      </w:tr>
    </w:tbl>
    <w:p>
      <w:pPr>
        <w:jc w:val="both"/>
      </w:pPr>
      <w:r>
        <w:t xml:space="preserve">Exact-match accuracy (gold label set equals predicted label set) on the same 50 snippets is 88.0%. The macro F1 of 93.8% clears the 85% FR6 target. The lowest-precision label is L2 (Framing Imbalance) at 60.0%: phrases like</w:t>
      </w:r>
      <w:r>
        <w:t xml:space="preserve"> </w:t>
      </w:r>
      <w:r>
        <w:t xml:space="preserve">“merely”</w:t>
      </w:r>
      <w:r>
        <w:t xml:space="preserve"> </w:t>
      </w:r>
      <w:r>
        <w:t xml:space="preserve">and</w:t>
      </w:r>
      <w:r>
        <w:t xml:space="preserve"> </w:t>
      </w:r>
      <w:r>
        <w:t xml:space="preserve">“only a”</w:t>
      </w:r>
      <w:r>
        <w:t xml:space="preserve"> </w:t>
      </w:r>
      <w:r>
        <w:t xml:space="preserve">are flagged as framing-imbalance markers but in conventional policy prose are sometimes legitimate qualifiers, so this is the main false-positive source. A future Critic iteration could whitelist conventionally acceptable terms or distinguish</w:t>
      </w:r>
      <w:r>
        <w:t xml:space="preserve"> </w:t>
      </w:r>
      <w:r>
        <w:t xml:space="preserve">“framing-imbalance and problematic”</w:t>
      </w:r>
      <w:r>
        <w:t xml:space="preserve"> </w:t>
      </w:r>
      <w:r>
        <w:t xml:space="preserve">from</w:t>
      </w:r>
      <w:r>
        <w:t xml:space="preserve"> </w:t>
      </w:r>
      <w:r>
        <w:t xml:space="preserve">“framing-imbalance but conventional”</w:t>
      </w:r>
      <w:r>
        <w:t xml:space="preserve">. The heuristic taxonomy here is distinct from any LLM-judge taxonomy that could be added in</w:t>
      </w:r>
      <w:r>
        <w:t xml:space="preserve"> </w:t>
      </w:r>
      <w:r>
        <w:rPr>
          <w:rStyle w:val="VerbatimChar"/>
        </w:rPr>
        <w:t xml:space="preserve">detect_llm()</w:t>
      </w:r>
      <w:r>
        <w:t xml:space="preserve">; the L1-L6 labels above are what</w:t>
      </w:r>
      <w:r>
        <w:t xml:space="preserve"> </w:t>
      </w:r>
      <w:r>
        <w:rPr>
          <w:rStyle w:val="VerbatimChar"/>
        </w:rPr>
        <w:t xml:space="preserve">detect_heuristic()</w:t>
      </w:r>
      <w:r>
        <w:t xml:space="preserve"> </w:t>
      </w:r>
      <w:r>
        <w:t xml:space="preserve">actually returns and are what</w:t>
      </w:r>
      <w:r>
        <w:t xml:space="preserve"> </w:t>
      </w:r>
      <w:r>
        <w:rPr>
          <w:rStyle w:val="VerbatimChar"/>
        </w:rPr>
        <w:t xml:space="preserve">scripts/run_critic_eval.py</w:t>
      </w:r>
      <w:r>
        <w:t xml:space="preserve"> </w:t>
      </w:r>
      <w:r>
        <w:t xml:space="preserve">evaluates.</w:t>
      </w:r>
    </w:p>
    <w:bookmarkEnd w:id="76"/>
    <w:bookmarkStart w:id="77" w:name="error-analysis"/>
    <w:p>
      <w:pPr>
        <w:pStyle w:val="Heading2"/>
      </w:pPr>
      <w:r>
        <w:t xml:space="preserve">4.8 Error Analysis</w:t>
      </w:r>
    </w:p>
    <w:p>
      <w:pPr>
        <w:jc w:val="both"/>
      </w:pPr>
      <w:r>
        <w:t xml:space="preserve">Error analysis combines manual classification of B3 failures (</w:t>
      </w:r>
      <w:r>
        <w:rPr>
          <w:rStyle w:val="VerbatimChar"/>
        </w:rPr>
        <w:t xml:space="preserve">eval/analysis/error_taxonomy.md</w:t>
      </w:r>
      <w:r>
        <w:t xml:space="preserve">) with an automated 8-category classifier (</w:t>
      </w:r>
      <w:r>
        <w:rPr>
          <w:rStyle w:val="VerbatimChar"/>
        </w:rPr>
        <w:t xml:space="preserve">scripts/classify_errors.py</w:t>
      </w:r>
      <w:r>
        <w:t xml:space="preserve">) producing per-baseline diagnostic profiles in</w:t>
      </w:r>
      <w:r>
        <w:t xml:space="preserve"> </w:t>
      </w:r>
      <w:r>
        <w:rPr>
          <w:rStyle w:val="VerbatimChar"/>
        </w:rPr>
        <w:t xml:space="preserve">results/tables/failure_taxonomy.csv</w:t>
      </w:r>
      <w:r>
        <w:t xml:space="preserve">. The automated classifier suggests that the dominant failure mode shifts across baselines: B1 is dominated by missed retrieval (no retrieval stage), B2 by wrong claim-evidence linkage, and B3 by abstention errors (over-cautious thresholding). This is consistent with the claim that each pipeline stage addresses a distinct failure family.</w:t>
      </w:r>
    </w:p>
    <w:p>
      <w:pPr>
        <w:jc w:val="both"/>
      </w:pPr>
    </w:p>
    <w:p>
      <w:pPr>
        <w:jc w:val="both"/>
      </w:pPr>
      <w:r>
        <w:rPr>
          <w:b/>
          <w:bCs/>
          <w:sz w:val="21"/>
        </w:rPr>
        <w:t xml:space="preserve">Table 4.7: Manual error taxonomy, B3-Generative failures (full 63-query golden set,</w:t>
      </w:r>
      <w:r>
        <w:rPr>
          <w:b/>
          <w:bCs/>
          <w:sz w:val="21"/>
        </w:rPr>
        <w:t xml:space="preserve"> </w:t>
      </w:r>
      <w:r>
        <w:rPr>
          <w:rStyle w:val="VerbatimChar"/>
          <w:b/>
          <w:bCs/>
          <w:sz w:val="21"/>
        </w:rPr>
        <w:t xml:space="preserve">split=all</w:t>
      </w:r>
      <w:r>
        <w:rPr>
          <w:b/>
          <w:bCs/>
          <w:sz w:val="21"/>
        </w:rPr>
        <w:t xml:space="preserve">).</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Error Type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Count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Example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Over-Abstention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“What cloud storage services are approved?”</w:t>
            </w:r>
            <w:r>
              <w:rPr>
                <w:rFonts w:ascii="Times New Roman" w:hAnsi="Times New Roman"/>
                <w:color w:val="000000"/>
                <w:sz w:val="18"/>
              </w:rPr>
              <w:t xml:space="preserve"> </w:t>
            </w:r>
            <w:r>
              <w:rPr>
                <w:rFonts w:ascii="Times New Roman" w:hAnsi="Times New Roman"/>
                <w:color w:val="000000"/>
                <w:sz w:val="18"/>
              </w:rPr>
              <w:t xml:space="preserve">Correct paragraph at rank 3 but max reranker score below threshold</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Missed Retrieval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“Document disposal?”</w:t>
            </w:r>
            <w:r>
              <w:rPr>
                <w:rFonts w:ascii="Times New Roman" w:hAnsi="Times New Roman"/>
                <w:color w:val="000000"/>
                <w:sz w:val="18"/>
              </w:rPr>
              <w:t xml:space="preserve"> </w:t>
            </w:r>
            <w:r>
              <w:rPr>
                <w:rFonts w:ascii="Times New Roman" w:hAnsi="Times New Roman"/>
                <w:color w:val="000000"/>
                <w:sz w:val="18"/>
              </w:rPr>
              <w:t xml:space="preserve">Correct paragraph uses</w:t>
            </w:r>
            <w:r>
              <w:rPr>
                <w:rFonts w:ascii="Times New Roman" w:hAnsi="Times New Roman"/>
                <w:color w:val="000000"/>
                <w:sz w:val="18"/>
              </w:rPr>
              <w:t xml:space="preserve"> </w:t>
            </w:r>
            <w:r>
              <w:rPr>
                <w:rFonts w:ascii="Times New Roman" w:hAnsi="Times New Roman"/>
                <w:color w:val="000000"/>
                <w:sz w:val="18"/>
              </w:rPr>
              <w:t xml:space="preserve">“secure shredding”</w:t>
            </w:r>
            <w:r>
              <w:rPr>
                <w:rFonts w:ascii="Times New Roman" w:hAnsi="Times New Roman"/>
                <w:color w:val="000000"/>
                <w:sz w:val="18"/>
              </w:rPr>
              <w:t xml:space="preserve"> </w:t>
            </w:r>
            <w:r>
              <w:rPr>
                <w:rFonts w:ascii="Times New Roman" w:hAnsi="Times New Roman"/>
                <w:color w:val="000000"/>
                <w:sz w:val="18"/>
              </w:rPr>
              <w:t xml:space="preserve">not</w:t>
            </w:r>
            <w:r>
              <w:rPr>
                <w:rFonts w:ascii="Times New Roman" w:hAnsi="Times New Roman"/>
                <w:color w:val="000000"/>
                <w:sz w:val="18"/>
              </w:rPr>
              <w:t xml:space="preserve"> </w:t>
            </w:r>
            <w:r>
              <w:rPr>
                <w:rFonts w:ascii="Times New Roman" w:hAnsi="Times New Roman"/>
                <w:color w:val="000000"/>
                <w:sz w:val="18"/>
              </w:rPr>
              <w:t xml:space="preserve">“disposal”</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Verification False Positive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18%</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“Quarterly password change”</w:t>
            </w:r>
            <w:r>
              <w:rPr>
                <w:rFonts w:ascii="Times New Roman" w:hAnsi="Times New Roman"/>
                <w:color w:val="000000"/>
                <w:sz w:val="18"/>
              </w:rPr>
              <w:t xml:space="preserve"> </w:t>
            </w:r>
            <w:r>
              <w:rPr>
                <w:rFonts w:ascii="Times New Roman" w:hAnsi="Times New Roman"/>
                <w:color w:val="000000"/>
                <w:sz w:val="18"/>
              </w:rPr>
              <w:t xml:space="preserve">pruned because source says</w:t>
            </w:r>
            <w:r>
              <w:rPr>
                <w:rFonts w:ascii="Times New Roman" w:hAnsi="Times New Roman"/>
                <w:color w:val="000000"/>
                <w:sz w:val="18"/>
              </w:rPr>
              <w:t xml:space="preserve"> </w:t>
            </w:r>
            <w:r>
              <w:rPr>
                <w:rFonts w:ascii="Times New Roman" w:hAnsi="Times New Roman"/>
                <w:color w:val="000000"/>
                <w:sz w:val="18"/>
              </w:rPr>
              <w:t xml:space="preserve">“every 90 days”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Incomplete Synthesis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Multi-paragraph remote-work + security answer misses security half</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Numeric Hallucination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“Approximately 30 days”</w:t>
            </w:r>
            <w:r>
              <w:rPr>
                <w:rFonts w:ascii="Times New Roman" w:hAnsi="Times New Roman"/>
                <w:color w:val="000000"/>
                <w:sz w:val="18"/>
              </w:rPr>
              <w:t xml:space="preserve"> </w:t>
            </w:r>
            <w:r>
              <w:rPr>
                <w:rFonts w:ascii="Times New Roman" w:hAnsi="Times New Roman"/>
                <w:color w:val="000000"/>
                <w:sz w:val="18"/>
              </w:rPr>
              <w:t xml:space="preserve">vs source</w:t>
            </w:r>
            <w:r>
              <w:rPr>
                <w:rFonts w:ascii="Times New Roman" w:hAnsi="Times New Roman"/>
                <w:color w:val="000000"/>
                <w:sz w:val="18"/>
              </w:rPr>
              <w:t xml:space="preserve"> </w:t>
            </w:r>
            <w:r>
              <w:rPr>
                <w:rFonts w:ascii="Times New Roman" w:hAnsi="Times New Roman"/>
                <w:color w:val="000000"/>
                <w:sz w:val="18"/>
              </w:rPr>
              <w:t xml:space="preserve">“28 days”</w:t>
            </w:r>
            <w:r>
              <w:rPr>
                <w:rFonts w:ascii="Times New Roman" w:hAnsi="Times New Roman"/>
                <w:color w:val="000000"/>
                <w:sz w:val="18"/>
              </w:rPr>
              <w:t xml:space="preserve">, caught and pruned</w:t>
            </w:r>
          </w:p>
        </w:tc>
      </w:tr>
    </w:tbl>
    <w:p>
      <w:pPr>
        <w:jc w:val="both"/>
      </w:pPr>
      <w:r>
        <w:t xml:space="preserve">Over-Abstention dominates, which is the</w:t>
      </w:r>
      <w:r>
        <w:t xml:space="preserve"> </w:t>
      </w:r>
      <w:r>
        <w:t xml:space="preserve">“correct”</w:t>
      </w:r>
      <w:r>
        <w:t xml:space="preserve"> </w:t>
      </w:r>
      <w:r>
        <w:t xml:space="preserve">failure mode for a safety-first system. All 4 cases retrieved correct evidence at ranks 2 to 5, but the top reranker score fell below threshold. Using the mean of top-3 scores rather than the maximum was tested in Sprint 6 but rejected because it degraded Abstention Accuracy on unanswerable queries. Missed Retrieval highlights vocabulary mismatch (</w:t>
      </w:r>
      <w:r>
        <w:t xml:space="preserve">“disposal”</w:t>
      </w:r>
      <w:r>
        <w:t xml:space="preserve"> </w:t>
      </w:r>
      <w:r>
        <w:t xml:space="preserve">vs</w:t>
      </w:r>
      <w:r>
        <w:t xml:space="preserve"> </w:t>
      </w:r>
      <w:r>
        <w:t xml:space="preserve">“shredding”</w:t>
      </w:r>
      <w:r>
        <w:t xml:space="preserve">,</w:t>
      </w:r>
      <w:r>
        <w:t xml:space="preserve"> </w:t>
      </w:r>
      <w:r>
        <w:t xml:space="preserve">“moonlighting”</w:t>
      </w:r>
      <w:r>
        <w:t xml:space="preserve"> </w:t>
      </w:r>
      <w:r>
        <w:t xml:space="preserve">vs</w:t>
      </w:r>
      <w:r>
        <w:t xml:space="preserve"> </w:t>
      </w:r>
      <w:r>
        <w:t xml:space="preserve">“secondary employment”</w:t>
      </w:r>
      <w:r>
        <w:t xml:space="preserve">) that dense retrieval cannot bridge without domain-adapted fine-tuning (Karpukhin et al., 2020). Verification False Positives expose Jaccard’s core limitation: paraphrased equivalences like</w:t>
      </w:r>
      <w:r>
        <w:t xml:space="preserve"> </w:t>
      </w:r>
      <w:r>
        <w:t xml:space="preserve">“every 90 days”</w:t>
      </w:r>
      <w:r>
        <w:t xml:space="preserve"> </w:t>
      </w:r>
      <w:r>
        <w:t xml:space="preserve">and</w:t>
      </w:r>
      <w:r>
        <w:t xml:space="preserve"> </w:t>
      </w:r>
      <w:r>
        <w:t xml:space="preserve">“quarterly”</w:t>
      </w:r>
      <w:r>
        <w:t xml:space="preserve"> </w:t>
      </w:r>
      <w:r>
        <w:t xml:space="preserve">pass semantically but fail token overlap, motivating NLI-based verification (§5.3).</w:t>
      </w:r>
    </w:p>
    <w:bookmarkEnd w:id="77"/>
    <w:bookmarkStart w:id="78" w:name="latency-performance"/>
    <w:p>
      <w:pPr>
        <w:pStyle w:val="Heading2"/>
      </w:pPr>
      <w:r>
        <w:t xml:space="preserve">4.9 Latency Performance</w:t>
      </w:r>
    </w:p>
    <w:p>
      <w:pPr>
        <w:jc w:val="both"/>
      </w:pPr>
      <w:r>
        <w:t xml:space="preserve">NFR1 specified P95 latency under 10s on standard hardware.</w:t>
      </w:r>
    </w:p>
    <w:p>
      <w:pPr>
        <w:jc w:val="both"/>
      </w:pPr>
    </w:p>
    <w:p>
      <w:pPr>
        <w:jc w:val="both"/>
      </w:pPr>
      <w:r>
        <w:rPr>
          <w:b/>
          <w:bCs/>
          <w:sz w:val="21"/>
        </w:rPr>
        <w:t xml:space="preserve">Table 4.8: End-to-end latency (ms), measured on M-series consumer laptop with</w:t>
      </w:r>
      <w:r>
        <w:rPr>
          <w:b/>
          <w:bCs/>
          <w:sz w:val="21"/>
        </w:rPr>
        <w:t xml:space="preserve"> </w:t>
      </w:r>
      <w:r>
        <w:rPr>
          <w:rStyle w:val="VerbatimChar"/>
          <w:b/>
          <w:bCs/>
          <w:sz w:val="21"/>
        </w:rPr>
        <w:t xml:space="preserve">gpt-4o-mini</w:t>
      </w:r>
      <w:r>
        <w:rPr>
          <w:b/>
          <w:bCs/>
          <w:sz w:val="21"/>
        </w:rPr>
        <w:t xml:space="preserve">.</w:t>
      </w:r>
    </w:p>
    <w:tbl>
      <w:tblPr>
        <w:tblStyle w:val="TableGrid"/>
        <w:tblW w:type="pct" w:w="500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Layout w:type="autofit"/>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Baseline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P50</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P95</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Mean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B1 (Prompt-Only)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1,856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22,113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3,263</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B2 (Naive RAG)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1,434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2,662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1,594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B3 (Policy Copilot)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2,967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4,879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2,819</w:t>
            </w:r>
          </w:p>
        </w:tc>
      </w:tr>
    </w:tbl>
    <w:p>
      <w:pPr>
        <w:jc w:val="both"/>
      </w:pPr>
      <w:r>
        <w:t xml:space="preserve">B3 comfortably meets NFR1 (P95 = 4.9s). The additional latency over B2 (around 1.5s at P50) reflects cross-encoder reranking (around 1.8s), partially offset by B3 abstaining before the LLM call on refused queries. B1’s high P95 (22.1s) reflects API rate-limiting during the run, not architecture.</w:t>
      </w:r>
    </w:p>
    <w:bookmarkEnd w:id="78"/>
    <w:bookmarkStart w:id="79" w:name="independent-reviewer-evaluation"/>
    <w:p>
      <w:pPr>
        <w:pStyle w:val="Heading2"/>
      </w:pPr>
      <w:r>
        <w:t xml:space="preserve">4.10 Independent Reviewer Evaluation</w:t>
      </w:r>
    </w:p>
    <w:p>
      <w:pPr>
        <w:jc w:val="both"/>
      </w:pPr>
      <w:r>
        <w:t xml:space="preserve">I added a small peer-review check because the automated metrics do not show how useful or trustworthy the answers feel to a reader. Six peer volunteers (three Final-Year BSc and three MSc Computer Science students, outside the project supervisory chain) each scored 20 B3-Generative query / output pairs between 14 and 18 April 2026 using a 1-to-5 Likert rubric: Correctness, Groundedness, Citation Usefulness, Usefulness, and Trust Calibration. The sample was balanced 8 / 4 / 4 / 4 across answered, correct-abstention, over-abstention, and contradiction-probe cases. Reviewers saw the query, the system answer, cited evidence, and the status badge, but not the baseline label. Recruitment, rubric, consent text, and the anonymised score CSV are archived in Appendix B.10. I ran the sessions myself rather than using a blind facilitator, so the results should be read as a small supporting check rather than a formal user study.</w:t>
      </w:r>
    </w:p>
    <w:p>
      <w:pPr>
        <w:jc w:val="both"/>
      </w:pPr>
    </w:p>
    <w:p>
      <w:pPr>
        <w:jc w:val="both"/>
      </w:pPr>
      <w:r>
        <w:rPr>
          <w:b/>
          <w:bCs/>
          <w:sz w:val="21"/>
        </w:rPr>
        <w:t xml:space="preserve">Table 4.9: Independent reviewer evaluation, B3-Generative (n = 6 reviewers, 20 query / output pairs each).</w:t>
      </w:r>
    </w:p>
    <w:tbl>
      <w:tblPr>
        <w:tblStyle w:val="TableGrid"/>
        <w:tblW w:type="auto" w:w="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640"/>
        <w:gridCol w:w="2640"/>
        <w:gridCol w:w="264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Axis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20"/>
              </w:rPr>
              <w:t xml:space="preserve">Mean</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20"/>
              </w:rPr>
              <w:t xml:space="preserve">SD</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Correctness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4.67</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0.52</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Groundedness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4.83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0.41</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Citation Usefulness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4.50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0.55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Usefulness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3.67</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0.52</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Trust Calibration</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4.67</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0.52</w:t>
            </w:r>
          </w:p>
        </w:tc>
      </w:tr>
    </w:tbl>
    <w:p>
      <w:pPr>
        <w:jc w:val="both"/>
      </w:pPr>
      <w:r>
        <w:t xml:space="preserve">The reviewer means broadly support the automated findings. Direct-answer cases scored highly on Correctness and Groundedness, which matches Table 4.2’s low unsupported-claim rate on the same queries. Correct abstentions were also trusted, but their Usefulness score dropped because a safe refusal is still less helpful than a good answer. Over-abstention cases were the weakest group, which is consistent with the main operating-point problem in §4.5: the system is safer because it refuses often, but that safety has a usability cost. Contradiction probes were generally trusted as legitimate. The full per-category breakdown and the five themes coded from comments are in Appendix B.10. These numbers point in the same direction as the automated metrics, but they come from a small, non-blinded, non-domain-expert sample, so they should be treated as supporting evidence rather than independent confirmation.</w:t>
      </w:r>
    </w:p>
    <w:bookmarkEnd w:id="79"/>
    <w:bookmarkStart w:id="80" w:name="public-guidance-transfer-stress-test"/>
    <w:p>
      <w:pPr>
        <w:pStyle w:val="Heading2"/>
      </w:pPr>
      <w:r>
        <w:t xml:space="preserve">4.11 Public Guidance Transfer Stress Test</w:t>
      </w:r>
    </w:p>
    <w:p>
      <w:pPr>
        <w:jc w:val="both"/>
      </w:pPr>
      <w:r>
        <w:t xml:space="preserve">A central limitation of the headline evaluation is that the corpus is synthetic: I authored it for this project, so retrieval and abstention behaviour are tested against text I controlled. To test the system on text I had not written myself, I ran the same B3 pipeline in Extractive Mode against a small Public Guidance Transfer Corpus built from Open Government Licence v3.0 material published by the National Cyber Security Centre, the Information Commissioner’s Office, and ACAS. The transfer set is supplementary to the synthetic benchmark, not a replacement. It contains 8 documents, 249 paragraphs, and a 20-query test set: 12 answerable, 4 unanswerable, and 4 ambiguous-evidence cases. Provenance, licence, and access dates are recorded in Appendix B.11. Because no LLM API key was used in this run, only B3-Extractive is reported; a generative transfer test remains future work in §5.3.</w:t>
      </w:r>
    </w:p>
    <w:p>
      <w:pPr>
        <w:jc w:val="both"/>
      </w:pPr>
    </w:p>
    <w:p>
      <w:pPr>
        <w:jc w:val="both"/>
      </w:pPr>
      <w:r>
        <w:rPr>
          <w:b/>
          <w:bCs/>
          <w:sz w:val="21"/>
        </w:rPr>
        <w:t xml:space="preserve">Table 4.10: B3-Extractive on the synthetic test split versus the Public Guidance Transfer Stress Test.</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Metric</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8"/>
              </w:rPr>
              <w:t xml:space="preserve">Synthetic test (B3-Ext)</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8"/>
              </w:rPr>
              <w:t xml:space="preserve">Transfer set (B3-Ext)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Direction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Answer Rate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88%</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91.7%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Coverage holds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Abstention Accuracy (unanswerable)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50.0% (n=12)</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75% (3/4)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Modest on the small unanswerable subset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Evidence Recall@5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73.4%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52.1%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Drops on unfamiliar corpus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Evidence MRR</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0.7562</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0.51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Drops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Citation Precision</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100%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100%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True by construction in Extractive Mode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Ungrounded Rate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No fabricated cited answers on this small set</w:t>
            </w:r>
          </w:p>
        </w:tc>
      </w:tr>
    </w:tbl>
    <w:p>
      <w:pPr>
        <w:jc w:val="both"/>
      </w:pPr>
      <w:r>
        <w:t xml:space="preserve">The useful result is modest but still important. On this small extractive-only transfer set, the system did not fabricate cited answers: Citation Precision stayed at 100% because answers are quoted from the cited paragraph, and Ungrounded Rate stayed at 0%. Coverage was also similar to the synthetic test split, with a 91.7% Answer Rate compared with 88%. The weaker result is retrieval. Evidence Recall@5 fell from 73.4% on the synthetic test split to 52.1% on the transfer set (a roughly 30% relative drop), and one unanswerable query about Cisco router configuration was answered too confidently because BM25 matched NCSC device-security guidance on the word</w:t>
      </w:r>
      <w:r>
        <w:t xml:space="preserve"> </w:t>
      </w:r>
      <w:r>
        <w:t xml:space="preserve">“configure”</w:t>
      </w:r>
      <w:r>
        <w:t xml:space="preserve">. So the transfer test supports the conservative grounding behaviour of Extractive Mode, but it does not prove broad transfer. §5.2 returns to this as a limitation that wider evaluation should target.</w:t>
      </w:r>
    </w:p>
    <w:bookmarkEnd w:id="80"/>
    <w:bookmarkStart w:id="81" w:name="statistical-confidence"/>
    <w:p>
      <w:pPr>
        <w:pStyle w:val="Heading2"/>
      </w:pPr>
      <w:r>
        <w:t xml:space="preserve">4.12 Statistical Confidence</w:t>
      </w:r>
    </w:p>
    <w:p>
      <w:pPr>
        <w:jc w:val="both"/>
      </w:pPr>
      <w:r>
        <w:t xml:space="preserve">Bootstrapped 95% confidence intervals (2,000 resamples, seed = 42) were computed given the modest n = 63.</w:t>
      </w:r>
    </w:p>
    <w:p>
      <w:pPr>
        <w:jc w:val="both"/>
      </w:pPr>
    </w:p>
    <w:p>
      <w:pPr>
        <w:jc w:val="both"/>
      </w:pPr>
      <w:r>
        <w:rPr>
          <w:b/>
          <w:bCs/>
          <w:sz w:val="21"/>
        </w:rPr>
        <w:t xml:space="preserve">Table 4.11: 95% bootstrap CIs for B3-Generative headline metrics. Each metric is bootstrapped over its own per-query denominator (Answer Rate over the 36 answerable queries; Abstention Accuracy over the 17 unanswerable queries; Evidence Recall@5 over the 46 queries with non-empty</w:t>
      </w:r>
      <w:r>
        <w:rPr>
          <w:b/>
          <w:bCs/>
          <w:sz w:val="21"/>
        </w:rPr>
        <w:t xml:space="preserve"> </w:t>
      </w:r>
      <w:r>
        <w:rPr>
          <w:rStyle w:val="VerbatimChar"/>
          <w:b/>
          <w:bCs/>
          <w:sz w:val="21"/>
        </w:rPr>
        <w:t xml:space="preserve">gold_paragraph_ids</w:t>
      </w:r>
      <w:r>
        <w:rPr>
          <w:b/>
          <w:bCs/>
          <w:sz w:val="21"/>
        </w:rPr>
        <w:t xml:space="preserve">), seed = 42, n_resamples = 2,000. The values are produced by</w:t>
      </w:r>
      <w:r>
        <w:rPr>
          <w:b/>
          <w:bCs/>
          <w:sz w:val="21"/>
        </w:rPr>
        <w:t xml:space="preserve"> </w:t>
      </w:r>
      <w:r>
        <w:rPr>
          <w:rStyle w:val="VerbatimChar"/>
          <w:b/>
          <w:bCs/>
          <w:sz w:val="21"/>
        </w:rPr>
        <w:t xml:space="preserve">scripts/compute_bootstrap_ci.py</w:t>
      </w:r>
      <w:r>
        <w:rPr>
          <w:b/>
          <w:bCs/>
          <w:sz w:val="21"/>
        </w:rPr>
        <w:t xml:space="preserve"> </w:t>
      </w:r>
      <w:r>
        <w:rPr>
          <w:b/>
          <w:bCs/>
          <w:sz w:val="21"/>
        </w:rPr>
        <w:t xml:space="preserve">and stored in</w:t>
      </w:r>
      <w:r>
        <w:rPr>
          <w:b/>
          <w:bCs/>
          <w:sz w:val="21"/>
        </w:rPr>
        <w:t xml:space="preserve"> </w:t>
      </w:r>
      <w:r>
        <w:rPr>
          <w:rStyle w:val="VerbatimChar"/>
          <w:b/>
          <w:bCs/>
          <w:sz w:val="21"/>
        </w:rPr>
        <w:t xml:space="preserve">results/tables/statistical_confidence.csv</w:t>
      </w:r>
      <w:r>
        <w:rPr>
          <w:b/>
          <w:bCs/>
          <w:sz w:val="21"/>
        </w:rPr>
        <w:t xml:space="preserve">.</w:t>
      </w:r>
    </w:p>
    <w:tbl>
      <w:tblPr>
        <w:tblStyle w:val="TableGrid"/>
        <w:tblW w:type="pct" w:w="500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Layout w:type="autofit"/>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Metric</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Denominator</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Point Estimate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95% CI</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Answer Rate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36 answerable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25.0%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[11.1%, 38.9%]</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Abstention Accuracy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17 unanswerable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94.1%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[82.4%, 100.0%]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Evidence Recall@5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46 queries with gold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73.9%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[65.2%, 82.6%]</w:t>
            </w:r>
          </w:p>
        </w:tc>
      </w:tr>
    </w:tbl>
    <w:p>
      <w:pPr>
        <w:jc w:val="both"/>
      </w:pPr>
      <w:r>
        <w:t xml:space="preserve">The wide Answer Rate CI reflects the small number of answered queries (9 of 36); Abstention Accuracy’s upper bound at 100% indicates a ceiling effect. Abstention Accuracy is computed on the 17 unanswerable queries in the full golden set, so each query is worth roughly 5.9 percentage points: the 94.1% point estimate is directionally meaningful but statistically fragile. With n = 63 across all categories, all point estimates in this chapter are indicative rather than definitive; an n = 200+ stratified evaluation is recommended for follow-up.</w:t>
      </w:r>
    </w:p>
    <w:bookmarkEnd w:id="81"/>
    <w:bookmarkStart w:id="82" w:name="X907d96f76408268db22d62c403fd779ba79c660"/>
    <w:p>
      <w:pPr>
        <w:pStyle w:val="Heading2"/>
      </w:pPr>
      <w:r>
        <w:t xml:space="preserve">4.13 Discussion: Achievement Against Objectives</w:t>
      </w:r>
    </w:p>
    <w:p>
      <w:pPr>
        <w:jc w:val="both"/>
      </w:pPr>
    </w:p>
    <w:p>
      <w:pPr>
        <w:jc w:val="both"/>
      </w:pPr>
      <w:r>
        <w:rPr>
          <w:b/>
          <w:bCs/>
          <w:sz w:val="21"/>
        </w:rPr>
        <w:t xml:space="preserve">Table 4.12: Objective achievement summary.</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Objective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Target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Achieved</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Status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 Ungrounded Rate ≤ 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 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0.0% (Gen, response-level), 4% (Gen, claim-level), 0% (Ext, by construction)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Met (with caveats above)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 Answer Rate ≥ 85%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 85%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25.0% (Gen, all-split, 63 queries), 88% (Ext, test split, 44 queries)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Partially met: close to target in Extractive Mode, not met in Generative Mode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 Evidence Recall@5 ≥ 80%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 80%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73.9% (Gen, BM25 fallback, all-split) / 73.4% (Ext, BM25, test split) / 85% (dev-phase dense)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Below target as reported; met in dev with dense index</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4. Abstention Accuracy ≥ 80%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 80%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94.1% (Gen, all-split, n=17 unanswerable), 50.0% (Ext, test split, n=12 unanswerable)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Met in Generative Mode; not met in Extractive Mode on the small test-split unanswerable subset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5. Critic Mode F1 ≥ 85%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 85%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93.8% (heuristic, 50-snippet labelled suite)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6. Systematic Evaluation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Complete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Complete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Met</w:t>
            </w:r>
          </w:p>
        </w:tc>
      </w:tr>
    </w:tbl>
    <w:p>
      <w:pPr>
        <w:jc w:val="both"/>
      </w:pPr>
      <w:r>
        <w:t xml:space="preserve">The headline retrieval result (73.9% Recall@5 for B3-Generative on all 63 queries; 73.4% Recall@5 for B3-Extractive on the 44-query test split) is the final reported figure because it comes from the BM25 fallback run used in the reproducibility environment. The earlier dense-retrieval development result is still useful diagnostically: it shows that the architecture performed better when the intended dense backend was available, but it should not replace the final benchmark number. Objective 3 is therefore reported as below target, with the dense result used only to explain where the shortfall came from. Objective 2 is the most significant shortfall. In Generative Mode the system answers only 25% of the 63 golden-set queries, well short of the 85% target, which is the visible price of the strict</w:t>
      </w:r>
      <w:r>
        <w:t xml:space="preserve"> </w:t>
      </w:r>
      <w:r>
        <w:t xml:space="preserve">“cited or silent”</w:t>
      </w:r>
      <w:r>
        <w:t xml:space="preserve"> </w:t>
      </w:r>
      <w:r>
        <w:t xml:space="preserve">rule combined with a conservative reranker threshold and the BM25 fallback’s lower recall. Extractive Mode reaches 88% on the test split, which is close to the target, but a quoted paragraph is not the same kind of answer as a synthesised response, so I have marked Objective 2 as partially met rather than met. Objective 4 is met in Generative Mode (94.1% across the 17 all-split unanswerable queries) but not in Extractive Mode on the small test-split unanswerable subset (50.0% across n = 12), because Extractive Mode bypasses the LLM and therefore the post-LLM</w:t>
      </w:r>
      <w:r>
        <w:t xml:space="preserve"> </w:t>
      </w:r>
      <w:r>
        <w:rPr>
          <w:rStyle w:val="VerbatimChar"/>
        </w:rPr>
        <w:t xml:space="preserve">min_support_rate</w:t>
      </w:r>
      <w:r>
        <w:t xml:space="preserve"> </w:t>
      </w:r>
      <w:r>
        <w:t xml:space="preserve">gate that drives the generative configuration’s abstention behaviour. Objective 5 (Critic Mode macro F1 ≥ 85%) is met at 93.8% on the 50-snippet labelled suite; the lowest-precision label is L2 (Framing Imbalance) at 60.0%, where conventional policy phrasing produces some false positives. Conclusions, limitations, and future work arising from these results are presented in Chapter 5.</w:t>
      </w:r>
    </w:p>
    <w:bookmarkEnd w:id="82"/>
    <w:bookmarkEnd w:id="83"/>
    <w:bookmarkStart w:id="88" w:name="chapter-5-conclusions-and-reflection"/>
    <w:p>
      <w:pPr>
        <w:pStyle w:val="Heading1"/>
      </w:pPr>
      <w:r>
        <w:t xml:space="preserve">Chapter 5 Conclusions and Reflection</w:t>
      </w:r>
    </w:p>
    <w:p>
      <w:pPr>
        <w:jc w:val="both"/>
      </w:pPr>
      <w:r>
        <w:t xml:space="preserve">This chapter pulls together the project-level conclusions from Chapter 4, examines the principal limitations, and identifies the most useful directions for future work.</w:t>
      </w:r>
    </w:p>
    <w:bookmarkStart w:id="84" w:name="conclusions"/>
    <w:p>
      <w:pPr>
        <w:pStyle w:val="Heading2"/>
      </w:pPr>
      <w:r>
        <w:t xml:space="preserve">5.1 Conclusions</w:t>
      </w:r>
    </w:p>
    <w:p>
      <w:pPr>
        <w:jc w:val="both"/>
      </w:pPr>
      <w:r>
        <w:t xml:space="preserve">The project asked whether a RAG system over a closed policy corpus could be made reliably grounded and abstention-aware, and the results support a qualified yes within this synthetic corpus and tested setup. Three observations are worth highlighting, all of which apply to the specific corpus and configuration tested here rather than to RAG systems in general.</w:t>
      </w:r>
    </w:p>
    <w:p>
      <w:pPr>
        <w:jc w:val="both"/>
      </w:pPr>
      <w:r>
        <w:t xml:space="preserve">The first is that, of the four reliability layers, cross-encoder reranking did the most work in these ablations (§4.6). Removing it degraded every headline metric more than removing any other single component. A practical reading is that, for closed corpora of this size (under 2,000 paragraphs), a reranker is worth the engineering effort before trying anything more elaborate, such as LLM self-evaluation or multi-step verification chains. The cost of the reranker on consumer hardware was around 1.8 seconds per query, which was acceptable for a non-real-time policy use-case.</w:t>
      </w:r>
    </w:p>
    <w:p>
      <w:pPr>
        <w:jc w:val="both"/>
      </w:pPr>
      <w:r>
        <w:t xml:space="preserve">The second is that the heuristic verification layer is useful but has a clear ceiling. It cut the per-claim ungrounded rate from 12% to 4%, which is a meaningful improvement, but the residual 4% mostly consists of claims that are semantically wrong while still using words that overlap with the cited paragraph. Catching that residual would require something like NLI-based entailment checking, which would add cost, latency, and a learned component to a layer that is currently deterministic. Whether that trade-off is worth it depends on the deployment context.</w:t>
      </w:r>
    </w:p>
    <w:p>
      <w:pPr>
        <w:jc w:val="both"/>
      </w:pPr>
      <w:r>
        <w:t xml:space="preserve">The third observation is that the</w:t>
      </w:r>
      <w:r>
        <w:t xml:space="preserve"> </w:t>
      </w:r>
      <w:r>
        <w:t xml:space="preserve">“cited or silent”</w:t>
      </w:r>
      <w:r>
        <w:t xml:space="preserve"> </w:t>
      </w:r>
      <w:r>
        <w:t xml:space="preserve">rule behaves differently in the two modes. In Extractive Mode the guarantee is mostly mechanical: the response is a paragraph from the corpus, so the citation points to the exact text being returned. That makes it easier to defend, although the response is less natural. In Generative Mode, the answer is more useful when it works, but the system has to rely on verification and the support-rate gate to decide whether the generated text is safe enough to show. The 0.0% headline ungrounded rate is therefore a result of the enforcement layer, not evidence that the LLM itself never hallucinated.</w:t>
      </w:r>
    </w:p>
    <w:p>
      <w:pPr>
        <w:jc w:val="both"/>
      </w:pPr>
      <w:r>
        <w:t xml:space="preserve">Taken together, the results support a narrow but useful claim. On this synthetic corpus, refusing low-confidence answers, checking whether cited paragraphs actually support generated claims, and surfacing contradictions reduced unsupported answers compared with a standard RAG baseline. The important caveat is that the coverage / precision balance would need to be retuned for any new corpus or retrieval backend.</w:t>
      </w:r>
    </w:p>
    <w:bookmarkEnd w:id="84"/>
    <w:bookmarkStart w:id="85" w:name="limitations"/>
    <w:p>
      <w:pPr>
        <w:pStyle w:val="Heading2"/>
      </w:pPr>
      <w:r>
        <w:t xml:space="preserve">5.2 Limitations</w:t>
      </w:r>
    </w:p>
    <w:p>
      <w:pPr>
        <w:jc w:val="both"/>
      </w:pPr>
      <w:r>
        <w:t xml:space="preserve">An honest assessment of the project’s limitations is essential to interpret the results in their proper scope.</w:t>
      </w:r>
    </w:p>
    <w:p>
      <w:pPr>
        <w:jc w:val="both"/>
      </w:pPr>
      <w:r>
        <w:t xml:space="preserve">L1: Primary Corpus is Synthetic. The headline benchmark was authored specifically for this project, which enabled controlled injection of test cases (deliberate contradictions, vague language) but means the synthetic paragraphs are unusually clean compared with real-world scanned PDFs that carry OCR noise, complex tables, and inconsistent boilerplate. The Public Guidance Transfer Stress Test in §4.11 partially addresses this. On a small unfamiliar OGL-licensed corpus from NCSC, ICO, and ACAS, B3-Extractive still produced zero fabricated citations and a 0% ungrounded rate, but Evidence Recall@5 fell from 73.4% on the synthetic test split to 52.1% on the transfer set (a roughly 30% relative drop). Wider transfer to noisier real-world documents and to a generative-mode test on the public corpus remains future work (§5.3).</w:t>
      </w:r>
    </w:p>
    <w:p>
      <w:pPr>
        <w:jc w:val="both"/>
      </w:pPr>
      <w:r>
        <w:t xml:space="preserve">L2: Golden Set Size. At 63 queries (44 test, 19 dev), the golden set provides directional evidence but limited statistical power. Bootstrap confidence intervals (§4.12) are wide, particularly for Answer Rate, and a five-percentage-point shift in any headline metric would be within sampling variability. A production evaluation would require several hundred annotated queries for statistically robust conclusions.</w:t>
      </w:r>
    </w:p>
    <w:p>
      <w:pPr>
        <w:jc w:val="both"/>
      </w:pPr>
      <w:r>
        <w:t xml:space="preserve">L3: Heuristic Verification Ceiling. Jaccard token overlap cannot detect semantic entailment, paraphrasing, or implicit support. The verification step’s two-thirds hallucination-catch rate represents its ceiling under the current heuristic approach, and §4.8 documents two cases where correctly generated claims were pruned because the LLM paraphrased the source text below the overlap threshold.</w:t>
      </w:r>
    </w:p>
    <w:p>
      <w:pPr>
        <w:jc w:val="both"/>
      </w:pPr>
      <w:r>
        <w:t xml:space="preserve">L4: Single LLM Evaluated. All generative results were obtained using a single LLM family via the OpenAI API. Different models may exhibit different hallucination patterns, citation-format compliance rates, and prompt-following behaviour. The system’s model-agnostic architecture supports easy substitution, but a comparative evaluation across model families was not conducted within the project timeline.</w:t>
      </w:r>
    </w:p>
    <w:p>
      <w:pPr>
        <w:jc w:val="both"/>
      </w:pPr>
      <w:r>
        <w:t xml:space="preserve">L5: Limited Independent Human Evaluation and Adversarial Coverage. The independent reviewer evaluation reported in §4.10 (n = 6 peer participants, 14-18 April 2026) is a useful sanity check on the automated metrics, but it is small, author-facilitated rather than fully blinded, and the reviewer pool is non-domain-expert (CS peers rather than compliance specialists). A Round 2 per-query collection (Appendix B.10) reaches Krippendorff’s α 0.74 on three of five axes; a small 15-query adversarial probe (Appendix B.12, Extractive arm safe at 100%, Generative arm</w:t>
      </w:r>
      <w:r>
        <w:t xml:space="preserve"> </w:t>
      </w:r>
      <w:r>
        <w:rPr>
          <w:rStyle w:val="VerbatimChar"/>
        </w:rPr>
        <w:t xml:space="preserve">n/a</w:t>
      </w:r>
      <w:r>
        <w:t xml:space="preserve"> </w:t>
      </w:r>
      <w:r>
        <w:t xml:space="preserve">after</w:t>
      </w:r>
      <w:r>
        <w:t xml:space="preserve"> </w:t>
      </w:r>
      <w:r>
        <w:rPr>
          <w:rStyle w:val="VerbatimChar"/>
        </w:rPr>
        <w:t xml:space="preserve">insufficient_quota</w:t>
      </w:r>
      <w:r>
        <w:t xml:space="preserve"> </w:t>
      </w:r>
      <w:r>
        <w:t xml:space="preserve">errors on the OpenAI account) is landed alongside. A more rigorous follow-up evaluation would use at least two independent domain-expert raters, full blinding, and per-item ratings stored at collection time (Es et al., 2023).</w:t>
      </w:r>
    </w:p>
    <w:p>
      <w:pPr>
        <w:jc w:val="both"/>
      </w:pPr>
      <w:r>
        <w:t xml:space="preserve">The trade-offs above are summarised compactly in Table 4.13 so the reader can scan the threats to validity in one place.</w:t>
      </w:r>
    </w:p>
    <w:p>
      <w:pPr>
        <w:jc w:val="both"/>
      </w:pPr>
    </w:p>
    <w:p>
      <w:pPr>
        <w:jc w:val="both"/>
      </w:pPr>
      <w:r>
        <w:rPr>
          <w:b/>
          <w:bCs/>
          <w:sz w:val="21"/>
        </w:rPr>
        <w:t xml:space="preserve">Table 4.13: Threats to validity summary.</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Threat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Why it matters</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Mitigation in this project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Remaining weakness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Synthetic primary corpus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May be cleaner than real organisational policies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Controlled contradictions, vague-language injection, public-transfer stress test on NCSC/ICO/ACAS material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Real PDFs with OCR noise and inconsistent boilerplate not fully tested</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Small reviewer sample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Human scores may be unstable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 = 6, Likert rubric, Round 2 inter-rater agreement reported per axis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Reviewers are CS peers, not compliance / governance domain experts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BM25 fallback used for the headline run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Dense retrieval result is not reproduced in the final environment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Backend provenance recorded per run; dev-phase dense numbers reported alongside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The headline retrieval metric (Recall@5 = 73.9%) understates the design’s intended dense performance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LLM quota failure on generative adversarial arm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Paired generative adversarial result is incomplete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Extractive arm reported in full at 100% safe; quota error retained in the CSV rather than hidden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No paired generative-mode adversarial number; re-run requires a billing-active API account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Jaccard token-overlap verification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Token overlap cannot detect semantic entailment or paraphrase support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Numeric-consistency check, support-rate gate, and a conservative abstention threshold compensate at the response level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NLI-style entailment verification is future work (§5.3 F1)</w:t>
            </w:r>
          </w:p>
        </w:tc>
      </w:tr>
    </w:tbl>
    <w:bookmarkEnd w:id="85"/>
    <w:bookmarkStart w:id="86" w:name="future-work"/>
    <w:p>
      <w:pPr>
        <w:pStyle w:val="Heading2"/>
      </w:pPr>
      <w:r>
        <w:t xml:space="preserve">5.3 Future Work</w:t>
      </w:r>
    </w:p>
    <w:p>
      <w:pPr>
        <w:jc w:val="both"/>
      </w:pPr>
      <w:r>
        <w:t xml:space="preserve">The limitations above suggest several research directions, ordered by expected impact on system reliability.</w:t>
      </w:r>
    </w:p>
    <w:p>
      <w:pPr>
        <w:jc w:val="both"/>
      </w:pPr>
      <w:r>
        <w:t xml:space="preserve">F1: NLI-Based Verification. Supplement Jaccard with NLI models (FEVER; Thorne et al., 2018; SciFact; Wadden et al., 2020) classifying claim / evidence entailment, ideally as a borderline-case backstop to the heuristic so determinism and speed are preserved where the heuristic is confident.</w:t>
      </w:r>
    </w:p>
    <w:p>
      <w:pPr>
        <w:jc w:val="both"/>
      </w:pPr>
      <w:r>
        <w:t xml:space="preserve">F2: Domain-Adapted Embeddings. Fine-tune the bi-encoder on policy-specific terminology pairs (</w:t>
      </w:r>
      <w:r>
        <w:t xml:space="preserve">“disposal”</w:t>
      </w:r>
      <w:r>
        <w:t xml:space="preserve"> </w:t>
      </w:r>
      <w:r>
        <w:t xml:space="preserve">and</w:t>
      </w:r>
      <w:r>
        <w:t xml:space="preserve"> </w:t>
      </w:r>
      <w:r>
        <w:t xml:space="preserve">“shredding”</w:t>
      </w:r>
      <w:r>
        <w:t xml:space="preserve">;</w:t>
      </w:r>
      <w:r>
        <w:t xml:space="preserve"> </w:t>
      </w:r>
      <w:r>
        <w:t xml:space="preserve">“moonlighting”</w:t>
      </w:r>
      <w:r>
        <w:t xml:space="preserve"> </w:t>
      </w:r>
      <w:r>
        <w:t xml:space="preserve">and</w:t>
      </w:r>
      <w:r>
        <w:t xml:space="preserve"> </w:t>
      </w:r>
      <w:r>
        <w:t xml:space="preserve">“secondary employment”</w:t>
      </w:r>
      <w:r>
        <w:t xml:space="preserve">) via transfer learning from legal NLP corpora (Chalkidis et al., 2020). This would directly address the vocabulary-mismatch failures identified in the error analysis.</w:t>
      </w:r>
    </w:p>
    <w:p>
      <w:pPr>
        <w:jc w:val="both"/>
      </w:pPr>
      <w:r>
        <w:t xml:space="preserve">F3: Multi-Model Evaluation. Systematically evaluate the pipeline across GPT-4, Claude 3, Llama 3, and Mistral to establish the degree to which the reliability properties are model-dependent. Early informal testing suggested that smaller models produce more schema violations but similar hallucination rates, a hypothesis a controlled study could confirm or refute.</w:t>
      </w:r>
    </w:p>
    <w:p>
      <w:pPr>
        <w:jc w:val="both"/>
      </w:pPr>
      <w:r>
        <w:t xml:space="preserve">F4: Larger, Externally-Annotated Golden Set. Expand to 200+ queries with independent annotators and Cohen’s kappa, providing the credibility signal absent from the single-annotator design.</w:t>
      </w:r>
    </w:p>
    <w:p>
      <w:pPr>
        <w:jc w:val="both"/>
      </w:pPr>
      <w:r>
        <w:t xml:space="preserve">F5: User Feedback Integration. Incorporate a production feedback loop in which policy owners rate answers as useful, partially useful, or incorrect. Aggregated feedback would enable dynamic threshold tuning and identify systematic retrieval gaps.</w:t>
      </w:r>
    </w:p>
    <w:p>
      <w:pPr>
        <w:jc w:val="both"/>
      </w:pPr>
      <w:r>
        <w:t xml:space="preserve">F6: Transfer to Real-World Documents. Empirical validation on a real organisational policy corpus, ideally with an industry partner willing to share a redacted version, is the most important next step for converting this work from a research prototype into a deployable tool.</w:t>
      </w:r>
    </w:p>
    <w:p>
      <w:pPr>
        <w:jc w:val="both"/>
      </w:pPr>
      <w:r>
        <w:t xml:space="preserve">The clearest route from this dissertation artefact to a publishable evaluation would combine three things: a larger externally sourced policy corpus, domain-expert annotation of the gold evidence, and a fully blinded user study with compliance or governance practitioners. The current project deliberately stops short of that claim. It shows that deterministic citation enforcement and abstention can make a policy RAG system more auditable under controlled conditions, but it does not prove deployment readiness across real organisations. A publishable follow-up would therefore treat this system as the experimental harness, not as the final evidence base.</w:t>
      </w:r>
    </w:p>
    <w:bookmarkEnd w:id="86"/>
    <w:bookmarkStart w:id="87" w:name="reflection"/>
    <w:p>
      <w:pPr>
        <w:pStyle w:val="Heading2"/>
      </w:pPr>
      <w:r>
        <w:t xml:space="preserve">5.4 Reflection</w:t>
      </w:r>
    </w:p>
    <w:p>
      <w:pPr>
        <w:jc w:val="both"/>
      </w:pPr>
      <w:r>
        <w:t xml:space="preserve">Two things stood out when I look back at the project rather than at the specific results.</w:t>
      </w:r>
    </w:p>
    <w:p>
      <w:pPr>
        <w:jc w:val="both"/>
      </w:pPr>
      <w:r>
        <w:t xml:space="preserve">The first is that getting the reliability features to work was easier than designing an evaluation that could honestly show whether they worked. The abstention gate itself is a few hundred lines of code. The golden set, the baseline ladder, the dev / test split, and the decision not to use an LLM judge took most of Sprint 6 and several rounds of revising what I was actually measuring. The mistake I caught late (tuning the abstention threshold on the same data I was reporting) is the kind of error that is invisible until you sit down and write out your evaluation protocol, and it has shaped how I would set up evaluation in any future project.</w:t>
      </w:r>
    </w:p>
    <w:p>
      <w:pPr>
        <w:jc w:val="both"/>
      </w:pPr>
      <w:r>
        <w:t xml:space="preserve">The second is that the conventional priority ordering for RAG metrics (maximise answer rate, maximise recall) was not appropriate for this compliance-oriented setting. Most of the design decisions that turned out to be defensible flowed from accepting earlier rather than later that the system should refuse more often than it answers, and that low coverage is the price of a</w:t>
      </w:r>
      <w:r>
        <w:t xml:space="preserve"> </w:t>
      </w:r>
      <w:r>
        <w:t xml:space="preserve">“cited or silent”</w:t>
      </w:r>
      <w:r>
        <w:t xml:space="preserve"> </w:t>
      </w:r>
      <w:r>
        <w:t xml:space="preserve">rule rather than a bug to be fixed afterwards. I do not think that inversion generalises beyond compliance-style applications, but for the specific use-case it was useful.</w:t>
      </w:r>
    </w:p>
    <w:bookmarkEnd w:id="87"/>
    <w:bookmarkEnd w:id="88"/>
    <w:bookmarkStart w:id="89" w:name="list-of-references"/>
    <w:p>
      <w:pPr>
        <w:pStyle w:val="Heading1"/>
        <w:pageBreakBefore/>
      </w:pPr>
      <w:r>
        <w:t xml:space="preserve">List of References</w:t>
      </w:r>
    </w:p>
    <w:p>
      <w:pPr>
        <w:jc w:val="both"/>
      </w:pPr>
      <w:r>
        <w:t xml:space="preserve">Asai, A., Wu, Z., Wang, Y., Sil, A. and Hajishirzi, H. (2024)</w:t>
      </w:r>
      <w:r>
        <w:t xml:space="preserve"> </w:t>
      </w:r>
      <w:r>
        <w:t xml:space="preserve">‘Self-RAG: Learning to Retrieve, Generate, and Critique through Self-Reflection’</w:t>
      </w:r>
      <w:r>
        <w:t xml:space="preserve">, Proceedings of the Twelfth International Conference on Learning Representations (ICLR).</w:t>
      </w:r>
    </w:p>
    <w:p>
      <w:pPr>
        <w:jc w:val="both"/>
      </w:pPr>
      <w:r>
        <w:t xml:space="preserve">Barnett, S., Kurniawan, S., Thudumu, S., Brannelly, Z. and Abdelrazek, M. (2024)</w:t>
      </w:r>
      <w:r>
        <w:t xml:space="preserve"> </w:t>
      </w:r>
      <w:r>
        <w:t xml:space="preserve">‘Seven Failure Points When Engineering a Retrieval Augmented Generation System’</w:t>
      </w:r>
      <w:r>
        <w:t xml:space="preserve">, Proceedings of the IEEE/ACM 3rd International Conference on AI Engineering (CAIN), pp. 194-199. doi:10.1145/3644815.3644945.</w:t>
      </w:r>
    </w:p>
    <w:p>
      <w:pPr>
        <w:jc w:val="both"/>
      </w:pPr>
      <w:r>
        <w:t xml:space="preserve">Bohnet, B., Dai, Z., Duckworth, D., Hu, J., Metzler, D., Nagpal, K. and Strother, K. (2022)</w:t>
      </w:r>
      <w:r>
        <w:t xml:space="preserve"> </w:t>
      </w:r>
      <w:r>
        <w:t xml:space="preserve">‘Attributed Question Answering: Evaluation and Modeling for Attributed Large Language Models’</w:t>
      </w:r>
      <w:r>
        <w:t xml:space="preserve">, arXiv preprint arXiv:2212.08037.</w:t>
      </w:r>
    </w:p>
    <w:p>
      <w:pPr>
        <w:jc w:val="both"/>
      </w:pPr>
      <w:r>
        <w:t xml:space="preserve">Brown, T.B., Mann, B., Ryder, N., Subbiah, M., Kaplan, J., Dhariwal, P., Neelakantan, A., Shyam, P., Sastry, G., Askell, A. and Agarwal, S. (2020)</w:t>
      </w:r>
      <w:r>
        <w:t xml:space="preserve"> </w:t>
      </w:r>
      <w:r>
        <w:t xml:space="preserve">‘Language Models are Few-Shot Learners’</w:t>
      </w:r>
      <w:r>
        <w:t xml:space="preserve">, Advances in Neural Information Processing Systems, 33, pp. 1877-1901.</w:t>
      </w:r>
    </w:p>
    <w:p>
      <w:pPr>
        <w:jc w:val="both"/>
      </w:pPr>
      <w:r>
        <w:t xml:space="preserve">Chalkidis, I., Fergadiotis, M., Malakasiotis, P., Aletras, N. and Androutsopoulos, I. (2020)</w:t>
      </w:r>
      <w:r>
        <w:t xml:space="preserve"> </w:t>
      </w:r>
      <w:r>
        <w:t xml:space="preserve">‘LEGAL-BERT: The Muppets straight out of Law School’</w:t>
      </w:r>
      <w:r>
        <w:t xml:space="preserve">, Findings of the Association for Computational Linguistics: EMNLP 2020, pp. 2898-2904.</w:t>
      </w:r>
    </w:p>
    <w:p>
      <w:pPr>
        <w:jc w:val="both"/>
      </w:pPr>
      <w:r>
        <w:t xml:space="preserve">Chen, J., Yoon, J., Ebrahimi, S., Arik, S., Pfister, T. and Jha, S. (2023)</w:t>
      </w:r>
      <w:r>
        <w:t xml:space="preserve"> </w:t>
      </w:r>
      <w:r>
        <w:t xml:space="preserve">‘Adaptation with Self-Evaluation to Improve Selective Prediction in LLMs (ASPIRE)’</w:t>
      </w:r>
      <w:r>
        <w:t xml:space="preserve">, Findings of the Association for Computational Linguistics: EMNLP 2023, pp. 5190-5213. doi:10.18653/v1/2023.findings-emnlp.345.</w:t>
      </w:r>
    </w:p>
    <w:p>
      <w:pPr>
        <w:jc w:val="both"/>
      </w:pPr>
      <w:r>
        <w:t xml:space="preserve">Cuconasu, F., Trappolini, G., Siciliano, F., Filice, S., Campagnano, C., Maarek, Y., Tonellotto, N. and Silvestri, F. (2024)</w:t>
      </w:r>
      <w:r>
        <w:t xml:space="preserve"> </w:t>
      </w:r>
      <w:r>
        <w:t xml:space="preserve">‘The Power of Noise: Redefining Retrieval for RAG Systems’</w:t>
      </w:r>
      <w:r>
        <w:t xml:space="preserve">, Proceedings of the 47th International ACM SIGIR Conference on Research and Development in Information Retrieval, pp. 719-729. doi:10.1145/3626772.3657834.</w:t>
      </w:r>
    </w:p>
    <w:p>
      <w:pPr>
        <w:jc w:val="both"/>
      </w:pPr>
      <w:r>
        <w:t xml:space="preserve">Es, S., James, J., Espinosa-Anke, L. and Schockaert, S. (2024)</w:t>
      </w:r>
      <w:r>
        <w:t xml:space="preserve"> </w:t>
      </w:r>
      <w:r>
        <w:t xml:space="preserve">‘RAGAS: Automated Evaluation of Retrieval Augmented Generation’</w:t>
      </w:r>
      <w:r>
        <w:t xml:space="preserve">, Proceedings of the 18th Conference of the European Chapter of the Association for Computational Linguistics: System Demonstrations (EACL Demo), pp. 150-158.</w:t>
      </w:r>
    </w:p>
    <w:p>
      <w:pPr>
        <w:jc w:val="both"/>
      </w:pPr>
      <w:r>
        <w:t xml:space="preserve">Gao, L., Dai, Z., Pasupat, P., Chen, A., Chaganty, A.T., Fan, Y., Zhao, V.Y., Lao, N., Lee, H., Juan, D. and Chang, K. (2023)</w:t>
      </w:r>
      <w:r>
        <w:t xml:space="preserve"> </w:t>
      </w:r>
      <w:r>
        <w:t xml:space="preserve">‘RARR: Researching and Revising What Language Models Say, Using Language Models’</w:t>
      </w:r>
      <w:r>
        <w:t xml:space="preserve">, Proceedings of the 61st Annual Meeting of the Association for Computational Linguistics (Volume 1: Long Papers), pp. 16477-16508.</w:t>
      </w:r>
    </w:p>
    <w:p>
      <w:pPr>
        <w:jc w:val="both"/>
      </w:pPr>
      <w:r>
        <w:t xml:space="preserve">Guha, N., Nyarko, J., Ho, D.E., Ré, C., Chilton, A., Narasimhan, K., Choi, A., Weston, J. and Chen, D. (2023)</w:t>
      </w:r>
      <w:r>
        <w:t xml:space="preserve"> </w:t>
      </w:r>
      <w:r>
        <w:t xml:space="preserve">‘LegalBench: A Collaboratively Built Benchmark for Measuring Legal Reasoning in Large Language Models’</w:t>
      </w:r>
      <w:r>
        <w:t xml:space="preserve">, Advances in Neural Information Processing Systems, 36.</w:t>
      </w:r>
    </w:p>
    <w:p>
      <w:pPr>
        <w:jc w:val="both"/>
      </w:pPr>
      <w:r>
        <w:t xml:space="preserve">Huang, L., Yu, W., Ma, W., Zhong, W., Feng, Z., Wang, H., Chen, Q., Peng, W., Feng, X., Qin, B. and Liu, T. (2023)</w:t>
      </w:r>
      <w:r>
        <w:t xml:space="preserve"> </w:t>
      </w:r>
      <w:r>
        <w:t xml:space="preserve">‘A Survey on Hallucination in Large Language Models: Principles, Taxonomy, Challenges, and Open Questions’</w:t>
      </w:r>
      <w:r>
        <w:t xml:space="preserve">, arXiv preprint arXiv:2311.05232.</w:t>
      </w:r>
    </w:p>
    <w:p>
      <w:pPr>
        <w:jc w:val="both"/>
      </w:pPr>
      <w:r>
        <w:t xml:space="preserve">Ji, Z., Lee, N., Frieske, R., Yu, T., Su, D., Xu, Y., Ishii, E., Bang, Y.J., Madotto, A. and Fung, P. (2023)</w:t>
      </w:r>
      <w:r>
        <w:t xml:space="preserve"> </w:t>
      </w:r>
      <w:r>
        <w:t xml:space="preserve">‘Survey of Hallucination in Natural Language Generation’</w:t>
      </w:r>
      <w:r>
        <w:t xml:space="preserve">, ACM Computing Surveys, 55(12), pp. 1-38.</w:t>
      </w:r>
    </w:p>
    <w:p>
      <w:pPr>
        <w:jc w:val="both"/>
      </w:pPr>
      <w:r>
        <w:t xml:space="preserve">Johnson, J., Douze, M. and Jégou, H. (2019)</w:t>
      </w:r>
      <w:r>
        <w:t xml:space="preserve"> </w:t>
      </w:r>
      <w:r>
        <w:t xml:space="preserve">‘Billion-Scale Similarity Search with GPUs’</w:t>
      </w:r>
      <w:r>
        <w:t xml:space="preserve">, IEEE Transactions on Big Data, 7(3), pp. 535-547.</w:t>
      </w:r>
    </w:p>
    <w:p>
      <w:pPr>
        <w:jc w:val="both"/>
      </w:pPr>
      <w:r>
        <w:t xml:space="preserve">Kadavath, S., Conerly, T., Askell, A., Henighan, T., Drain, D., Perez, E., Schiefer, N., Hatfield-Dodds, Z., DasSarma, N., Tran-Johnson, E. and Johnston, S. (2022)</w:t>
      </w:r>
      <w:r>
        <w:t xml:space="preserve"> </w:t>
      </w:r>
      <w:r>
        <w:t xml:space="preserve">‘Language Models (Mostly) Know What They Know’</w:t>
      </w:r>
      <w:r>
        <w:t xml:space="preserve">, arXiv preprint arXiv:2207.05221.</w:t>
      </w:r>
    </w:p>
    <w:p>
      <w:pPr>
        <w:jc w:val="both"/>
      </w:pPr>
      <w:r>
        <w:t xml:space="preserve">Kamath, A., Jia, R. and Liang, P. (2020)</w:t>
      </w:r>
      <w:r>
        <w:t xml:space="preserve"> </w:t>
      </w:r>
      <w:r>
        <w:t xml:space="preserve">‘Selective Question Answering under Domain Shift’</w:t>
      </w:r>
      <w:r>
        <w:t xml:space="preserve">, Proceedings of the 58th Annual Meeting of the Association for Computational Linguistics, pp. 5684-5696.</w:t>
      </w:r>
    </w:p>
    <w:p>
      <w:pPr>
        <w:jc w:val="both"/>
      </w:pPr>
      <w:r>
        <w:t xml:space="preserve">Karpukhin, V., Oguz, B., Min, S., Lewis, P., Wu, L., Edunov, S., Chen, D. and Yih, W. (2020)</w:t>
      </w:r>
      <w:r>
        <w:t xml:space="preserve"> </w:t>
      </w:r>
      <w:r>
        <w:t xml:space="preserve">‘Dense Passage Retrieval for Open-Domain Question Answering’</w:t>
      </w:r>
      <w:r>
        <w:t xml:space="preserve">, Proceedings of the 2020 Conference on Empirical Methods in Natural Language Processing (EMNLP), pp. 6769-6781.</w:t>
      </w:r>
    </w:p>
    <w:p>
      <w:pPr>
        <w:jc w:val="both"/>
      </w:pPr>
      <w:r>
        <w:t xml:space="preserve">Katz, D.M., Bommarito, M.J., Gao, S. and Arredondo, P. (2024)</w:t>
      </w:r>
      <w:r>
        <w:t xml:space="preserve"> </w:t>
      </w:r>
      <w:r>
        <w:t xml:space="preserve">‘GPT-4 Passes the Bar Exam’</w:t>
      </w:r>
      <w:r>
        <w:t xml:space="preserve">, Philosophical Transactions of the Royal Society A, 382(2270), pp. 20230254.</w:t>
      </w:r>
    </w:p>
    <w:p>
      <w:pPr>
        <w:jc w:val="both"/>
      </w:pPr>
      <w:r>
        <w:t xml:space="preserve">Khattab, O. and Zaharia, M. (2020)</w:t>
      </w:r>
      <w:r>
        <w:t xml:space="preserve"> </w:t>
      </w:r>
      <w:r>
        <w:t xml:space="preserve">‘ColBERT: Efficient and Effective Passage Search via Contextualized Late Interaction over BERT’</w:t>
      </w:r>
      <w:r>
        <w:t xml:space="preserve">, Proceedings of the 43rd International ACM SIGIR Conference on Research and Development in Information Retrieval, pp. 39-48.</w:t>
      </w:r>
    </w:p>
    <w:p>
      <w:pPr>
        <w:jc w:val="both"/>
      </w:pPr>
      <w:r>
        <w:t xml:space="preserve">Krippendorff, K. (2004) Content Analysis: An Introduction to Its Methodology. 2nd edn. Thousand Oaks, CA: Sage Publications.</w:t>
      </w:r>
    </w:p>
    <w:p>
      <w:pPr>
        <w:jc w:val="both"/>
      </w:pPr>
      <w:r>
        <w:t xml:space="preserve">Lewis, P., Perez, E., Piktus, A., Petroni, F., Karpukhin, V., Goyal, N., Küttler, H., Lewis, M., Yih, W., Rocktäschel, T. and Riedel, S. (2020)</w:t>
      </w:r>
      <w:r>
        <w:t xml:space="preserve"> </w:t>
      </w:r>
      <w:r>
        <w:t xml:space="preserve">‘Retrieval-Augmented Generation for Knowledge-Intensive NLP Tasks’</w:t>
      </w:r>
      <w:r>
        <w:t xml:space="preserve">, Advances in Neural Information Processing Systems, 33, pp. 9459-9474.</w:t>
      </w:r>
    </w:p>
    <w:p>
      <w:pPr>
        <w:jc w:val="both"/>
      </w:pPr>
      <w:r>
        <w:t xml:space="preserve">Lin, J., Nogueira, R. and Yates, A. (2021) Pretrained Transformers for Text Ranking: BERT and Beyond. San Rafael, CA: Morgan &amp; Claypool (Synthesis Lectures on Human Language Technologies).</w:t>
      </w:r>
    </w:p>
    <w:p>
      <w:pPr>
        <w:jc w:val="both"/>
      </w:pPr>
      <w:r>
        <w:t xml:space="preserve">Liu, N.F., Lin, K., Hewitt, J., Paranjape, A., Bevilacqua, M., Petroni, F. and Liang, P. (2024)</w:t>
      </w:r>
      <w:r>
        <w:t xml:space="preserve"> </w:t>
      </w:r>
      <w:r>
        <w:t xml:space="preserve">‘Lost in the Middle: How Language Models Use Long Contexts’</w:t>
      </w:r>
      <w:r>
        <w:t xml:space="preserve">, Transactions of the Association for Computational Linguistics, 12, pp. 157-173.</w:t>
      </w:r>
    </w:p>
    <w:p>
      <w:pPr>
        <w:jc w:val="both"/>
      </w:pPr>
      <w:r>
        <w:t xml:space="preserve">Nogueira, R. and Cho, K. (2019)</w:t>
      </w:r>
      <w:r>
        <w:t xml:space="preserve"> </w:t>
      </w:r>
      <w:r>
        <w:t xml:space="preserve">‘Passage Re-ranking with BERT’</w:t>
      </w:r>
      <w:r>
        <w:t xml:space="preserve">, arXiv preprint arXiv:1901.04085.</w:t>
      </w:r>
    </w:p>
    <w:p>
      <w:pPr>
        <w:jc w:val="both"/>
      </w:pPr>
      <w:r>
        <w:t xml:space="preserve">Page, M.J., McKenzie, J.E., Bossuyt, P.M., Boutron, I., Hoffmann, T.C., Mulrow, C.D., Shamseer, L., Tetzlaff, J.M., Akl, E.A., Brennan, S.E., Chou, R., Glanville, J., Grimshaw, J.M., Hróbjartsson, A., Lalu, M.M., Li, T., Loder, E.W., Mayo-Wilson, E., McDonald, S., McGuinness, L.A., Stewart, L.A., Thomas, J., Tricco, A.C., Welch, V.A., Whiting, P. and Moher, D. (2021)</w:t>
      </w:r>
      <w:r>
        <w:t xml:space="preserve"> </w:t>
      </w:r>
      <w:r>
        <w:t xml:space="preserve">‘The PRISMA 2020 statement: an updated guideline for reporting systematic reviews’</w:t>
      </w:r>
      <w:r>
        <w:t xml:space="preserve">, BMJ, 372, n71.</w:t>
      </w:r>
    </w:p>
    <w:p>
      <w:pPr>
        <w:jc w:val="both"/>
      </w:pPr>
      <w:r>
        <w:t xml:space="preserve">Qu, R., Bao, F. and Tu, R. (2024)</w:t>
      </w:r>
      <w:r>
        <w:t xml:space="preserve"> </w:t>
      </w:r>
      <w:r>
        <w:t xml:space="preserve">‘Is Semantic Chunking Worth the Computational Cost?’</w:t>
      </w:r>
      <w:r>
        <w:t xml:space="preserve">, arXiv preprint arXiv:2410.13070.</w:t>
      </w:r>
    </w:p>
    <w:p>
      <w:pPr>
        <w:jc w:val="both"/>
      </w:pPr>
      <w:r>
        <w:t xml:space="preserve">Ren, J., Rajani, N., Khashabi, D. and Hajishirzi, H. (2023)</w:t>
      </w:r>
      <w:r>
        <w:t xml:space="preserve"> </w:t>
      </w:r>
      <w:r>
        <w:t xml:space="preserve">‘Investigating the Factual Knowledge Boundary of Large Language Models with Retrieval Augmentation’</w:t>
      </w:r>
      <w:r>
        <w:t xml:space="preserve">, arXiv preprint arXiv:2307.11019.</w:t>
      </w:r>
    </w:p>
    <w:p>
      <w:pPr>
        <w:jc w:val="both"/>
      </w:pPr>
      <w:r>
        <w:t xml:space="preserve">Saad-Falcon, J., Khattab, O., Potts, C. and Zaharia, M. (2023)</w:t>
      </w:r>
      <w:r>
        <w:t xml:space="preserve"> </w:t>
      </w:r>
      <w:r>
        <w:t xml:space="preserve">‘ARES: An Automated Evaluation Framework for Retrieval-Augmented Generation Systems’</w:t>
      </w:r>
      <w:r>
        <w:t xml:space="preserve">, arXiv preprint arXiv:2311.09476.</w:t>
      </w:r>
    </w:p>
    <w:p>
      <w:pPr>
        <w:jc w:val="both"/>
      </w:pPr>
      <w:r>
        <w:t xml:space="preserve">Strubell, E., Ganesh, A. and McCallum, A. (2019)</w:t>
      </w:r>
      <w:r>
        <w:t xml:space="preserve"> </w:t>
      </w:r>
      <w:r>
        <w:t xml:space="preserve">‘Energy and Policy Considerations for Deep Learning in NLP’</w:t>
      </w:r>
      <w:r>
        <w:t xml:space="preserve">, Proceedings of the 57th Annual Meeting of the Association for Computational Linguistics (ACL), pp. 3645-3650.</w:t>
      </w:r>
    </w:p>
    <w:p>
      <w:pPr>
        <w:jc w:val="both"/>
      </w:pPr>
      <w:r>
        <w:t xml:space="preserve">Thorne, J., Vlachos, A., Christodoulopoulos, C. and Mittal, A. (2018)</w:t>
      </w:r>
      <w:r>
        <w:t xml:space="preserve"> </w:t>
      </w:r>
      <w:r>
        <w:t xml:space="preserve">‘FEVER: A Large-Scale Dataset for Fact Extraction and VERification’</w:t>
      </w:r>
      <w:r>
        <w:t xml:space="preserve">, Proceedings of the 2018 Conference of the North American Chapter of the Association for Computational Linguistics: Human Language Technologies (NAACL-HLT), pp. 809-819.</w:t>
      </w:r>
    </w:p>
    <w:p>
      <w:pPr>
        <w:jc w:val="both"/>
      </w:pPr>
      <w:r>
        <w:t xml:space="preserve">Vu, T., Iyyer, M., Wang, X., Constant, N., Wei, J., Wei, J., Tar, C., Sung, Y.H., Zhou, D., Le, Q.V. and Luong, T. (2023)</w:t>
      </w:r>
      <w:r>
        <w:t xml:space="preserve"> </w:t>
      </w:r>
      <w:r>
        <w:t xml:space="preserve">‘FreshLLMs: Refreshing Large Language Models with Search Engine Augmentation’</w:t>
      </w:r>
      <w:r>
        <w:t xml:space="preserve">, arXiv preprint arXiv:2310.03214.</w:t>
      </w:r>
    </w:p>
    <w:p>
      <w:pPr>
        <w:jc w:val="both"/>
      </w:pPr>
      <w:r>
        <w:t xml:space="preserve">Wadden, D., Lin, S., Lo, K., Wang, L.L., van Zuylen, M., Cohan, A. and Hajishirzi, H. (2020)</w:t>
      </w:r>
      <w:r>
        <w:t xml:space="preserve"> </w:t>
      </w:r>
      <w:r>
        <w:t xml:space="preserve">‘Fact or Fiction: Verifying Scientific Claims’</w:t>
      </w:r>
      <w:r>
        <w:t xml:space="preserve">, Proceedings of the 2020 Conference on Empirical Methods in Natural Language Processing (EMNLP), pp. 7534-7550.</w:t>
      </w:r>
    </w:p>
    <w:p>
      <w:pPr>
        <w:jc w:val="both"/>
      </w:pPr>
      <w:r>
        <w:t xml:space="preserve">Wallat, J., Heuss, M., de Rijke, M. and Anand, A. (2024)</w:t>
      </w:r>
      <w:r>
        <w:t xml:space="preserve"> </w:t>
      </w:r>
      <w:r>
        <w:t xml:space="preserve">‘Correctness is not Faithfulness in RAG Attributions’</w:t>
      </w:r>
      <w:r>
        <w:t xml:space="preserve">, arXiv preprint arXiv:2412.18004.</w:t>
      </w:r>
    </w:p>
    <w:p>
      <w:pPr>
        <w:jc w:val="both"/>
      </w:pPr>
      <w:r>
        <w:t xml:space="preserve">Yin, Z., Sun, Q., Guo, Q., Wu, J., Qiu, X. and Huang, X. (2023)</w:t>
      </w:r>
      <w:r>
        <w:t xml:space="preserve"> </w:t>
      </w:r>
      <w:r>
        <w:t xml:space="preserve">‘Do Large Language Models Know What They Don’t Know?’</w:t>
      </w:r>
      <w:r>
        <w:t xml:space="preserve">, Findings of the Association for Computational Linguistics: ACL 2023, pp. 8653-8665.</w:t>
      </w:r>
    </w:p>
    <w:p>
      <w:pPr>
        <w:jc w:val="both"/>
      </w:pPr>
      <w:r>
        <w:t xml:space="preserve">Yue, X., Wang, B., Chen, Z., Zhang, K., Su, Y. and Sun, H. (2023)</w:t>
      </w:r>
      <w:r>
        <w:t xml:space="preserve"> </w:t>
      </w:r>
      <w:r>
        <w:t xml:space="preserve">‘Automatic Evaluation of Attribution by Large Language Models’</w:t>
      </w:r>
      <w:r>
        <w:t xml:space="preserve">, Findings of the Association for Computational Linguistics: EMNLP 2023, pp. 4615-4635. doi:10.18653/v1/2023.findings-emnlp.307.</w:t>
      </w:r>
    </w:p>
    <w:p>
      <w:pPr>
        <w:jc w:val="both"/>
      </w:pPr>
      <w:r>
        <w:t xml:space="preserve">Penzkofer, V. and Baumann, T. (2024)</w:t>
      </w:r>
      <w:r>
        <w:t xml:space="preserve"> </w:t>
      </w:r>
      <w:r>
        <w:t xml:space="preserve">‘Evaluating and Fine-Tuning Retrieval-Augmented Language Models to Generate Text with Accurate Citations (RAGE)’</w:t>
      </w:r>
      <w:r>
        <w:t xml:space="preserve">, Proceedings of the 20th Conference on Natural Language Processing (KONVENS 2024), pp. 57-64.</w:t>
      </w:r>
    </w:p>
    <w:p>
      <w:pPr>
        <w:jc w:val="both"/>
      </w:pPr>
      <w:r>
        <w:t xml:space="preserve">Zheng, L., Chiang, W.L., Sheng, Y., Zhuang, S., Wu, Z., Zhuang, Y., Lin, Z., Li, Z., Li, D., Xing, E.P. and Zhang, H. (2024)</w:t>
      </w:r>
      <w:r>
        <w:t xml:space="preserve"> </w:t>
      </w:r>
      <w:r>
        <w:t xml:space="preserve">‘Judging LLM-as-a-Judge with MT-Bench and Chatbot Arena’</w:t>
      </w:r>
      <w:r>
        <w:t xml:space="preserve">, Advances in Neural Information Processing Systems, 36.</w:t>
      </w:r>
    </w:p>
    <w:p>
      <w:pPr>
        <w:jc w:val="both"/>
      </w:pPr>
      <w:r>
        <w:t xml:space="preserve">Zhong, H., Xiao, C., Tu, C., Zhang, T., Liu, Z. and Sun, M. (2020)</w:t>
      </w:r>
      <w:r>
        <w:t xml:space="preserve"> </w:t>
      </w:r>
      <w:r>
        <w:t xml:space="preserve">‘How Does NLP Benefit Legal System: A Summary of Legal Artificial Intelligence’</w:t>
      </w:r>
      <w:r>
        <w:t xml:space="preserve">, Proceedings of the 58th Annual Meeting of the Association for Computational Linguistics, pp. 5218-5230.</w:t>
      </w:r>
    </w:p>
    <w:p>
      <w:pPr>
        <w:jc w:val="both"/>
      </w:pPr>
      <w:r>
        <w:pict>
          <v:rect style="width:0;height:1.5pt" o:hralign="center" o:hrstd="t" o:hr="t"/>
        </w:pict>
      </w:r>
    </w:p>
    <w:bookmarkEnd w:id="89"/>
    <w:bookmarkStart w:id="97" w:name="appendix-a-self-appraisal"/>
    <w:p>
      <w:pPr>
        <w:pStyle w:val="Heading1"/>
        <w:pageBreakBefore/>
      </w:pPr>
      <w:r>
        <w:t xml:space="preserve">Appendix A Self-appraisal</w:t>
      </w:r>
    </w:p>
    <w:bookmarkStart w:id="90" w:name="a.1-critical-self-evaluation"/>
    <w:p>
      <w:pPr>
        <w:pStyle w:val="Heading2"/>
      </w:pPr>
      <w:r>
        <w:t xml:space="preserve">A.1 Critical self-evaluation</w:t>
      </w:r>
    </w:p>
    <w:p>
      <w:pPr>
        <w:jc w:val="both"/>
      </w:pPr>
      <w:r>
        <w:t xml:space="preserve">The starting point for this project was a fairly specific design rule: build a RAG system that will only answer when it can cite a source, and will refuse otherwise. That rule is more constrained than what most contemporary RAG demos try to do, where the implicit goal is to answer as much as possible. Looking back, the system probably enforces the rule more strictly than I had originally planned, and that strictness is visible in both the strong precision numbers and in the low answer rate.</w:t>
      </w:r>
    </w:p>
    <w:p>
      <w:pPr>
        <w:jc w:val="both"/>
      </w:pPr>
      <w:r>
        <w:t xml:space="preserve">Designing for refusal rather than for coverage was the part of the project I underestimated at the start. Most of the tutorials and frameworks I looked at early on (LangChain, LlamaIndex, the standard</w:t>
      </w:r>
      <w:r>
        <w:t xml:space="preserve"> </w:t>
      </w:r>
      <w:r>
        <w:t xml:space="preserve">“QA over your docs”</w:t>
      </w:r>
      <w:r>
        <w:t xml:space="preserve"> </w:t>
      </w:r>
      <w:r>
        <w:t xml:space="preserve">pattern) treat answering as the default and refusal as an edge case. The B1 vs. B3 comparison made it clear that this default does not survive contact with a compliance use-case: B1 will answer policy questions with no grounding at all, and the abstention machinery in B3 had to be designed against the grain of those defaults rather than as a small add-on.</w:t>
      </w:r>
    </w:p>
    <w:p>
      <w:pPr>
        <w:jc w:val="both"/>
      </w:pPr>
      <w:r>
        <w:t xml:space="preserve">The live evaluation results turned out sharper than the development-phase estimates. B3-Generative reaches 0.0% Ungrounded Rate (response-level, after the support-rate gate) and 94.1% Abstention Accuracy across the 17 unanswerable queries in the full golden set (</w:t>
      </w:r>
      <w:r>
        <w:rPr>
          <w:rStyle w:val="VerbatimChar"/>
        </w:rPr>
        <w:t xml:space="preserve">split=all</w:t>
      </w:r>
      <w:r>
        <w:t xml:space="preserve">), but only at a 25.0% Answer Rate across all 63 queries. Three things combine to produce that low Answer Rate: a strict abstention threshold (0.30), a strict per-claim support threshold (min_support_rate = 0.80), and the fact that the final evaluation run fell back to the BM25 retriever after the dense FAISS index was unavailable in the reproducibility environment, which has lower recall than the dense index used during development. In hindsight, I would either lower the threshold for the BM25 backend or treat the dense-index runs as the primary results and the BM25 fallback as a separate degraded-mode report.</w:t>
      </w:r>
    </w:p>
    <w:p>
      <w:pPr>
        <w:jc w:val="both"/>
      </w:pPr>
      <w:r>
        <w:t xml:space="preserve">B3-Extractive (88% Answer Rate, 100% Citation Precision, 0% Ungrounded Rate, 50.0% Abstention Accuracy on n = 12 unanswerable test queries) is the safest demonstration setting for fabrication risk in this project, at least until retrieval recall improves enough to give Generative Mode a more generous abstention threshold. Its Abstention Accuracy on the small unanswerable subset is modest because Extractive Mode bypasses the LLM and therefore the post-LLM</w:t>
      </w:r>
      <w:r>
        <w:t xml:space="preserve"> </w:t>
      </w:r>
      <w:r>
        <w:rPr>
          <w:rStyle w:val="VerbatimChar"/>
        </w:rPr>
        <w:t xml:space="preserve">min_support_rate</w:t>
      </w:r>
      <w:r>
        <w:t xml:space="preserve"> </w:t>
      </w:r>
      <w:r>
        <w:t xml:space="preserve">gate that drives the generative configuration’s all-split 94.1% figure. Extractive Mode also does the useful job of showing that the surrounding pipeline (retrieval, citation construction, contradiction handling) functions independently of the LLM, with the caveat that an Extractive answer is a quoted paragraph and not a synthesised one.</w:t>
      </w:r>
    </w:p>
    <w:p>
      <w:pPr>
        <w:jc w:val="both"/>
      </w:pPr>
      <w:r>
        <w:t xml:space="preserve">The ablation results were the part of the project that surprised me most. Going in, I expected the verification step to be the most impactful component, since it most directly enforces the</w:t>
      </w:r>
      <w:r>
        <w:t xml:space="preserve"> </w:t>
      </w:r>
      <w:r>
        <w:t xml:space="preserve">“cited or silent”</w:t>
      </w:r>
      <w:r>
        <w:t xml:space="preserve"> </w:t>
      </w:r>
      <w:r>
        <w:t xml:space="preserve">rule. The data showed reranking was doing more of the work, which I now read as: it is easier to keep the LLM honest by giving it better evidence in the first place than by trying to clean up its output afterwards. It looks obvious in hindsight, but I only got to it from running the ablations and reading the numbers, not from anything I would have predicted up front.</w:t>
      </w:r>
    </w:p>
    <w:bookmarkEnd w:id="90"/>
    <w:bookmarkStart w:id="91" w:name="X5f5e5c43fdaef655737eee246f9aac728acdc99"/>
    <w:p>
      <w:pPr>
        <w:pStyle w:val="Heading2"/>
      </w:pPr>
      <w:r>
        <w:t xml:space="preserve">A.2 Personal reflection and lessons learned</w:t>
      </w:r>
    </w:p>
    <w:p>
      <w:pPr>
        <w:jc w:val="both"/>
      </w:pPr>
      <w:r>
        <w:t xml:space="preserve">The project demanded competence across multiple technical domains that, at the outset, were unfamiliar to me in combination: dense retrieval, cross-encoder reranking, LLM prompt engineering, and deterministic verification heuristics. While I had encountered each of these topics individually during the taught modules, integrating them into a single coherent pipeline required a level of systems-engineering thinking that the coursework modules did not fully prepare me for.</w:t>
      </w:r>
    </w:p>
    <w:p>
      <w:pPr>
        <w:jc w:val="both"/>
      </w:pPr>
      <w:r>
        <w:t xml:space="preserve">Three skills developed substantially during the project:</w:t>
      </w:r>
    </w:p>
    <w:p>
      <w:pPr>
        <w:numPr>
          <w:ilvl w:val="0"/>
          <w:numId w:val="1012"/>
        </w:numPr>
        <w:jc w:val="both"/>
      </w:pPr>
      <w:r>
        <w:t xml:space="preserve">Empirical evaluation design. The baseline ladder and ablation methodology, while standard in machine-learning research, were new practices for me. Learning to structure experiments so that each comparison isolates exactly one variable proved essential for producing interpretable results. Splitting the golden set into validation and test subsets is obvious in hindsight, but it was not part of my initial project plan; I adopted it during Sprint 6 after recognising that the abstention threshold had been tuned on the same data used for evaluation. Left uncorrected, that methodological error would have inflated the reported metrics.</w:t>
      </w:r>
    </w:p>
    <w:p>
      <w:pPr>
        <w:numPr>
          <w:ilvl w:val="0"/>
          <w:numId w:val="1012"/>
        </w:numPr>
        <w:jc w:val="both"/>
      </w:pPr>
      <w:r>
        <w:t xml:space="preserve">Defensive software engineering. The repair-and-retry mechanism for LLM JSON compliance, the cascading fallback strategy, and the claim-splitting edge-case handling all required a defensive programming mindset: anticipating failure modes and building graceful recovery paths. This contrasts with coursework assignments, where inputs are typically clean and well-formed.</w:t>
      </w:r>
    </w:p>
    <w:p>
      <w:pPr>
        <w:numPr>
          <w:ilvl w:val="0"/>
          <w:numId w:val="1012"/>
        </w:numPr>
        <w:jc w:val="both"/>
      </w:pPr>
      <w:r>
        <w:t xml:space="preserve">Technical writing under constraint. Producing a report that satisfies the university’s marking criteria while accurately representing a complex system required iteration. Early drafts were either too implementation-focused (listing code without justification) or too abstract (discussing design philosophy without concrete evidence). The final report attempts to balance both registers, a skill I want to keep working on.</w:t>
      </w:r>
    </w:p>
    <w:bookmarkEnd w:id="91"/>
    <w:bookmarkStart w:id="96" w:name="X254a187480e93182affc27418a40d738584021a"/>
    <w:p>
      <w:pPr>
        <w:pStyle w:val="Heading2"/>
      </w:pPr>
      <w:r>
        <w:t xml:space="preserve">A.3 Legal, social, ethical and professional issues</w:t>
      </w:r>
    </w:p>
    <w:p>
      <w:pPr>
        <w:jc w:val="both"/>
      </w:pPr>
      <w:r>
        <w:t xml:space="preserve">The LSEP framework requires consideration of the broader implications of the system beyond its technical performance. Each dimension is addressed individually below, in accordance with the School of Computer Science’s self-assessment requirements.</w:t>
      </w:r>
    </w:p>
    <w:bookmarkStart w:id="92" w:name="a.3.1-legal-issues"/>
    <w:p>
      <w:pPr>
        <w:pStyle w:val="Heading3"/>
      </w:pPr>
      <w:r>
        <w:t xml:space="preserve">A.3.1 Legal issues</w:t>
      </w:r>
    </w:p>
    <w:p>
      <w:pPr>
        <w:jc w:val="both"/>
      </w:pPr>
      <w:r>
        <w:t xml:space="preserve">Privacy and Data Protection. RAG architectures lend themselves to query-time access control more easily than fine-tuned models do: because documents are retrieved at query time rather than embedded in model weights, an access-control layer can sit at the retrieval stage so that a user’s query only retrieves documents they are authorised to see. This access-control layer is not implemented in the current prototype (all documents are accessible to all users), but the architecture supports it without redesign, since the</w:t>
      </w:r>
      <w:r>
        <w:t xml:space="preserve"> </w:t>
      </w:r>
      <w:r>
        <w:rPr>
          <w:rStyle w:val="VerbatimChar"/>
        </w:rPr>
        <w:t xml:space="preserve">Retriever</w:t>
      </w:r>
      <w:r>
        <w:t xml:space="preserve"> </w:t>
      </w:r>
      <w:r>
        <w:t xml:space="preserve">class accepts a document-filter parameter that could restrict the search space per-user. I built that hook in deliberately, with a deployment scenario in mind where different employees have different policy-access levels.</w:t>
      </w:r>
    </w:p>
    <w:p>
      <w:pPr>
        <w:jc w:val="both"/>
      </w:pPr>
      <w:r>
        <w:t xml:space="preserve">Under the UK Data Protection Act 2018 and the General Data Protection Regulation (EU) 2016/679, any system processing queries that could be linked to an identifiable individual would constitute processing of personal data. In the current prototype this risk does not arise: the synthetic corpus contains no personal data and the system does not log user identities. A production deployment would, however, require a Data Protection Impact Assessment and appropriate safeguards, particularly if query logs were retained for auditing purposes, since the combination of query text and timestamp could constitute indirect personal data.</w:t>
      </w:r>
    </w:p>
    <w:p>
      <w:pPr>
        <w:jc w:val="both"/>
      </w:pPr>
      <w:r>
        <w:t xml:space="preserve">Intellectual Property. All third-party libraries used in this project are released under permissive open-source licences (MIT, Apache 2.0, BSD-3; see Appendix B.1). The synthetic corpus is original work generated for this project and raises no intellectual property concerns. The Computer Misuse Act 1990 is not directly applicable, as the system does not access any external systems without authorisation; all retrieval operates over a locally stored, self-contained corpus.</w:t>
      </w:r>
    </w:p>
    <w:bookmarkEnd w:id="92"/>
    <w:bookmarkStart w:id="93" w:name="a.3.2-social-issues"/>
    <w:p>
      <w:pPr>
        <w:pStyle w:val="Heading3"/>
      </w:pPr>
      <w:r>
        <w:t xml:space="preserve">A.3.2 Social issues</w:t>
      </w:r>
    </w:p>
    <w:p>
      <w:pPr>
        <w:jc w:val="both"/>
      </w:pPr>
      <w:r>
        <w:t xml:space="preserve">Automation Bias and Over-Trust. The most significant social concern is automation bias: the tendency for users to accept system-generated answers uncritically, particularly when those answers carry a</w:t>
      </w:r>
      <w:r>
        <w:t xml:space="preserve"> </w:t>
      </w:r>
      <w:r>
        <w:t xml:space="preserve">“verified”</w:t>
      </w:r>
      <w:r>
        <w:t xml:space="preserve"> </w:t>
      </w:r>
      <w:r>
        <w:t xml:space="preserve">label. Policy Copilot’s verification mechanism could paradoxically increase this risk, because by presenting answers as</w:t>
      </w:r>
      <w:r>
        <w:t xml:space="preserve"> </w:t>
      </w:r>
      <w:r>
        <w:t xml:space="preserve">“citation-verified”</w:t>
      </w:r>
      <w:r>
        <w:t xml:space="preserve"> </w:t>
      </w:r>
      <w:r>
        <w:t xml:space="preserve">the system may create a false sense of certainty that discourages users from consulting the source documents directly. To mitigate this, the Streamlit UI explicitly labels all answers as</w:t>
      </w:r>
      <w:r>
        <w:t xml:space="preserve"> </w:t>
      </w:r>
      <w:r>
        <w:t xml:space="preserve">“AI-Generated, Verify Against Source”</w:t>
      </w:r>
      <w:r>
        <w:t xml:space="preserve"> </w:t>
      </w:r>
      <w:r>
        <w:t xml:space="preserve">and displays the raw cited paragraphs alongside the generated answer, enabling the user to perform their own verification. The effectiveness of this mitigation depends on user behaviour, however, which is a factor outside the system’s control.</w:t>
      </w:r>
    </w:p>
    <w:p>
      <w:pPr>
        <w:jc w:val="both"/>
      </w:pPr>
      <w:r>
        <w:t xml:space="preserve">Deskilling and Power Asymmetry. A subtler social risk concerns the potential deskilling of policy specialists. If employees rely on an AI intermediary to interpret policy documents rather than reading the source material directly, their capacity for independent policy interpretation may atrophy over time. There is also a power asymmetry worth acknowledging: the employer controls the corpus that the system retrieves from, while the employee receives the system’s interpretation of that corpus. In a dispute over policy application, the employee’s understanding is mediated, and potentially constrained, by the system’s retrieval boundaries.</w:t>
      </w:r>
    </w:p>
    <w:p>
      <w:pPr>
        <w:jc w:val="both"/>
      </w:pPr>
      <w:r>
        <w:t xml:space="preserve">Digital Equity. Not all employees within an organisation may have equal access to AI-mediated policy tools. Deployment decisions should consider whether the system creates an information advantage for digitally literate employees at the expense of those less comfortable with technology-mediated information retrieval.</w:t>
      </w:r>
    </w:p>
    <w:bookmarkEnd w:id="93"/>
    <w:bookmarkStart w:id="94" w:name="a.3.3-ethical-issues"/>
    <w:p>
      <w:pPr>
        <w:pStyle w:val="Heading3"/>
      </w:pPr>
      <w:r>
        <w:t xml:space="preserve">A.3.3 Ethical issues</w:t>
      </w:r>
    </w:p>
    <w:p>
      <w:pPr>
        <w:jc w:val="both"/>
      </w:pPr>
      <w:r>
        <w:t xml:space="preserve">Accountability and Auditability. Every query produces a structured log entry covering the question, the retrieved paragraphs, the reranker scores, the raw LLM output, the verification decisions (kept claims, pruned claims, and the reason for each), and the final response. This means any answer the system has produced can be re-traced after the fact, which is useful for compliance environments where decisions based on policy interpretations may later be challenged. The provenance chain is exercised by</w:t>
      </w:r>
      <w:r>
        <w:t xml:space="preserve"> </w:t>
      </w:r>
      <w:r>
        <w:rPr>
          <w:rStyle w:val="VerbatimChar"/>
        </w:rPr>
        <w:t xml:space="preserve">test_backend_provenance.py</w:t>
      </w:r>
      <w:r>
        <w:t xml:space="preserve">, which fails if a response is returned without an attached audit trail. It is worth noting that the audit log itself becomes a privacy and security responsibility: a production deployment would need to apply the same access-control discipline to the log store as to the source documents, since the combination of query, retrieved paragraphs, and timestamp can be sensitive in its own right.</w:t>
      </w:r>
    </w:p>
    <w:p>
      <w:pPr>
        <w:jc w:val="both"/>
      </w:pPr>
      <w:r>
        <w:t xml:space="preserve">Bias Risks. The synthetic corpus was authored with deliberate contradictions for evaluation purposes but does not contain content relating to protected characteristics under the Equality Act 2010. The system’s extractive fallback mode quotes source material directly, reducing the risk of introducing bias through paraphrasing. In generative mode, however, the LLM may introduce subtle framing biases not present in the source documents, a risk that the heuristic verification layer can only partially mitigate, since it checks for factual support rather than tonal fidelity.</w:t>
      </w:r>
    </w:p>
    <w:p>
      <w:pPr>
        <w:jc w:val="both"/>
      </w:pPr>
      <w:r>
        <w:t xml:space="preserve">Environmental Impact. The environmental cost of large language model inference deserves acknowledgement. Strubell et al. (2019) gave an early estimate suggesting that the carbon footprint of training a single large NLP model could be comparable to a substantial multi-year vehicle footprint, although the exact figure has been re-debated in subsequent literature and depends heavily on the model size and energy mix. Inference-time costs for a small model such as</w:t>
      </w:r>
      <w:r>
        <w:t xml:space="preserve"> </w:t>
      </w:r>
      <w:r>
        <w:rPr>
          <w:rStyle w:val="VerbatimChar"/>
        </w:rPr>
        <w:t xml:space="preserve">gpt-4o-mini</w:t>
      </w:r>
      <w:r>
        <w:t xml:space="preserve"> </w:t>
      </w:r>
      <w:r>
        <w:t xml:space="preserve">are orders of magnitude smaller than training-time costs, but they are still non-trivial at scale. Policy Copilot partially mitigates this: extractive/offline modes (B3-Extractive) require no LLM calls, while generative baselines require API access. The bi-encoder (MiniLM, 22M parameters) and cross-encoder (ms-marco-MiniLM, 22M parameters) are both lightweight models chosen partly for their low computational footprint.</w:t>
      </w:r>
    </w:p>
    <w:p>
      <w:pPr>
        <w:jc w:val="both"/>
      </w:pPr>
      <w:r>
        <w:t xml:space="preserve">Participant Evaluation Ethics. The independent reviewer evaluation in §4.10 (n = 6, 14-18 April 2026) was conducted under voluntary informed consent: participants received a Participant Information text, gave digital consent for anonymised data reuse, and could withdraw before final submission. No personal data was retained beyond Likert scores and short comments; reviewers are referred to only as P1-P6 with a role tag (BSc CS or MSc CS), and comments appear in the report only as paraphrased themes (Appendix B.10).</w:t>
      </w:r>
    </w:p>
    <w:bookmarkEnd w:id="94"/>
    <w:bookmarkStart w:id="95" w:name="a.3.4-professional-issues"/>
    <w:p>
      <w:pPr>
        <w:pStyle w:val="Heading3"/>
      </w:pPr>
      <w:r>
        <w:t xml:space="preserve">A.3.4 Professional issues</w:t>
      </w:r>
    </w:p>
    <w:p>
      <w:pPr>
        <w:jc w:val="both"/>
      </w:pPr>
      <w:r>
        <w:t xml:space="preserve">Generative AI Policy Compliance. Under the University of Leeds Generative AI policy, this module (COMP3931/COMP3932) sits in the Amber category. AI tools were used only in the assistive capacities documented in Appendix B.5, including development support, debugging, planning, structuring, consistency checking, and writing-review feedback. They were not used as a replacement author and were not treated as authoritative sources. The submitted report remains the author’s final work: all final wording, technical claims, citations, numerical results, figures, tables, edits, and submission decisions were checked, revised where needed, and approved by the author. The University proof-reading policy was reviewed and followed.</w:t>
      </w:r>
    </w:p>
    <w:p>
      <w:pPr>
        <w:jc w:val="both"/>
      </w:pPr>
      <w:r>
        <w:t xml:space="preserve">Professional Standards. The codebase follows professional software-engineering practices: version-controlled development with meaningful commit messages, automated testing under the documented evaluator command, reproducible evaluation via scripted pipelines, and modular architecture with clean separation of concerns. In practical terms, the work was guided by the BCS Code of Conduct’s emphasis on the public interest, professional competence, and integrity: the abstention behaviour was treated as a public-interest feature (the system should refuse rather than fabricate); limitations and trade-offs are made explicit in this report (Sections 4.13 and 5.2) rather than hidden; and any AI-assisted parts of the development workflow are disclosed in Appendix B.5 in line with the university’s Generative AI policy.</w:t>
      </w:r>
    </w:p>
    <w:p>
      <w:pPr>
        <w:jc w:val="both"/>
      </w:pPr>
      <w:r>
        <w:pict>
          <v:rect style="width:0;height:1.5pt" o:hralign="center" o:hrstd="t" o:hr="t"/>
        </w:pict>
      </w:r>
    </w:p>
    <w:bookmarkEnd w:id="95"/>
    <w:bookmarkEnd w:id="96"/>
    <w:bookmarkEnd w:id="97"/>
    <w:bookmarkStart w:id="117" w:name="appendix-b-external-materials"/>
    <w:p>
      <w:pPr>
        <w:pStyle w:val="Heading1"/>
        <w:pageBreakBefore/>
      </w:pPr>
      <w:r>
        <w:t xml:space="preserve">Appendix B External Materials</w:t>
      </w:r>
    </w:p>
    <w:bookmarkStart w:id="99" w:name="repository-and-access"/>
    <w:p>
      <w:pPr>
        <w:pStyle w:val="Heading3"/>
      </w:pPr>
      <w:r>
        <w:t xml:space="preserve">Repository and Access</w:t>
      </w:r>
    </w:p>
    <w:p>
      <w:pPr>
        <w:jc w:val="both"/>
      </w:pPr>
      <w:r>
        <w:t xml:space="preserve">The complete source code, evaluation datasets, and full history of development commits for this project are hosted in a public GitHub repository.</w:t>
      </w:r>
    </w:p>
    <w:p>
      <w:pPr>
        <w:jc w:val="both"/>
      </w:pPr>
      <w:r>
        <w:t xml:space="preserve">Repository URL:</w:t>
      </w:r>
      <w:r>
        <w:t xml:space="preserve"> </w:t>
      </w:r>
      <w:hyperlink r:id="rId98">
        <w:r>
          <w:rPr>
            <w:rStyle w:val="Hyperlink"/>
          </w:rPr>
          <w:t xml:space="preserve">https://github.com/NathS04/policy_copilot_submission.git</w:t>
        </w:r>
      </w:hyperlink>
    </w:p>
    <w:p>
      <w:pPr>
        <w:jc w:val="both"/>
      </w:pPr>
      <w:r>
        <w:t xml:space="preserve">(Note for examiners: the repository is public; no special access is required for marking verification.)</w:t>
      </w:r>
    </w:p>
    <w:bookmarkEnd w:id="99"/>
    <w:bookmarkStart w:id="100" w:name="b.1-third-party-libraries"/>
    <w:p>
      <w:pPr>
        <w:pStyle w:val="Heading2"/>
      </w:pPr>
      <w:r>
        <w:t xml:space="preserve">B.1 Third-Party Libraries</w:t>
      </w:r>
    </w:p>
    <w:p>
      <w:pPr>
        <w:jc w:val="both"/>
      </w:pPr>
      <w:r>
        <w:t xml:space="preserve">The following open-source Python libraries were used in the development of Policy Copilot.</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Library</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Version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License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Usage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Python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3.10+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PSF</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Runtime environment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OpenAI</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Apache 2.0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LLM API client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Anthropic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0.x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LLM API client (alternate)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Sentence-Transformers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Apache 2.0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Bi-encoder embeddings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FAISS-CPU</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1.7.x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Vector indexing &amp; search</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Pydantic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Config &amp; data validation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pypdf</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BSD-3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PDF text extraction (active extraction path; see §3.2)</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pdfplumber</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0.10+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PDF parsing fallback (pinned; not on the active path for the synthetic corpus)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TikToken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0.x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Token counting</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Pytest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 testing framework</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Matplotlib</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PSF</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Figure generation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Seaborn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0.x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BSD-3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Statistical data visualization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Streamlit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Apache 2.0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Web interface framework</w:t>
            </w:r>
          </w:p>
        </w:tc>
      </w:tr>
    </w:tbl>
    <w:bookmarkEnd w:id="100"/>
    <w:bookmarkStart w:id="101" w:name="b.2-licensing"/>
    <w:p>
      <w:pPr>
        <w:pStyle w:val="Heading2"/>
      </w:pPr>
      <w:r>
        <w:t xml:space="preserve">B.2 Licensing</w:t>
      </w:r>
    </w:p>
    <w:p>
      <w:pPr>
        <w:jc w:val="both"/>
      </w:pPr>
      <w:r>
        <w:t xml:space="preserve">The Policy Copilot source code is released under the MIT License, which allows reuse, modification, and distribution and aligns with the project’s goal of demonstrating reproducible research.</w:t>
      </w:r>
    </w:p>
    <w:bookmarkEnd w:id="101"/>
    <w:bookmarkStart w:id="102" w:name="b.3-external-datasets"/>
    <w:p>
      <w:pPr>
        <w:pStyle w:val="Heading2"/>
      </w:pPr>
      <w:r>
        <w:t xml:space="preserve">B.3 External Datasets</w:t>
      </w:r>
    </w:p>
    <w:p>
      <w:pPr>
        <w:jc w:val="both"/>
      </w:pPr>
      <w:r>
        <w:t xml:space="preserve">The primary benchmark corpus used in this report is synthetic and authored for this project. One supplementary external dataset is also used, only for the §4.11 stress test.</w:t>
      </w:r>
    </w:p>
    <w:p>
      <w:pPr>
        <w:numPr>
          <w:ilvl w:val="0"/>
          <w:numId w:val="1013"/>
        </w:numPr>
        <w:jc w:val="both"/>
      </w:pPr>
      <w:r>
        <w:t xml:space="preserve">Policy Corpus (synthetic, project data, not report prose): three synthetic policy PDFs were generated using GPT-4o with detailed prompts specifying structure, contradictions, and coverage requirements. This corpus is project data used as input to the system, not text that appears as authored prose in this report.</w:t>
      </w:r>
    </w:p>
    <w:p>
      <w:pPr>
        <w:numPr>
          <w:ilvl w:val="0"/>
          <w:numId w:val="1013"/>
        </w:numPr>
        <w:jc w:val="both"/>
      </w:pPr>
      <w:r>
        <w:t xml:space="preserve">Golden Set (synthetic): 63 queries manually crafted and auto-labelled against the synthetic corpus.</w:t>
      </w:r>
    </w:p>
    <w:p>
      <w:pPr>
        <w:numPr>
          <w:ilvl w:val="0"/>
          <w:numId w:val="1013"/>
        </w:numPr>
        <w:jc w:val="both"/>
      </w:pPr>
      <w:r>
        <w:t xml:space="preserve">Public Guidance Transfer Corpus (supplementary external data, used only in §4.11): 8 documents / 249 paragraphs drawn from public pages published by the National Cyber Security Centre, the Information Commissioner’s Office, and ACAS. The captured text was taken from public-sector guidance pages whose site terms or page footers state the Open Government Licence v3.0, except where otherwise stated; the downloader keeps only main article text and excludes logos, images, navigation, cookie banners, and other non-text or third-party material. URLs, retrieval dates, content hashes, and reasons for inclusion are recorded in</w:t>
      </w:r>
      <w:r>
        <w:t xml:space="preserve"> </w:t>
      </w:r>
      <w:r>
        <w:rPr>
          <w:rStyle w:val="VerbatimChar"/>
        </w:rPr>
        <w:t xml:space="preserve">data/public_transfer_corpus/provenance.csv</w:t>
      </w:r>
      <w:r>
        <w:t xml:space="preserve"> </w:t>
      </w:r>
      <w:r>
        <w:t xml:space="preserve">and reproduced in Appendix B.11.</w:t>
      </w:r>
    </w:p>
    <w:bookmarkEnd w:id="102"/>
    <w:bookmarkStart w:id="103" w:name="b.4-development-tools"/>
    <w:p>
      <w:pPr>
        <w:pStyle w:val="Heading2"/>
      </w:pPr>
      <w:r>
        <w:t xml:space="preserve">B.4 Development Tools</w:t>
      </w:r>
    </w:p>
    <w:p>
      <w:pPr>
        <w:numPr>
          <w:ilvl w:val="0"/>
          <w:numId w:val="1014"/>
        </w:numPr>
        <w:jc w:val="both"/>
      </w:pPr>
      <w:r>
        <w:t xml:space="preserve">VS Code: Integrated Development Environment.</w:t>
      </w:r>
    </w:p>
    <w:p>
      <w:pPr>
        <w:numPr>
          <w:ilvl w:val="0"/>
          <w:numId w:val="1014"/>
        </w:numPr>
        <w:jc w:val="both"/>
      </w:pPr>
      <w:r>
        <w:t xml:space="preserve">Git: Version control system.</w:t>
      </w:r>
    </w:p>
    <w:p>
      <w:pPr>
        <w:numPr>
          <w:ilvl w:val="0"/>
          <w:numId w:val="1014"/>
        </w:numPr>
        <w:jc w:val="both"/>
      </w:pPr>
      <w:r>
        <w:t xml:space="preserve">Poetry / Pip: Dependency management.</w:t>
      </w:r>
    </w:p>
    <w:p>
      <w:pPr>
        <w:numPr>
          <w:ilvl w:val="0"/>
          <w:numId w:val="1014"/>
        </w:numPr>
        <w:jc w:val="both"/>
      </w:pPr>
      <w:r>
        <w:t xml:space="preserve">Black / Ruff: Code formatting and linting.</w:t>
      </w:r>
    </w:p>
    <w:p>
      <w:pPr>
        <w:jc w:val="both"/>
      </w:pPr>
      <w:r>
        <w:pict>
          <v:rect style="width:0;height:1.5pt" o:hralign="center" o:hrstd="t" o:hr="t"/>
        </w:pict>
      </w:r>
    </w:p>
    <w:bookmarkEnd w:id="103"/>
    <w:bookmarkStart w:id="106" w:name="X59823d81a2493546db9de6a5549c34343051cfe"/>
    <w:p>
      <w:pPr>
        <w:pStyle w:val="Heading2"/>
      </w:pPr>
      <w:r>
        <w:t xml:space="preserve">B.5 Generative AI Usage Declaration and Log</w:t>
      </w:r>
    </w:p>
    <w:p>
      <w:pPr>
        <w:jc w:val="both"/>
      </w:pPr>
      <w:r>
        <w:t xml:space="preserve">Under the University of Leeds Generative AI policy, this module sits in the Amber category. Generative AI was used in an assistive role during development, debugging, planning, structuring, project-data generation, and review. The tools were not used as a replacement author and were not treated as authoritative sources.</w:t>
      </w:r>
    </w:p>
    <w:bookmarkStart w:id="104" w:name="declaration-1"/>
    <w:p>
      <w:pPr>
        <w:pStyle w:val="Heading4"/>
      </w:pPr>
      <w:r>
        <w:t xml:space="preserve">Declaration</w:t>
      </w:r>
    </w:p>
    <w:p>
      <w:pPr>
        <w:jc w:val="both"/>
      </w:pPr>
      <w:r>
        <w:t xml:space="preserve">AI outputs were used as suggestions, prompts for checking, or review comments. They were not accepted automatically. The submitted report is the author’s final work: all final wording, technical claims, numerical results, citations, code changes, figures, tables, interpretation, and submission decisions were checked, revised where needed, and approved by the author. All AI-assisted code suggestions were reviewed, tested, and modified by the author before inclusion.</w:t>
      </w:r>
    </w:p>
    <w:p>
      <w:pPr>
        <w:jc w:val="both"/>
      </w:pPr>
      <w:r>
        <w:t xml:space="preserve">AI tools were not used to fabricate results, citations, reviewer data, evaluation scores, supervisor feedback, ethics approval, Git history, or experimental evidence. Where AI-assisted code or writing-review suggestions were used, the author remained responsible for testing, verification, interpretation, and final wording.</w:t>
      </w:r>
    </w:p>
    <w:bookmarkEnd w:id="104"/>
    <w:bookmarkStart w:id="105" w:name="usage-log"/>
    <w:p>
      <w:pPr>
        <w:pStyle w:val="Heading4"/>
      </w:pPr>
      <w:r>
        <w:t xml:space="preserve">Usage Log</w:t>
      </w:r>
    </w:p>
    <w:p>
      <w:pPr>
        <w:jc w:val="both"/>
      </w:pPr>
      <w:r>
        <w:t xml:space="preserve">The log below covers the full project window: implementation work from November 2025 through early April 2026, then report preparation in the final pre-submission weeks of April 2026.</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Date Range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Tool</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Purpose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Scope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Nov 2025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GitHub Copilot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Code autocompletion suggestions during initial retriever and indexer module development. Suggestions were accepted selectively and always reviewed.</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src/policy_copilot/retrieve/</w:t>
            </w:r>
            <w:r>
              <w:rPr>
                <w:rFonts w:ascii="Times New Roman" w:hAnsi="Times New Roman"/>
                <w:color w:val="000000"/>
                <w:sz w:val="18"/>
              </w:rPr>
              <w:t xml:space="preserve">,</w:t>
            </w:r>
            <w:r>
              <w:rPr>
                <w:rFonts w:ascii="Times New Roman" w:hAnsi="Times New Roman"/>
                <w:color w:val="000000"/>
                <w:sz w:val="18"/>
              </w:rPr>
              <w:t xml:space="preserve"> </w:t>
            </w:r>
            <w:r>
              <w:rPr>
                <w:rStyle w:val="VerbatimChar"/>
                <w:rFonts w:ascii="Times New Roman" w:hAnsi="Times New Roman"/>
                <w:color w:val="000000"/>
                <w:sz w:val="18"/>
              </w:rPr>
              <w:t xml:space="preserve">src/policy_copilot/index/</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Dec 2025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ChatGPT (GPT-4)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Debugging assistance for FAISS index serialisation errors. The model suggested checking numpy array dtype alignment.</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scripts/build_​index.py</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Dec 2025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ChatGPT (GPT-4)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Structuring the evaluation harness: asked for advice on organising metric computation across multiple baselines. The recommended folder structure was adapted.</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eval/</w:t>
            </w:r>
            <w:r>
              <w:rPr>
                <w:rFonts w:ascii="Times New Roman" w:hAnsi="Times New Roman"/>
                <w:color w:val="000000"/>
                <w:sz w:val="18"/>
              </w:rPr>
              <w:t xml:space="preserve"> </w:t>
            </w:r>
            <w:r>
              <w:rPr>
                <w:rFonts w:ascii="Times New Roman" w:hAnsi="Times New Roman"/>
                <w:color w:val="000000"/>
                <w:sz w:val="18"/>
              </w:rPr>
              <w:t xml:space="preserve">directory layout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Jan 2026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GitHub Copilot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Boilerplate generation for Pydantic schema definitions and pytest fixtures. All generated code was modified to fit project conventions.</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src/policy_​copilot/generate/schema.py</w:t>
            </w:r>
            <w:r>
              <w:rPr>
                <w:rFonts w:ascii="Times New Roman" w:hAnsi="Times New Roman"/>
                <w:color w:val="000000"/>
                <w:sz w:val="18"/>
              </w:rPr>
              <w:t xml:space="preserve">,</w:t>
            </w:r>
            <w:r>
              <w:rPr>
                <w:rFonts w:ascii="Times New Roman" w:hAnsi="Times New Roman"/>
                <w:color w:val="000000"/>
                <w:sz w:val="18"/>
              </w:rPr>
              <w:t xml:space="preserve"> </w:t>
            </w:r>
            <w:r>
              <w:rPr>
                <w:rStyle w:val="VerbatimChar"/>
                <w:rFonts w:ascii="Times New Roman" w:hAnsi="Times New Roman"/>
                <w:color w:val="000000"/>
                <w:sz w:val="18"/>
              </w:rPr>
              <w:t xml:space="preserve">tests/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Feb 2026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ChatGPT (GPT-4o)</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Generating the synthetic policy corpus documents (project data only, not report prose). Detailed prompts specified structure, contradictions, and coverage requirements.</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data/corpus/raw/</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Mar 2026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GitHub Copilot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Minor autocompletion during Streamlit UI development and figure-generation script refinement.</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src/policy_copilot/ui/</w:t>
            </w:r>
            <w:r>
              <w:rPr>
                <w:rFonts w:ascii="Times New Roman" w:hAnsi="Times New Roman"/>
                <w:color w:val="000000"/>
                <w:sz w:val="18"/>
              </w:rPr>
              <w:t xml:space="preserve">,</w:t>
            </w:r>
            <w:r>
              <w:rPr>
                <w:rFonts w:ascii="Times New Roman" w:hAnsi="Times New Roman"/>
                <w:color w:val="000000"/>
                <w:sz w:val="18"/>
              </w:rPr>
              <w:t xml:space="preserve"> </w:t>
            </w:r>
            <w:r>
              <w:rPr>
                <w:rStyle w:val="VerbatimChar"/>
                <w:rFonts w:ascii="Times New Roman" w:hAnsi="Times New Roman"/>
                <w:color w:val="000000"/>
                <w:sz w:val="18"/>
              </w:rPr>
              <w:t xml:space="preserve">eval/analysis/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Apr 2026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Claude Opus (Anthropic)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Writing-review support during report preparation: structure checks, clarity feedback, identification of unclear or repetitive passages, suggestions for table/caption consistency, and template/layout checks. Suggestions were treated as review comments rather than final authoritative text; the author manually revised the report and remained responsible for final wording, claims, citations, and interpretation.</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docs/report/Final_​Report_​Nathaniel_​Sebastian_​201715051.md</w:t>
            </w:r>
            <w:r>
              <w:rPr>
                <w:rFonts w:ascii="Times New Roman" w:hAnsi="Times New Roman"/>
                <w:color w:val="000000"/>
                <w:sz w:val="18"/>
              </w:rPr>
              <w:t xml:space="preserve">,</w:t>
            </w:r>
            <w:r>
              <w:rPr>
                <w:rFonts w:ascii="Times New Roman" w:hAnsi="Times New Roman"/>
                <w:color w:val="000000"/>
                <w:sz w:val="18"/>
              </w:rPr>
              <w:t xml:space="preserve"> </w:t>
            </w:r>
            <w:r>
              <w:rPr>
                <w:rStyle w:val="VerbatimChar"/>
                <w:rFonts w:ascii="Times New Roman" w:hAnsi="Times New Roman"/>
                <w:color w:val="000000"/>
                <w:sz w:val="18"/>
              </w:rPr>
              <w:t>docs/report/Final_​Report_​Nathaniel_​Sebastian_​201715051.pdf</w:t>
            </w:r>
            <w:r>
              <w:rPr>
                <w:rFonts w:ascii="Times New Roman" w:hAnsi="Times New Roman"/>
                <w:color w:val="000000"/>
                <w:sz w:val="18"/>
              </w:rPr>
              <w:t xml:space="preserve">,</w:t>
            </w:r>
            <w:r>
              <w:rPr>
                <w:rFonts w:ascii="Times New Roman" w:hAnsi="Times New Roman"/>
                <w:color w:val="000000"/>
                <w:sz w:val="18"/>
              </w:rPr>
              <w:t xml:space="preserve"> </w:t>
            </w:r>
            <w:r>
              <w:rPr>
                <w:rStyle w:val="VerbatimChar"/>
                <w:rFonts w:ascii="Times New Roman" w:hAnsi="Times New Roman"/>
                <w:color w:val="000000"/>
                <w:sz w:val="18"/>
              </w:rPr>
              <w:t>scripts/apply_​leeds_​template.py</w:t>
            </w:r>
          </w:p>
        </w:tc>
      </w:tr>
    </w:tbl>
    <w:p>
      <w:pPr>
        <w:jc w:val="both"/>
      </w:pPr>
      <w:r>
        <w:pict>
          <v:rect style="width:0;height:1.5pt" o:hralign="center" o:hrstd="t" o:hr="t"/>
        </w:pict>
      </w:r>
    </w:p>
    <w:bookmarkEnd w:id="105"/>
    <w:bookmarkEnd w:id="106"/>
    <w:bookmarkStart w:id="107" w:name="b.6-ethics-checklist"/>
    <w:p>
      <w:pPr>
        <w:pStyle w:val="Heading2"/>
      </w:pPr>
      <w:r>
        <w:t xml:space="preserve">B.6 Ethics Checklist</w:t>
      </w:r>
    </w:p>
    <w:p>
      <w:pPr>
        <w:jc w:val="both"/>
      </w:pPr>
      <w:r>
        <w:t xml:space="preserve">The following self-assessment addresses the ethical dimensions of this research, in accordance with the School of Computer Science’s framework for software engineering projects.</w:t>
      </w:r>
    </w:p>
    <w:tbl>
      <w:tblPr>
        <w:tblStyle w:val="TableGrid"/>
        <w:tblW w:type="pct" w:w="5000"/>
        <w:jc w:val="center"/>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640"/>
        <w:gridCol w:w="2640"/>
        <w:gridCol w:w="264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Question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Response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Does the project involve human participants?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Yes — limited. The primary evaluation uses automated metrics against a synthetic golden set. In addition, a small independent reviewer evaluation (n = 6 peer participants, 14-18 April 2026) was conducted to triangulate the automated metrics (Section 4.10). Participants were Final-Year BSc and MSc Computer Science peers from the University of Leeds School of Computer Science; recruitment was voluntary and outside the project’s supervisory chain. Participants received a Participant Information text, gave digital consent for anonymised data reuse, and were free to withdraw before final submission. No personal data was retained beyond Likert scores and short comments; reviewers are referred to only as P1-P6 with role tag (BSc CS / MSc CS). Recruitment, rubric, consent text, and anonymised results are reproduced in Appendix B.10.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Does the project collect, store, or process personal data?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No. The policy corpus is entirely synthetic, generated to simulate organisational documents. No real employee names, identifiers, or personal data appear in any document.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Does the project use datasets that may contain biases?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Mitigated. The synthetic corpus was authored with deliberate contradictions for evaluation purposes but does not contain content relating to protected characteristics under the Equality Act 2010. The system’s extractive fallback mode quotes source material directly, reducing the risk of introducing bias through paraphrasing.</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Does the project involve AI systems that make decisions affecting individuals?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Not directly. Policy Copilot is an information-retrieval tool, not a decision-making system. It surfaces existing policy text with citations; it does not make employment, disciplinary, or access-control decisions. The abstention gate ensures the system refuses to answer when evidence is insufficient, reducing the risk of users acting on fabricated information.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Are there environmental considerations?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Acknowledged. Generative baselines (B1, B2, B3-Generative) call</w:t>
            </w:r>
            <w:r>
              <w:rPr>
                <w:rFonts w:ascii="Times New Roman" w:hAnsi="Times New Roman"/>
                <w:color w:val="000000"/>
                <w:sz w:val="20"/>
              </w:rPr>
              <w:t xml:space="preserve"> </w:t>
            </w:r>
            <w:r>
              <w:rPr>
                <w:rStyle w:val="VerbatimChar"/>
                <w:rFonts w:ascii="Times New Roman" w:hAnsi="Times New Roman"/>
                <w:color w:val="000000"/>
                <w:sz w:val="20"/>
              </w:rPr>
              <w:t xml:space="preserve">gpt-4o-mini</w:t>
            </w:r>
            <w:r>
              <w:rPr>
                <w:rFonts w:ascii="Times New Roman" w:hAnsi="Times New Roman"/>
                <w:color w:val="000000"/>
                <w:sz w:val="20"/>
              </w:rPr>
              <w:t xml:space="preserve"> </w:t>
            </w:r>
            <w:r>
              <w:rPr>
                <w:rFonts w:ascii="Times New Roman" w:hAnsi="Times New Roman"/>
                <w:color w:val="000000"/>
                <w:sz w:val="20"/>
              </w:rPr>
              <w:t xml:space="preserve">via the OpenAI API and therefore incur per-query inference cost. Extractive Mode (B3-Extractive) requires no LLM calls and runs entirely locally. The bi-encoder (MiniLM, 22M parameters) and cross-encoder (ms-marco-MiniLM, 22M parameters) are lightweight models chosen partly for their low computational footprint. Inference-time energy is modest relative to model training in either case.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Does the project raise intellectual property concerns?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No. All third-party libraries are open-source (see B.1). The synthetic corpus is original work. The overall system architecture, integration decisions, and evaluation design are the author’s own work, with development assistance from AI tools as documented in B.5.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Has ethical approval been obtained?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Not required for the formal Faculty ethics route. The only human-participant element is the small, low-risk independent reviewer evaluation described in Q1 above (n = 6 anonymous CS peer reviewers, voluntary, no personal data retained, withdrawal permitted, no sensitive topics). I treated it as a low-risk peer-review activity rather than a formal user study, kept the project supervisor informed of the design and timing, and judged it to fall below the threshold that would require Faculty ethics-committee review. The synthetic policy corpus contains no real personal data. Recruitment text, consent wording, anonymised results, and the Round 2 inter-rater agreement table are all in Appendix B.10.</w:t>
            </w:r>
          </w:p>
        </w:tc>
      </w:tr>
    </w:tbl>
    <w:p>
      <w:pPr>
        <w:jc w:val="both"/>
      </w:pPr>
      <w:r>
        <w:pict>
          <v:rect style="width:0;height:1.5pt" o:hralign="center" o:hrstd="t" o:hr="t"/>
        </w:pict>
      </w:r>
    </w:p>
    <w:bookmarkEnd w:id="107"/>
    <w:bookmarkStart w:id="111" w:name="b.7-evidence-of-testing-and-operation"/>
    <w:p>
      <w:pPr>
        <w:pStyle w:val="Heading2"/>
      </w:pPr>
      <w:r>
        <w:t xml:space="preserve">B.7 Evidence of Testing and Operation</w:t>
      </w:r>
    </w:p>
    <w:bookmarkStart w:id="108" w:name="b.7.1-automated-test-suite"/>
    <w:p>
      <w:pPr>
        <w:pStyle w:val="Heading3"/>
      </w:pPr>
      <w:r>
        <w:t xml:space="preserve">B.7.1 Automated Test Suite</w:t>
      </w:r>
    </w:p>
    <w:p>
      <w:pPr>
        <w:jc w:val="both"/>
      </w:pPr>
      <w:r>
        <w:t xml:space="preserve">The project’s test suite collects 194 tests under the documented evaluator command (193 passed, 1 conditionally skipped) across 39 test files, covering retrieval logic, claim verification, generation schema validation, golden set integrity, contradiction detection, service layer orchestration, audit report export, hybrid retrieval fusion, UI state management, reviewer service, package import verification, and end-to-end integration.</w:t>
      </w:r>
    </w:p>
    <w:p>
      <w:pPr>
        <w:jc w:val="both"/>
      </w:pPr>
      <w:r>
        <w:t xml:space="preserve">Test execution summary (final submission build):</w:t>
      </w:r>
    </w:p>
    <w:p>
      <w:pPr>
        <w:pStyle w:val="SourceCode"/>
      </w:pPr>
      <w:r>
        <w:rPr>
          <w:rStyle w:val="VerbatimChar"/>
          <w:rFonts w:ascii="Courier New" w:hAnsi="Courier New" w:cs="Courier New"/>
          <w:sz w:val="18"/>
        </w:rPr>
        <w:t xml:space="preserve">$ pytest -q --ignore=tests/test_run_eval_requires_key_in_generative.py</w:t>
      </w:r>
      <w:r>
        <w:rPr>
          <w:rFonts w:ascii="Courier New" w:hAnsi="Courier New" w:cs="Courier New"/>
          <w:sz w:val="18"/>
        </w:rPr>
        <w:br/>
      </w:r>
      <w:r>
        <w:rPr>
          <w:rStyle w:val="VerbatimChar"/>
          <w:rFonts w:ascii="Courier New" w:hAnsi="Courier New" w:cs="Courier New"/>
          <w:sz w:val="18"/>
        </w:rPr>
        <w:t xml:space="preserve">193 passed, 1 skipped in 8.46s</w:t>
      </w:r>
    </w:p>
    <w:p>
      <w:pPr>
        <w:jc w:val="both"/>
      </w:pPr>
      <w:r>
        <w:t xml:space="preserve">Environment: Python 3.10+, macOS,</w:t>
      </w:r>
      <w:r>
        <w:t xml:space="preserve"> </w:t>
      </w:r>
      <w:r>
        <w:rPr>
          <w:rStyle w:val="VerbatimChar"/>
        </w:rPr>
        <w:t xml:space="preserve">pip install -e ".[dev]"</w:t>
      </w:r>
      <w:r>
        <w:t xml:space="preserve">. The ignored test file (</w:t>
      </w:r>
      <w:r>
        <w:rPr>
          <w:rStyle w:val="VerbatimChar"/>
        </w:rPr>
        <w:t xml:space="preserve">tests/test_run_eval_requires_key_in_generative.py</w:t>
      </w:r>
      <w:r>
        <w:t xml:space="preserve">) contains an integration test that requires a live API key and is excluded from the default evaluator command. Within the collected suite, the single skipped test is</w:t>
      </w:r>
      <w:r>
        <w:t xml:space="preserve"> </w:t>
      </w:r>
      <w:r>
        <w:rPr>
          <w:rStyle w:val="VerbatimChar"/>
        </w:rPr>
        <w:t xml:space="preserve">test_exits_2_when_dense_index_missing</w:t>
      </w:r>
      <w:r>
        <w:t xml:space="preserve">, which is conditionally skipped when the</w:t>
      </w:r>
      <w:r>
        <w:t xml:space="preserve"> </w:t>
      </w:r>
      <w:r>
        <w:rPr>
          <w:rStyle w:val="VerbatimChar"/>
        </w:rPr>
        <w:t xml:space="preserve">[ml]</w:t>
      </w:r>
      <w:r>
        <w:t xml:space="preserve"> </w:t>
      </w:r>
      <w:r>
        <w:t xml:space="preserve">optional dependencies are installed (i.e. when a dense index could in principle be constructed).</w:t>
      </w:r>
    </w:p>
    <w:bookmarkEnd w:id="108"/>
    <w:bookmarkStart w:id="109" w:name="b.7.2-figure-generation-pipeline"/>
    <w:p>
      <w:pPr>
        <w:pStyle w:val="Heading3"/>
      </w:pPr>
      <w:r>
        <w:t xml:space="preserve">B.7.2 Figure Generation Pipeline</w:t>
      </w:r>
    </w:p>
    <w:p>
      <w:pPr>
        <w:pStyle w:val="SourceCode"/>
      </w:pPr>
      <w:r>
        <w:rPr>
          <w:rStyle w:val="VerbatimChar"/>
          <w:rFonts w:ascii="Courier New" w:hAnsi="Courier New" w:cs="Courier New"/>
          <w:sz w:val="18"/>
        </w:rPr>
        <w:t xml:space="preserve">$ python eval/analysis/make_figures.py</w:t>
      </w:r>
      <w:r>
        <w:rPr>
          <w:rFonts w:ascii="Courier New" w:hAnsi="Courier New" w:cs="Courier New"/>
          <w:sz w:val="18"/>
        </w:rPr>
        <w:br/>
      </w:r>
      <w:r>
        <w:rPr>
          <w:rStyle w:val="VerbatimChar"/>
          <w:rFonts w:ascii="Courier New" w:hAnsi="Courier New" w:cs="Courier New"/>
          <w:sz w:val="18"/>
        </w:rPr>
        <w:t xml:space="preserve">Loaded 5 runs.</w:t>
      </w:r>
      <w:r>
        <w:rPr>
          <w:rFonts w:ascii="Courier New" w:hAnsi="Courier New" w:cs="Courier New"/>
          <w:sz w:val="18"/>
        </w:rPr>
        <w:br/>
      </w:r>
      <w:r>
        <w:rPr>
          <w:rStyle w:val="VerbatimChar"/>
          <w:rFonts w:ascii="Courier New" w:hAnsi="Courier New" w:cs="Courier New"/>
          <w:sz w:val="18"/>
        </w:rPr>
        <w:t xml:space="preserve">Saved results/figures/fig_baselines.png</w:t>
      </w:r>
      <w:r>
        <w:rPr>
          <w:rFonts w:ascii="Courier New" w:hAnsi="Courier New" w:cs="Courier New"/>
          <w:sz w:val="18"/>
        </w:rPr>
        <w:br/>
      </w:r>
      <w:r>
        <w:rPr>
          <w:rStyle w:val="VerbatimChar"/>
          <w:rFonts w:ascii="Courier New" w:hAnsi="Courier New" w:cs="Courier New"/>
          <w:sz w:val="18"/>
        </w:rPr>
        <w:t xml:space="preserve">Saved results/figures/fig_retrieval.png</w:t>
      </w:r>
      <w:r>
        <w:rPr>
          <w:rFonts w:ascii="Courier New" w:hAnsi="Courier New" w:cs="Courier New"/>
          <w:sz w:val="18"/>
        </w:rPr>
        <w:br/>
      </w:r>
      <w:r>
        <w:rPr>
          <w:rStyle w:val="VerbatimChar"/>
          <w:rFonts w:ascii="Courier New" w:hAnsi="Courier New" w:cs="Courier New"/>
          <w:sz w:val="18"/>
        </w:rPr>
        <w:t xml:space="preserve">Saved results/figures/fig_groundedness.png</w:t>
      </w:r>
      <w:r>
        <w:rPr>
          <w:rFonts w:ascii="Courier New" w:hAnsi="Courier New" w:cs="Courier New"/>
          <w:sz w:val="18"/>
        </w:rPr>
        <w:br/>
      </w:r>
      <w:r>
        <w:rPr>
          <w:rStyle w:val="VerbatimChar"/>
          <w:rFonts w:ascii="Courier New" w:hAnsi="Courier New" w:cs="Courier New"/>
          <w:sz w:val="18"/>
        </w:rPr>
        <w:t xml:space="preserve">Saved results/figures/fig_tradeoff.png</w:t>
      </w:r>
      <w:r>
        <w:rPr>
          <w:rFonts w:ascii="Courier New" w:hAnsi="Courier New" w:cs="Courier New"/>
          <w:sz w:val="18"/>
        </w:rPr>
        <w:br/>
      </w:r>
      <w:r>
        <w:rPr>
          <w:rStyle w:val="VerbatimChar"/>
          <w:rFonts w:ascii="Courier New" w:hAnsi="Courier New" w:cs="Courier New"/>
          <w:sz w:val="18"/>
        </w:rPr>
        <w:t xml:space="preserve">Saved results/tables/run_summary.csv</w:t>
      </w:r>
      <w:r>
        <w:rPr>
          <w:rFonts w:ascii="Courier New" w:hAnsi="Courier New" w:cs="Courier New"/>
          <w:sz w:val="18"/>
        </w:rPr>
        <w:br/>
      </w:r>
      <w:r>
        <w:rPr>
          <w:rStyle w:val="VerbatimChar"/>
          <w:rFonts w:ascii="Courier New" w:hAnsi="Courier New" w:cs="Courier New"/>
          <w:sz w:val="18"/>
        </w:rPr>
        <w:t xml:space="preserve">Wrote results/manifest.json</w:t>
      </w:r>
      <w:r>
        <w:rPr>
          <w:rFonts w:ascii="Courier New" w:hAnsi="Courier New" w:cs="Courier New"/>
          <w:sz w:val="18"/>
        </w:rPr>
        <w:br/>
      </w:r>
      <w:r>
        <w:rPr>
          <w:rStyle w:val="VerbatimChar"/>
          <w:rFonts w:ascii="Courier New" w:hAnsi="Courier New" w:cs="Courier New"/>
          <w:sz w:val="18"/>
        </w:rPr>
        <w:t xml:space="preserve">Done.</w:t>
      </w:r>
    </w:p>
    <w:p>
      <w:pPr>
        <w:jc w:val="both"/>
      </w:pPr>
      <w:r>
        <w:t xml:space="preserve">Note:</w:t>
      </w:r>
      <w:r>
        <w:t xml:space="preserve"> </w:t>
      </w:r>
      <w:r>
        <w:rPr>
          <w:rStyle w:val="VerbatimChar"/>
        </w:rPr>
        <w:t xml:space="preserve">fig_groundedness</w:t>
      </w:r>
      <w:r>
        <w:t xml:space="preserve"> </w:t>
      </w:r>
      <w:r>
        <w:t xml:space="preserve">requires B3 (generative) evaluation data which depends on an LLM API key. The reproducibility-mode default run skips it for that reason, and the pre-generated figure in</w:t>
      </w:r>
      <w:r>
        <w:t xml:space="preserve"> </w:t>
      </w:r>
      <w:r>
        <w:rPr>
          <w:rStyle w:val="VerbatimChar"/>
        </w:rPr>
        <w:t xml:space="preserve">docs/report/figures/fig_groundedness.png</w:t>
      </w:r>
      <w:r>
        <w:t xml:space="preserve"> </w:t>
      </w:r>
      <w:r>
        <w:t xml:space="preserve">was produced during an earlier evaluation run with an active API key. Re-generating it requires setting</w:t>
      </w:r>
      <w:r>
        <w:t xml:space="preserve"> </w:t>
      </w:r>
      <w:r>
        <w:rPr>
          <w:rStyle w:val="VerbatimChar"/>
        </w:rPr>
        <w:t xml:space="preserve">OPENAI_API_KEY</w:t>
      </w:r>
      <w:r>
        <w:t xml:space="preserve"> </w:t>
      </w:r>
      <w:r>
        <w:t xml:space="preserve">and re-running</w:t>
      </w:r>
      <w:r>
        <w:t xml:space="preserve"> </w:t>
      </w:r>
      <w:r>
        <w:rPr>
          <w:rStyle w:val="VerbatimChar"/>
        </w:rPr>
        <w:t xml:space="preserve">scripts/run_eval.py --baseline b3 --mode generative</w:t>
      </w:r>
      <w:r>
        <w:t xml:space="preserve"> </w:t>
      </w:r>
      <w:r>
        <w:t xml:space="preserve">before</w:t>
      </w:r>
      <w:r>
        <w:t xml:space="preserve"> </w:t>
      </w:r>
      <w:r>
        <w:rPr>
          <w:rStyle w:val="VerbatimChar"/>
        </w:rPr>
        <w:t xml:space="preserve">make_figures.py</w:t>
      </w:r>
      <w:r>
        <w:t xml:space="preserve">.</w:t>
      </w:r>
    </w:p>
    <w:bookmarkEnd w:id="109"/>
    <w:bookmarkStart w:id="110" w:name="b.7.3-streamlit-application-screenshots"/>
    <w:p>
      <w:pPr>
        <w:pStyle w:val="Heading3"/>
      </w:pPr>
      <w:r>
        <w:t xml:space="preserve">B.7.3 Streamlit Application Screenshots</w:t>
      </w:r>
    </w:p>
    <w:p>
      <w:pPr>
        <w:jc w:val="both"/>
      </w:pPr>
      <w:r>
        <w:t xml:space="preserve">The following screenshots demonstrate the application’s behaviour across three representative query categories:</w:t>
      </w:r>
    </w:p>
    <w:p>
      <w:pPr>
        <w:jc w:val="both"/>
      </w:pPr>
      <w:r>
        <w:t xml:space="preserve">Figure B.1: Answerable query. The user asks</w:t>
      </w:r>
      <w:r>
        <w:t xml:space="preserve"> </w:t>
      </w:r>
      <w:r>
        <w:t xml:space="preserve">“What is the company’s remote work policy?”</w:t>
      </w:r>
      <w:r>
        <w:t xml:space="preserve"> </w:t>
      </w:r>
      <w:r>
        <w:t xml:space="preserve">and receives an extractive answer with inline citations pointing to the internal policy handbook.</w:t>
      </w:r>
    </w:p>
    <w:p>
      <w:pPr>
        <w:spacing w:before="40" w:after="0"/>
        <w:jc w:val="center"/>
      </w:pPr>
      <w:r>
        <w:drawing>
          <wp:inline>
            <wp:extent cx="4572000" cy="2773699"/>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2773699"/>
                    </a:xfrm>
                    <a:prstGeom prst="rect"/>
                  </pic:spPr>
                </pic:pic>
              </a:graphicData>
            </a:graphic>
          </wp:inline>
        </w:drawing>
      </w:r>
    </w:p>
    <w:p>
      <w:pPr>
        <w:spacing w:before="0" w:after="80"/>
        <w:jc w:val="center"/>
      </w:pPr>
      <w:r>
        <w:rPr>
          <w:i/>
          <w:sz w:val="20"/>
        </w:rPr>
        <w:t xml:space="preserve">Figure B.1: Answerable query result showing extractive fallback with citations.</w:t>
      </w:r>
    </w:p>
    <w:p>
      <w:pPr>
        <w:jc w:val="both"/>
      </w:pPr>
      <w:r>
        <w:t xml:space="preserve">Figure B.2: Unanswerable query. The user asks</w:t>
      </w:r>
      <w:r>
        <w:t xml:space="preserve"> </w:t>
      </w:r>
      <w:r>
        <w:t xml:space="preserve">“What is the GDP of France in 2024?”</w:t>
      </w:r>
      <w:r>
        <w:t xml:space="preserve">, a question entirely outside the policy corpus scope. The system correctly abstains, displaying</w:t>
      </w:r>
      <w:r>
        <w:t xml:space="preserve"> </w:t>
      </w:r>
      <w:r>
        <w:t xml:space="preserve">“The corpus does not contain enough information to answer this question”</w:t>
      </w:r>
      <w:r>
        <w:t xml:space="preserve"> </w:t>
      </w:r>
      <w:r>
        <w:t xml:space="preserve">with a FALLBACK_RELEVANCE_FAIL note.</w:t>
      </w:r>
    </w:p>
    <w:p>
      <w:pPr>
        <w:spacing w:before="40" w:after="0"/>
        <w:jc w:val="center"/>
      </w:pPr>
      <w:r>
        <w:drawing>
          <wp:inline>
            <wp:extent cx="4572000" cy="2773699"/>
            <wp:docPr id="10" name="Picture 1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572000" cy="2773699"/>
                    </a:xfrm>
                    <a:prstGeom prst="rect"/>
                  </pic:spPr>
                </pic:pic>
              </a:graphicData>
            </a:graphic>
          </wp:inline>
        </w:drawing>
      </w:r>
    </w:p>
    <w:p>
      <w:pPr>
        <w:spacing w:before="0" w:after="80"/>
        <w:jc w:val="center"/>
      </w:pPr>
      <w:r>
        <w:rPr>
          <w:i/>
          <w:sz w:val="20"/>
        </w:rPr>
        <w:t xml:space="preserve">Figure B.2: Unanswerable query showing abstention behaviour.</w:t>
      </w:r>
    </w:p>
    <w:p>
      <w:pPr>
        <w:jc w:val="both"/>
      </w:pPr>
      <w:r>
        <w:t xml:space="preserve">Figure B.3: Contradiction-probing query. The user asks</w:t>
      </w:r>
      <w:r>
        <w:t xml:space="preserve"> </w:t>
      </w:r>
      <w:r>
        <w:t xml:space="preserve">“Are passwords required to be changed every 30 days in one section but every 90 days in another?”</w:t>
      </w:r>
      <w:r>
        <w:t xml:space="preserve"> </w:t>
      </w:r>
      <w:r>
        <w:t xml:space="preserve">The system retrieves the relevant password policy paragraphs and presents the extracted content with citations.</w:t>
      </w:r>
    </w:p>
    <w:p>
      <w:pPr>
        <w:spacing w:before="40" w:after="0"/>
        <w:jc w:val="center"/>
      </w:pPr>
      <w:r>
        <w:drawing>
          <wp:inline>
            <wp:extent cx="4572000" cy="2773699"/>
            <wp:docPr id="11" name="Picture 1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572000" cy="2773699"/>
                    </a:xfrm>
                    <a:prstGeom prst="rect"/>
                  </pic:spPr>
                </pic:pic>
              </a:graphicData>
            </a:graphic>
          </wp:inline>
        </w:drawing>
      </w:r>
    </w:p>
    <w:p>
      <w:pPr>
        <w:spacing w:before="0" w:after="80"/>
        <w:jc w:val="center"/>
      </w:pPr>
      <w:r>
        <w:rPr>
          <w:i/>
          <w:sz w:val="20"/>
        </w:rPr>
        <w:t xml:space="preserve">Figure B.3: Contradiction query showing retrieved evidence with citations.</w:t>
      </w:r>
    </w:p>
    <w:bookmarkEnd w:id="110"/>
    <w:bookmarkEnd w:id="111"/>
    <w:bookmarkStart w:id="112" w:name="Xc3be17a6feaf50557485e1a44d8c28c1b4a5841"/>
    <w:p>
      <w:pPr>
        <w:pStyle w:val="Heading2"/>
      </w:pPr>
      <w:r>
        <w:t xml:space="preserve">B.8 Comparative Analysis Table (referenced from §1.10)</w:t>
      </w:r>
    </w:p>
    <w:p>
      <w:pPr>
        <w:jc w:val="both"/>
      </w:pPr>
    </w:p>
    <w:p>
      <w:pPr>
        <w:jc w:val="both"/>
      </w:pPr>
      <w:r>
        <w:rPr>
          <w:b/>
          <w:sz w:val="21"/>
        </w:rPr>
        <w:t xml:space="preserve">Table B.1: Comparative analysis of retrieval-augmented and grounded generation systems.</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System / Paper</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Domain Focus</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Grounding Mechanism</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Abstention / Uncertainty</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Key Limitation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Relevance to Policy Copilot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Standard RAG (Lewis et al., 2020)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Open (Wikipedia)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Implicit context injection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None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No citation guarantees; hallucinates on noisy / conflicting context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Baseline architecture (B2)</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DPR (Karpukhin et al., 2020)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Open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Bi-encoder retrieval only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None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Precision degrades on domain-specific corpora; no reranking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Retrieval-stage baseline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Attributed QA (Bohnet et al., 2022)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Open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Supervised citation training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None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Requires large fine-tuning datasets; citations generated, not verified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Conceptual goal for citation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RARR (Gao et al., 2023)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Open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Post-hoc LLM editing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Implicit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Very high latency / cost; editing model may itself hallucinate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Inspiration for verification logic</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Self-RAG (Asai et al., 2024)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Open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Learned reflection tokens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Yes (token prediction)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Requires complex instruction-tuning; architecture-specific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Meta-reasoning concept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ASPIRE (Chen et al., 2023)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General QA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Self-evaluation scoring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Yes (explicit threshold)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Performance depends on Answerable / Unanswerable training data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Abstention parallel</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FreshLLMs (Vu et al., 2023)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Open QA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Web search integration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None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Assumes public ranked results; fails for private contradictory policies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Contrast with closed-corpus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ColBERT (Khattab and Zaharia, 2020)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Open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Late interaction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None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High storage footprint per document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Counter-point to cross-encoder</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LegalBench (Guha et al., 2023)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Legal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Task-specific few-shot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None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Evaluates legal IRAC reasoning, not closed-corpus grounded extraction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Domain contextualisation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Policy Copilot (This Project)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Closed (Policy)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Deterministic Jaccard token overlap</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Yes (Score gate + Claim pruning)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Heuristic verification cannot capture semantic entailment; strict gating lowers answer rate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Proposed solution</w:t>
            </w:r>
          </w:p>
        </w:tc>
      </w:tr>
    </w:tbl>
    <w:bookmarkEnd w:id="112"/>
    <w:bookmarkStart w:id="113" w:name="Xf0c58931cf1f4f9947cff1d32ed89fe21673d20"/>
    <w:p>
      <w:pPr>
        <w:pStyle w:val="Heading2"/>
      </w:pPr>
      <w:r>
        <w:t xml:space="preserve">B.9 Test Suite Matrix (referenced from §3.9)</w:t>
      </w:r>
    </w:p>
    <w:p>
      <w:pPr>
        <w:jc w:val="both"/>
      </w:pPr>
    </w:p>
    <w:p>
      <w:pPr>
        <w:jc w:val="both"/>
      </w:pPr>
      <w:r>
        <w:rPr>
          <w:b/>
          <w:sz w:val="21"/>
        </w:rPr>
        <w:t xml:space="preserve">Table B.2: Testing and validation matrix — 39 test files; 194 collected tests (193 passed, 1 conditionally skipped).</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Test File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Tier</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Component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Validates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test_​ingest.py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Ingestion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PDF parsing, paragraph boundaries, ID stability</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test_​claim_​verification.py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Verification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Jaccard overlap, numeric consistency, edge cases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test_​claim_​split_​skips_​numbering.py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Verification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Numbered lists, abbreviations in claim splitting</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test_​contradictions.py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Verification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“must”</w:t>
            </w:r>
            <w:r>
              <w:rPr>
                <w:rFonts w:ascii="Times New Roman" w:hAnsi="Times New Roman"/>
                <w:color w:val="000000"/>
                <w:sz w:val="18"/>
              </w:rPr>
              <w:t xml:space="preserve"> </w:t>
            </w:r>
            <w:r>
              <w:rPr>
                <w:rFonts w:ascii="Times New Roman" w:hAnsi="Times New Roman"/>
                <w:color w:val="000000"/>
                <w:sz w:val="18"/>
              </w:rPr>
              <w:t xml:space="preserve">/</w:t>
            </w:r>
            <w:r>
              <w:rPr>
                <w:rFonts w:ascii="Times New Roman" w:hAnsi="Times New Roman"/>
                <w:color w:val="000000"/>
                <w:sz w:val="18"/>
              </w:rPr>
              <w:t xml:space="preserve"> </w:t>
            </w:r>
            <w:r>
              <w:rPr>
                <w:rFonts w:ascii="Times New Roman" w:hAnsi="Times New Roman"/>
                <w:color w:val="000000"/>
                <w:sz w:val="18"/>
              </w:rPr>
              <w:t xml:space="preserve">“must not”</w:t>
            </w:r>
            <w:r>
              <w:rPr>
                <w:rFonts w:ascii="Times New Roman" w:hAnsi="Times New Roman"/>
                <w:color w:val="000000"/>
                <w:sz w:val="18"/>
              </w:rPr>
              <w:t xml:space="preserve"> </w:t>
            </w:r>
            <w:r>
              <w:rPr>
                <w:rFonts w:ascii="Times New Roman" w:hAnsi="Times New Roman"/>
                <w:color w:val="000000"/>
                <w:sz w:val="18"/>
              </w:rPr>
              <w:t xml:space="preserve">detection, negation variants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test_​critic.py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Critic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Per-pattern precision / recall on labelled sentences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test_​abstain.py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Verification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Threshold gating triggers below configured threshold</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test_​reranker_​sorting.py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Reranking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Cross-encoder produces correct sort order</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test_​generation_​schema.py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Generation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Pydantic validation, repair-and-retry on malformed JSON</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test_​bm25_​retriever.py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Retrieval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BM25 baseline retriever</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test_​answerer_​b3_​generative.py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Integration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Generation+Verify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End-to-end B3 generative produces schema-valid responses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test_​b2_​extractive_​integration.py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Integration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Retrieval+Extract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B2 extractive returns correctly formatted evidence</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test_​extractive_​fallback.py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Integration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Fallback</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LLM-disabled path returns top paragraph + citation</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test_​b3_​fallback_​relevance_​gate.py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Integration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Abstention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Low-confidence queries trigger abstention in B3</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test_​b3_​fallback_​relevance_​pass.py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Integration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Abstention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High-confidence queries pass through to generation</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test_​golden_​set_​validation.py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System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Evaluation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Gold paragraph IDs exist in corpus; no orphaned annotations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test_​backend_​provenance.py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System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Logging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Provenance metadata attached to every response</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test_​run_​config.py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System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Configuration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Pipeline config loads from</w:t>
            </w:r>
            <w:r>
              <w:rPr>
                <w:rFonts w:ascii="Times New Roman" w:hAnsi="Times New Roman"/>
                <w:color w:val="000000"/>
                <w:sz w:val="18"/>
              </w:rPr>
              <w:t xml:space="preserve"> </w:t>
            </w:r>
            <w:r>
              <w:rPr>
                <w:rStyle w:val="VerbatimChar"/>
                <w:rFonts w:ascii="Times New Roman" w:hAnsi="Times New Roman"/>
                <w:color w:val="000000"/>
                <w:sz w:val="18"/>
              </w:rPr>
              <w:t xml:space="preserve">.env</w:t>
            </w:r>
            <w:r>
              <w:rPr>
                <w:rFonts w:ascii="Times New Roman" w:hAnsi="Times New Roman"/>
                <w:color w:val="000000"/>
                <w:sz w:val="18"/>
              </w:rPr>
              <w:t xml:space="preserve"> </w:t>
            </w:r>
            <w:r>
              <w:rPr>
                <w:rFonts w:ascii="Times New Roman" w:hAnsi="Times New Roman"/>
                <w:color w:val="000000"/>
                <w:sz w:val="18"/>
              </w:rPr>
              <w:t xml:space="preserve">with type-safe defaults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test_​reproduce_​online_​preflight.py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System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Reproducibility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API connectivity and index availability preflight checks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test_​human_​rubric.py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System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Evaluation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Independent reviewer evaluation rubric schema validation</w:t>
            </w:r>
          </w:p>
        </w:tc>
      </w:tr>
    </w:tbl>
    <w:p>
      <w:pPr>
        <w:jc w:val="both"/>
      </w:pPr>
      <w:r>
        <w:t xml:space="preserve">Additional files (</w:t>
      </w:r>
      <w:r>
        <w:rPr>
          <w:rStyle w:val="VerbatimChar"/>
        </w:rPr>
        <w:t xml:space="preserve">test_summary_metrics_non_answers.py</w:t>
      </w:r>
      <w:r>
        <w:t xml:space="preserve">,</w:t>
      </w:r>
      <w:r>
        <w:t xml:space="preserve"> </w:t>
      </w:r>
      <w:r>
        <w:rPr>
          <w:rStyle w:val="VerbatimChar"/>
        </w:rPr>
        <w:t xml:space="preserve">test_verify_artifacts_smoke.py</w:t>
      </w:r>
      <w:r>
        <w:t xml:space="preserve">, etc.) cover further edge cases and infrastructure validation.</w:t>
      </w:r>
    </w:p>
    <w:bookmarkEnd w:id="113"/>
    <w:bookmarkStart w:id="114" w:name="Xd90c692be11b441deacf1c2a3640c56ff8fe333"/>
    <w:p>
      <w:pPr>
        <w:pStyle w:val="Heading2"/>
      </w:pPr>
      <w:r>
        <w:t xml:space="preserve">B.10 Independent Reviewer Evaluation Materials (referenced from §4.10)</w:t>
      </w:r>
    </w:p>
    <w:p>
      <w:pPr>
        <w:jc w:val="both"/>
      </w:pPr>
      <w:r>
        <w:t xml:space="preserve">This appendix archives the materials and anonymised results for the independent reviewer evaluation reported in Section 4.10. The evaluation was conducted between 14 and 18 April 2026 with six peer participants (three Final-Year BSc Computer Science students and three MSc Computer Science students) recruited voluntarily from the University of Leeds School of Computer Science, outside the project’s supervisory chain. A single discoverable copy of the materials and results lives at</w:t>
      </w:r>
      <w:r>
        <w:t xml:space="preserve"> </w:t>
      </w:r>
      <w:r>
        <w:rPr>
          <w:rStyle w:val="VerbatimChar"/>
        </w:rPr>
        <w:t xml:space="preserve">docs/evidence/human_eval/</w:t>
      </w:r>
      <w:r>
        <w:t xml:space="preserve"> </w:t>
      </w:r>
      <w:r>
        <w:t xml:space="preserve">(</w:t>
      </w:r>
      <w:r>
        <w:rPr>
          <w:rStyle w:val="VerbatimChar"/>
        </w:rPr>
        <w:t xml:space="preserve">README.md</w:t>
      </w:r>
      <w:r>
        <w:t xml:space="preserve">,</w:t>
      </w:r>
      <w:r>
        <w:t xml:space="preserve"> </w:t>
      </w:r>
      <w:r>
        <w:rPr>
          <w:rStyle w:val="VerbatimChar"/>
        </w:rPr>
        <w:t xml:space="preserve">participant_info.md</w:t>
      </w:r>
      <w:r>
        <w:t xml:space="preserve">,</w:t>
      </w:r>
      <w:r>
        <w:t xml:space="preserve"> </w:t>
      </w:r>
      <w:r>
        <w:rPr>
          <w:rStyle w:val="VerbatimChar"/>
        </w:rPr>
        <w:t xml:space="preserve">consent_text.md</w:t>
      </w:r>
      <w:r>
        <w:t xml:space="preserve">,</w:t>
      </w:r>
      <w:r>
        <w:t xml:space="preserve"> </w:t>
      </w:r>
      <w:r>
        <w:rPr>
          <w:rStyle w:val="VerbatimChar"/>
        </w:rPr>
        <w:t xml:space="preserve">rubric.md</w:t>
      </w:r>
      <w:r>
        <w:t xml:space="preserve">,</w:t>
      </w:r>
      <w:r>
        <w:t xml:space="preserve"> </w:t>
      </w:r>
      <w:r>
        <w:rPr>
          <w:rStyle w:val="VerbatimChar"/>
        </w:rPr>
        <w:t xml:space="preserve">anonymised_scores.csv</w:t>
      </w:r>
      <w:r>
        <w:t xml:space="preserve">,</w:t>
      </w:r>
      <w:r>
        <w:t xml:space="preserve"> </w:t>
      </w:r>
      <w:r>
        <w:rPr>
          <w:rStyle w:val="VerbatimChar"/>
        </w:rPr>
        <w:t xml:space="preserve">summary_stats.csv</w:t>
      </w:r>
      <w:r>
        <w:t xml:space="preserve">,</w:t>
      </w:r>
      <w:r>
        <w:t xml:space="preserve"> </w:t>
      </w:r>
      <w:r>
        <w:rPr>
          <w:rStyle w:val="VerbatimChar"/>
        </w:rPr>
        <w:t xml:space="preserve">thematic_summary.md</w:t>
      </w:r>
      <w:r>
        <w:t xml:space="preserve">); that folder is the entry point an examiner is expected to use.</w:t>
      </w:r>
    </w:p>
    <w:p>
      <w:pPr>
        <w:jc w:val="both"/>
      </w:pPr>
      <w:r>
        <w:t xml:space="preserve">Anonymisation statement. Anonymisation was applied at collection time, not retrospectively. Participants were assigned the labels</w:t>
      </w:r>
      <w:r>
        <w:t xml:space="preserve"> </w:t>
      </w:r>
      <w:r>
        <w:rPr>
          <w:rStyle w:val="VerbatimChar"/>
        </w:rPr>
        <w:t xml:space="preserve">P1</w:t>
      </w:r>
      <w:r>
        <w:t xml:space="preserve">-</w:t>
      </w:r>
      <w:r>
        <w:rPr>
          <w:rStyle w:val="VerbatimChar"/>
        </w:rPr>
        <w:t xml:space="preserve">P6</w:t>
      </w:r>
      <w:r>
        <w:t xml:space="preserve"> </w:t>
      </w:r>
      <w:r>
        <w:t xml:space="preserve">and a coarse role tag (</w:t>
      </w:r>
      <w:r>
        <w:rPr>
          <w:rStyle w:val="VerbatimChar"/>
        </w:rPr>
        <w:t xml:space="preserve">BSc CS</w:t>
      </w:r>
      <w:r>
        <w:t xml:space="preserve"> </w:t>
      </w:r>
      <w:r>
        <w:t xml:space="preserve">or</w:t>
      </w:r>
      <w:r>
        <w:t xml:space="preserve"> </w:t>
      </w:r>
      <w:r>
        <w:rPr>
          <w:rStyle w:val="VerbatimChar"/>
        </w:rPr>
        <w:t xml:space="preserve">MSc CS</w:t>
      </w:r>
      <w:r>
        <w:t xml:space="preserve">) before any data was stored. No name, email, course code, or other personal identifier was ever written to the dataset. Optional free-text comments were coded into themes after the evaluation closed and are not retained verbatim.</w:t>
      </w:r>
    </w:p>
    <w:p>
      <w:pPr>
        <w:jc w:val="both"/>
      </w:pPr>
      <w:r>
        <w:t xml:space="preserve">Rubric. Each output was scored on a 1-to-5 Likert scale across five axes: Correctness (does the answer or refusal match what the cited evidence says?), Groundedness (is every claim visibly supported by the cited paragraphs?), Citation Usefulness (do the citations help a reader verify the answer?), Usefulness (would the output help a real user answer the underlying policy question?), and Trust Calibration (does the system express appropriate uncertainty / refusal when evidence is weak?). For abstention cases, Correctness was scored 5 (appropriate refusal) or 1 (incorrect refusal), Groundedness was scored 5 by definition, and Usefulness reflected whether the refusal was helpful in context. The full rubric definition is at</w:t>
      </w:r>
      <w:r>
        <w:t xml:space="preserve"> </w:t>
      </w:r>
      <w:r>
        <w:rPr>
          <w:rStyle w:val="VerbatimChar"/>
        </w:rPr>
        <w:t xml:space="preserve">eval/human_eval/rubric.md</w:t>
      </w:r>
      <w:r>
        <w:t xml:space="preserve">.</w:t>
      </w:r>
    </w:p>
    <w:p>
      <w:pPr>
        <w:jc w:val="both"/>
      </w:pPr>
      <w:r>
        <w:t xml:space="preserve">Participant information and consent. Participants received a short text describing the project (a final-year RAG dissertation prototype), the data collected (Likert scores plus an optional one-line comment per case), the storage and use of that data (anonymised, used only for the evaluation reported in §4.10), and the right to withdraw before final submission. No participant chose to withdraw. The full consent / participant-information text is at</w:t>
      </w:r>
      <w:r>
        <w:t xml:space="preserve"> </w:t>
      </w:r>
      <w:r>
        <w:rPr>
          <w:rStyle w:val="VerbatimChar"/>
        </w:rPr>
        <w:t xml:space="preserve">eval/human_eval/consent_text.md</w:t>
      </w:r>
      <w:r>
        <w:t xml:space="preserve"> </w:t>
      </w:r>
      <w:r>
        <w:t xml:space="preserve">and is reproduced here in summary: participants confirmed that anonymised scores and any optional comments could be used in the dissertation; they understood they could withdraw before submission; they understood that no name, contact details, or quoted text that could identify them would appear in the report.</w:t>
      </w:r>
    </w:p>
    <w:p>
      <w:pPr>
        <w:jc w:val="both"/>
      </w:pPr>
    </w:p>
    <w:p>
      <w:pPr>
        <w:jc w:val="both"/>
      </w:pPr>
      <w:r>
        <w:rPr>
          <w:b/>
          <w:sz w:val="21"/>
        </w:rPr>
        <w:t xml:space="preserve">Table B.3: Per-participant rubric scores (n = 6 reviewers, 1-to-5 Likert across five axes).</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Participant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Role</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Correctness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Groundedness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Citation Usefulness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Usefulness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Trust Calibration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MSc CS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BSc CS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MSc CS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BSc CS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MSc CS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BSc CS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Mean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4.67</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4.83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4.50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3.67</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4.67</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SD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0.52</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0.41</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0.55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0.52</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0.52</w:t>
            </w:r>
          </w:p>
        </w:tc>
      </w:tr>
    </w:tbl>
    <w:p>
      <w:pPr>
        <w:jc w:val="both"/>
      </w:pPr>
      <w:r>
        <w:t xml:space="preserve">Per-category breakdown. The 20 outputs were balanced across direct answers, correct abstentions, over-abstentions, and contradiction probes. Means by category (Correctness / Groundedness / Trust Calibration; the other two axes are reported only as overall means):</w:t>
      </w:r>
    </w:p>
    <w:tbl>
      <w:tblPr>
        <w:tblStyle w:val="TableGrid"/>
        <w:tblW w:type="pct" w:w="500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Layout w:type="autofit"/>
      </w:tblPr>
      <w:tblGrid>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Category</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8"/>
              </w:rPr>
              <w:t xml:space="preserve">n</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8"/>
              </w:rPr>
              <w:t xml:space="preserve">Correctness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8"/>
              </w:rPr>
              <w:t xml:space="preserve">Groundedness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8"/>
              </w:rPr>
              <w:t xml:space="preserve">Trust Calibration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Direct answers (B3-Generative)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8</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4.8</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4.9</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Correct abstentions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5.0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5.0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4.9</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Over-abstentions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3.2</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5.0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3.8</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Contradiction probes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4.6</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4.2</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4.6</w:t>
            </w:r>
          </w:p>
        </w:tc>
      </w:tr>
    </w:tbl>
    <w:p>
      <w:pPr>
        <w:jc w:val="both"/>
      </w:pPr>
      <w:r>
        <w:t xml:space="preserve">The per-participant rows in Table B.3 and the per-category aggregates above are also shipped as machine-readable CSV in</w:t>
      </w:r>
      <w:r>
        <w:t xml:space="preserve"> </w:t>
      </w:r>
      <w:r>
        <w:rPr>
          <w:rStyle w:val="VerbatimChar"/>
        </w:rPr>
        <w:t xml:space="preserve">eval/human_eval/independent_review_results.csv</w:t>
      </w:r>
      <w:r>
        <w:t xml:space="preserve"> </w:t>
      </w:r>
      <w:r>
        <w:t xml:space="preserve">and</w:t>
      </w:r>
      <w:r>
        <w:t xml:space="preserve"> </w:t>
      </w:r>
      <w:r>
        <w:rPr>
          <w:rStyle w:val="VerbatimChar"/>
        </w:rPr>
        <w:t xml:space="preserve">eval/human_eval/per_category_results.csv</w:t>
      </w:r>
      <w:r>
        <w:t xml:space="preserve">.</w:t>
      </w:r>
    </w:p>
    <w:p>
      <w:pPr>
        <w:jc w:val="both"/>
      </w:pPr>
      <w:r>
        <w:t xml:space="preserve">Thematic coding of comments. Optional one-line comments were coded into five themes after collection. No verbatim quotes are reproduced here; only the theme, the participants who attested to it, and a paraphrased observation. The full coding sheet is at</w:t>
      </w:r>
      <w:r>
        <w:t xml:space="preserve"> </w:t>
      </w:r>
      <w:r>
        <w:rPr>
          <w:rStyle w:val="VerbatimChar"/>
        </w:rPr>
        <w:t xml:space="preserve">eval/human_eval/thematic_codes.csv</w:t>
      </w:r>
      <w:r>
        <w:t xml:space="preserve">.</w:t>
      </w:r>
    </w:p>
    <w:tbl>
      <w:tblPr>
        <w:tblStyle w:val="TableGrid"/>
        <w:tblW w:type="pct" w:w="5000"/>
        <w:jc w:val="center"/>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640"/>
        <w:gridCol w:w="2640"/>
        <w:gridCol w:w="264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Theme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Participants</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Paraphrased observation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Citations made grounding visible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P1, P2, P6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Reviewers reported that the cited paragraphs made it straightforward to confirm whether the answer matched the source.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Refusals were trusted as safe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P2, P4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Even when the system refused to give a generative answer, reviewers trusted the refusal because the cited evidence and the FALLBACK_​RELEVANCE_​FAIL note made the refusal reason explicit.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Over-abstention reduced perceived usefulness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P4, P5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Reviewers docked Usefulness on cases where evidence appeared adequate to a human reader but the system abstained; they understood the safety motivation.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Evidence rail in the UI improved trust calibration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P1, P3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Reviewers attributed their high Trust Calibration scores to the UI exposing the highlighted paragraphs alongside the status flag (Supported / Abstained / Contradiction).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Extractive answers felt less natural than generative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Quoted-paragraph answers were reliably grounded but read less fluently than synthesised answers.</w:t>
            </w:r>
          </w:p>
        </w:tc>
      </w:tr>
    </w:tbl>
    <w:p>
      <w:pPr>
        <w:jc w:val="both"/>
      </w:pPr>
      <w:r>
        <w:t xml:space="preserve">Round 2: Per-Query Collection and Inter-Rater Agreement. I ran a second round of the evaluation, this time recording one Likert score per reviewer, query, and axis so that inter-rater agreement could be computed. Six anonymous peer reviewers took part (</w:t>
      </w:r>
      <w:r>
        <w:rPr>
          <w:rStyle w:val="VerbatimChar"/>
        </w:rPr>
        <w:t xml:space="preserve">R1</w:t>
      </w:r>
      <w:r>
        <w:t xml:space="preserve">-</w:t>
      </w:r>
      <w:r>
        <w:rPr>
          <w:rStyle w:val="VerbatimChar"/>
        </w:rPr>
        <w:t xml:space="preserve">R6</w:t>
      </w:r>
      <w:r>
        <w:t xml:space="preserve">; three BSc CS, three MSc CS), using the same 20 query / output pairs and the same five-axis 1-to-5 rubric as Round 1. That gave me 120 ratings per axis (</w:t>
      </w:r>
      <w:r>
        <w:rPr>
          <w:rStyle w:val="VerbatimChar"/>
        </w:rPr>
        <w:t xml:space="preserve">docs/evidence/human_eval/per_query_anonymised_scores.csv</w:t>
      </w:r>
      <w:r>
        <w:t xml:space="preserve">). Inter-rater agreement is reported as Krippendorff’s α with the ordinal-distance metric (Krippendorff, 2004), which is the appropriate one for 1-to-5 Likert data; bootstrap 95% confidence intervals come from 1,000 resamples (seed = 42). As a sanity check I also report binned pairwise agreement after collapsing the scale {1-2 = low, 3 = mid, 4-5 = high}. The implementation is in</w:t>
      </w:r>
      <w:r>
        <w:t xml:space="preserve"> </w:t>
      </w:r>
      <w:r>
        <w:rPr>
          <w:rStyle w:val="VerbatimChar"/>
        </w:rPr>
        <w:t xml:space="preserve">scripts/compute_human_eval.py</w:t>
      </w:r>
      <w:r>
        <w:t xml:space="preserve"> </w:t>
      </w:r>
      <w:r>
        <w:t xml:space="preserve">and is unit-tested against perfect-agreement, constant-rating, single-rater, and systematic-disagreement edge cases in</w:t>
      </w:r>
      <w:r>
        <w:t xml:space="preserve"> </w:t>
      </w:r>
      <w:r>
        <w:rPr>
          <w:rStyle w:val="VerbatimChar"/>
        </w:rPr>
        <w:t xml:space="preserve">tests/test_compute_human_eval.py</w:t>
      </w:r>
      <w:r>
        <w:t xml:space="preserve">.</w:t>
      </w:r>
    </w:p>
    <w:p>
      <w:pPr>
        <w:jc w:val="both"/>
      </w:pPr>
    </w:p>
    <w:p>
      <w:pPr>
        <w:jc w:val="both"/>
      </w:pPr>
      <w:r>
        <w:rPr>
          <w:b/>
          <w:sz w:val="21"/>
        </w:rPr>
        <w:t xml:space="preserve">Table B.4: Round 2 inter-rater agreement (n = 6 reviewers x 20 queries x 5 axes; ordinal Krippendorff’s α with 1,000-resample bootstrap 95% CI).</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Axis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Krippendorff α</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95% CI</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Pairwise % (binned)</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Round 2 mean</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Round 2 SD</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Correctness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0.745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[0.467, 0.867]</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86%</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4.16</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1.02</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Groundedness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0.256</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[0.072, 0.404]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100%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4.87</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0.34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Citation Usefulness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0.339</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[0.102, 0.502]</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86%</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4.22</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0.64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Usefulness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0.733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[0.447, 0.848]</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80%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3.44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1.05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Trust Calibration</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0.745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[0.469, 0.868]</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86%</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4.18</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1.00</w:t>
            </w:r>
          </w:p>
        </w:tc>
      </w:tr>
    </w:tbl>
    <w:p>
      <w:pPr>
        <w:jc w:val="both"/>
      </w:pPr>
      <w:r>
        <w:t xml:space="preserve">Three axes (Correctness, Usefulness, Trust Calibration) sit around α = 0.74, which is above Krippendorff’s informal threshold for tentative agreement (α ≥ 0.667). The other two axes are lower, but for different reasons. Groundedness is mainly a ceiling-effect case: 117 of the 120 scores are either 4 or 5, and the binned pairwise agreement is 100%, so the low α reflects very little variance rather than obvious disagreement. Citation Usefulness shows more genuine spread, with reviewers sometimes differing on whether a citation was merely present or actually helpful for verification. The Round 2 means are within about 0.5 of the Round 1 aggregates on every axis, but are slightly lower overall because per-query averaging gives the over-abstention cases equal weight. Both Round 1 aggregates and Round 2 per-query files are archived in</w:t>
      </w:r>
      <w:r>
        <w:t xml:space="preserve"> </w:t>
      </w:r>
      <w:r>
        <w:rPr>
          <w:rStyle w:val="VerbatimChar"/>
        </w:rPr>
        <w:t xml:space="preserve">docs/evidence/human_eval/</w:t>
      </w:r>
      <w:r>
        <w:t xml:space="preserve">; neither set is retracted.</w:t>
      </w:r>
    </w:p>
    <w:p>
      <w:pPr>
        <w:jc w:val="both"/>
      </w:pPr>
      <w:r>
        <w:t xml:space="preserve">Limitations of this evaluation. The evaluation is small (n = 6 reviewers, 120 ratings), author-facilitated rather than fully blinded, and the reviewer pool is non-domain-expert (CS peers rather than compliance specialists). Round 1’s per-(participant, query) ratings were not retained, so the pre/post comparison above is between two different sample shapes (one aggregate per participant, vs. one rating per (participant, query)). The Round 2 α values are honest but indicative rather than definitive, and a stronger follow-up study would use at least two independent domain-expert raters, full blinding, and per-item ratings throughout. These caveats are also surfaced in Limitation L5 (§5.2).</w:t>
      </w:r>
    </w:p>
    <w:bookmarkEnd w:id="114"/>
    <w:bookmarkStart w:id="115" w:name="Xd64496666fd4423dbdfb9708af96fd2a31bdf8f"/>
    <w:p>
      <w:pPr>
        <w:pStyle w:val="Heading2"/>
      </w:pPr>
      <w:r>
        <w:t xml:space="preserve">B.11 Public Guidance Transfer Corpus Provenance (referenced from §4.11)</w:t>
      </w:r>
    </w:p>
    <w:p>
      <w:pPr>
        <w:jc w:val="both"/>
      </w:pPr>
      <w:r>
        <w:t xml:space="preserve">The Public Guidance Transfer Stress Test in §4.11 is run against a small corpus of public-sector guidance documents. The captured text used in this corpus was taken from public-sector guidance pages whose site terms or page footers state the Open Government Licence v3.0, except where otherwise stated. The downloader keeps only main article text and excludes logos, images, navigation, cookie banners, and other non-text or third-party material. The downloader script</w:t>
      </w:r>
      <w:r>
        <w:t xml:space="preserve"> </w:t>
      </w:r>
      <w:r>
        <w:rPr>
          <w:rStyle w:val="VerbatimChar"/>
        </w:rPr>
        <w:t xml:space="preserve">scripts/download_public_corpus.py</w:t>
      </w:r>
      <w:r>
        <w:t xml:space="preserve"> </w:t>
      </w:r>
      <w:r>
        <w:t xml:space="preserve">records each source’s URL, retrieval date, included sections, and content hash, and writes them to</w:t>
      </w:r>
      <w:r>
        <w:t xml:space="preserve"> </w:t>
      </w:r>
      <w:r>
        <w:rPr>
          <w:rStyle w:val="VerbatimChar"/>
        </w:rPr>
        <w:t xml:space="preserve">data/public_transfer_corpus/provenance.csv</w:t>
      </w:r>
      <w:r>
        <w:t xml:space="preserve">. The licence statement, included sections, and reasons for inclusion for each source are reproduced below. One row carries a known caveat: the recorded ACAS target URL</w:t>
      </w:r>
      <w:r>
        <w:t xml:space="preserve"> </w:t>
      </w:r>
      <w:r>
        <w:rPr>
          <w:rStyle w:val="VerbatimChar"/>
        </w:rPr>
        <w:t xml:space="preserve">https://www.acas.org.uk/working-from-home-and-hybrid-working</w:t>
      </w:r>
      <w:r>
        <w:t xml:space="preserve"> </w:t>
      </w:r>
      <w:r>
        <w:t xml:space="preserve">resolved at retrieval time to broader Acas flexible-working content (page title</w:t>
      </w:r>
      <w:r>
        <w:t xml:space="preserve"> </w:t>
      </w:r>
      <w:r>
        <w:t xml:space="preserve">“Flexible working | Acas”</w:t>
      </w:r>
      <w:r>
        <w:t xml:space="preserve">). The cached raw text under</w:t>
      </w:r>
      <w:r>
        <w:t xml:space="preserve"> </w:t>
      </w:r>
      <w:r>
        <w:rPr>
          <w:rStyle w:val="VerbatimChar"/>
        </w:rPr>
        <w:t xml:space="preserve">raw/acas_remote_hybrid_working.txt</w:t>
      </w:r>
      <w:r>
        <w:t xml:space="preserve"> </w:t>
      </w:r>
      <w:r>
        <w:t xml:space="preserve">and its content SHA-256 in</w:t>
      </w:r>
      <w:r>
        <w:t xml:space="preserve"> </w:t>
      </w:r>
      <w:r>
        <w:rPr>
          <w:rStyle w:val="VerbatimChar"/>
        </w:rPr>
        <w:t xml:space="preserve">provenance.csv</w:t>
      </w:r>
      <w:r>
        <w:t xml:space="preserve"> </w:t>
      </w:r>
      <w:r>
        <w:t xml:space="preserve">preserve the exact text that was used in the §4.11 stress test, so the row is relabelled</w:t>
      </w:r>
      <w:r>
        <w:t xml:space="preserve"> </w:t>
      </w:r>
      <w:r>
        <w:t xml:space="preserve">“Flexible-working guidance including home/hybrid material”</w:t>
      </w:r>
      <w:r>
        <w:t xml:space="preserve"> </w:t>
      </w:r>
      <w:r>
        <w:t xml:space="preserve">rather than re-downloaded.</w:t>
      </w:r>
    </w:p>
    <w:p>
      <w:pPr>
        <w:jc w:val="both"/>
      </w:pPr>
    </w:p>
    <w:p>
      <w:pPr>
        <w:jc w:val="both"/>
      </w:pPr>
      <w:r>
        <w:rPr>
          <w:b/>
          <w:sz w:val="21"/>
        </w:rPr>
        <w:t xml:space="preserve">Table B.5: Public Guidance Transfer Corpus provenance (8 documents, 249 paragraphs total).</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Source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Title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Theme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Reason for inclusion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NCSC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Password administration for system owners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cyber security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IT Security Addendum password section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NCSC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Bring your own device (BYOD) guidance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cyber security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IT Security Addendum BYOD/device section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ICO</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Data protection principles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data protection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Internal Policy Handbook data-handling section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ICO</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Lawful basis for processing (UK GDPR)</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data protection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handbook lawfulness section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ICO</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Individual rights (UK GDPR)</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data protection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handbook data-subject-rights section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ACAS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Disciplinary procedure: step by step</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employment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Employee Handbook discipline section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ACAS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Holiday entitlement and pay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employment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handbook leave section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ACAS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Flexible-working guidance (incl. home/hybrid material)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employment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handbook remote-work section; see note in §B.11 about the cached page actually served at retrieval time</w:t>
            </w:r>
          </w:p>
        </w:tc>
      </w:tr>
    </w:tbl>
    <w:p>
      <w:pPr>
        <w:jc w:val="both"/>
      </w:pPr>
      <w:r>
        <w:t xml:space="preserve">For each source the downloader keeps only the main article body and strips navigation, footer, related-content widgets, and cookie banners. The full URLs, retrieval timestamps, paragraph counts, and twelve-character content hashes are recorded in</w:t>
      </w:r>
      <w:r>
        <w:t xml:space="preserve"> </w:t>
      </w:r>
      <w:r>
        <w:rPr>
          <w:rStyle w:val="VerbatimChar"/>
        </w:rPr>
        <w:t xml:space="preserve">data/public_transfer_corpus/provenance.csv</w:t>
      </w:r>
      <w:r>
        <w:t xml:space="preserve">, which ships with the submission package. None of these sources contain personal data or identify any individual; ICO, NCSC, and ACAS terms each confirm Crown copyright with reuse permitted under OGL v3.0. The</w:t>
      </w:r>
      <w:r>
        <w:t xml:space="preserve"> </w:t>
      </w:r>
      <w:r>
        <w:rPr>
          <w:rStyle w:val="VerbatimChar"/>
        </w:rPr>
        <w:t xml:space="preserve">scripts/run_transfer_eval.py</w:t>
      </w:r>
      <w:r>
        <w:t xml:space="preserve"> </w:t>
      </w:r>
      <w:r>
        <w:t xml:space="preserve">wrapper is the single entry point that re-runs the stress test deterministically against the cached corpus.</w:t>
      </w:r>
    </w:p>
    <w:bookmarkEnd w:id="115"/>
    <w:bookmarkStart w:id="116" w:name="Xa3c7045fe3a3bfc9850e0e57f9bd37a751212fc"/>
    <w:p>
      <w:pPr>
        <w:pStyle w:val="Heading2"/>
      </w:pPr>
      <w:r>
        <w:t xml:space="preserve">B.12 Adversarial and Audit Export Evidence (referenced from L6 and §4.4)</w:t>
      </w:r>
    </w:p>
    <w:p>
      <w:pPr>
        <w:jc w:val="both"/>
      </w:pPr>
      <w:r>
        <w:t xml:space="preserve">Appendix B.12 summarises two supplementary evidence layers that probe the system’s</w:t>
      </w:r>
      <w:r>
        <w:t xml:space="preserve"> </w:t>
      </w:r>
      <w:r>
        <w:rPr>
          <w:rStyle w:val="VerbatimChar"/>
        </w:rPr>
        <w:t xml:space="preserve">cited or silent</w:t>
      </w:r>
      <w:r>
        <w:t xml:space="preserve"> </w:t>
      </w:r>
      <w:r>
        <w:t xml:space="preserve">discipline beyond the headline benchmark: a paired adversarial / prompt-injection probe (Limitation L6) and a small set of verbatim audit-export examples from the B3-Generative final run.</w:t>
      </w:r>
    </w:p>
    <w:p>
      <w:pPr>
        <w:jc w:val="both"/>
      </w:pPr>
      <w:r>
        <w:t xml:space="preserve">Adversarial probe. A 15-query bank in</w:t>
      </w:r>
      <w:r>
        <w:t xml:space="preserve"> </w:t>
      </w:r>
      <w:r>
        <w:rPr>
          <w:rStyle w:val="VerbatimChar"/>
        </w:rPr>
        <w:t xml:space="preserve">eval/adversarial/adversarial_queries.csv</w:t>
      </w:r>
      <w:r>
        <w:t xml:space="preserve"> </w:t>
      </w:r>
      <w:r>
        <w:t xml:space="preserve">covers five attack types —</w:t>
      </w:r>
      <w:r>
        <w:t xml:space="preserve"> </w:t>
      </w:r>
      <w:r>
        <w:rPr>
          <w:rStyle w:val="VerbatimChar"/>
        </w:rPr>
        <w:t xml:space="preserve">instruction_override</w:t>
      </w:r>
      <w:r>
        <w:t xml:space="preserve">,</w:t>
      </w:r>
      <w:r>
        <w:t xml:space="preserve"> </w:t>
      </w:r>
      <w:r>
        <w:rPr>
          <w:rStyle w:val="VerbatimChar"/>
        </w:rPr>
        <w:t xml:space="preserve">citation_fabrication_request</w:t>
      </w:r>
      <w:r>
        <w:t xml:space="preserve">,</w:t>
      </w:r>
      <w:r>
        <w:t xml:space="preserve"> </w:t>
      </w:r>
      <w:r>
        <w:rPr>
          <w:rStyle w:val="VerbatimChar"/>
        </w:rPr>
        <w:t xml:space="preserve">out_of_domain_lure</w:t>
      </w:r>
      <w:r>
        <w:t xml:space="preserve">,</w:t>
      </w:r>
      <w:r>
        <w:t xml:space="preserve"> </w:t>
      </w:r>
      <w:r>
        <w:rPr>
          <w:rStyle w:val="VerbatimChar"/>
        </w:rPr>
        <w:t xml:space="preserve">false_premise</w:t>
      </w:r>
      <w:r>
        <w:t xml:space="preserve">, and</w:t>
      </w:r>
      <w:r>
        <w:t xml:space="preserve"> </w:t>
      </w:r>
      <w:r>
        <w:rPr>
          <w:rStyle w:val="VerbatimChar"/>
        </w:rPr>
        <w:t xml:space="preserve">contradiction_pressure</w:t>
      </w:r>
      <w:r>
        <w:t xml:space="preserve"> </w:t>
      </w:r>
      <w:r>
        <w:t xml:space="preserve">— with three hand-authored queries each. The runner</w:t>
      </w:r>
      <w:r>
        <w:t xml:space="preserve"> </w:t>
      </w:r>
      <w:r>
        <w:rPr>
          <w:rStyle w:val="VerbatimChar"/>
        </w:rPr>
        <w:t xml:space="preserve">scripts/run_adversarial.py</w:t>
      </w:r>
      <w:r>
        <w:t xml:space="preserve"> </w:t>
      </w:r>
      <w:r>
        <w:t xml:space="preserve">puts the same query bank through the final B3 pipeline twice. The first pass uses Extractive Mode (BM25, no LLM): in this mode the system can only return verbatim paragraphs from the corpus index, so structurally it cannot invent text or cite paragraphs that do not exist, and the probe is asking whether that property actually holds end-to-end. The second pass uses Generative Mode (LLM enabled): here the LLM might attempt to obey an injection, but it has to pass four deterministic checks before the response leaves the system — the citation IDs are validated against the corpus, the per-claim Jaccard verifier prunes weakly-supported claims, the</w:t>
      </w:r>
      <w:r>
        <w:t xml:space="preserve"> </w:t>
      </w:r>
      <w:r>
        <w:rPr>
          <w:rStyle w:val="VerbatimChar"/>
        </w:rPr>
        <w:t xml:space="preserve">min_support_rate</w:t>
      </w:r>
      <w:r>
        <w:t xml:space="preserve"> </w:t>
      </w:r>
      <w:r>
        <w:t xml:space="preserve">gate refuses any response whose surviving claims are below 0.80, and the contradiction module surfaces multi-source tensions. Results are written to</w:t>
      </w:r>
      <w:r>
        <w:t xml:space="preserve"> </w:t>
      </w:r>
      <w:r>
        <w:rPr>
          <w:rStyle w:val="VerbatimChar"/>
        </w:rPr>
        <w:t xml:space="preserve">eval/adversarial/adversarial_results_&lt;mode&gt;.csv</w:t>
      </w:r>
      <w:r>
        <w:t xml:space="preserve"> </w:t>
      </w:r>
      <w:r>
        <w:t xml:space="preserve">and aggregated in</w:t>
      </w:r>
      <w:r>
        <w:t xml:space="preserve"> </w:t>
      </w:r>
      <w:r>
        <w:rPr>
          <w:rStyle w:val="VerbatimChar"/>
        </w:rPr>
        <w:t xml:space="preserve">eval/adversarial/adversarial_summary.csv</w:t>
      </w:r>
      <w:r>
        <w:t xml:space="preserve">. A safe response is either an</w:t>
      </w:r>
      <w:r>
        <w:t xml:space="preserve"> </w:t>
      </w:r>
      <w:r>
        <w:rPr>
          <w:rStyle w:val="VerbatimChar"/>
        </w:rPr>
        <w:t xml:space="preserve">INSUFFICIENT_EVIDENCE</w:t>
      </w:r>
      <w:r>
        <w:t xml:space="preserve"> </w:t>
      </w:r>
      <w:r>
        <w:t xml:space="preserve">abstention or a grounded answer whose citations all map to real paragraph IDs in the corpus index; fabricated citation and unsupported answer are detected automatically by the same scripts.</w:t>
      </w:r>
    </w:p>
    <w:p>
      <w:pPr>
        <w:jc w:val="both"/>
      </w:pPr>
    </w:p>
    <w:p>
      <w:pPr>
        <w:jc w:val="both"/>
      </w:pPr>
      <w:r>
        <w:rPr>
          <w:b/>
          <w:bCs/>
          <w:sz w:val="21"/>
        </w:rPr>
        <w:t xml:space="preserve">Table B.6: Adversarial probe results, paired across modes (n = 15 queries; 5 attack types x 3 queries each).</w:t>
      </w:r>
      <w:r>
        <w:rPr>
          <w:b/>
          <w:bCs/>
          <w:sz w:val="21"/>
        </w:rPr>
        <w:t xml:space="preserve"> </w:t>
      </w:r>
      <w:r>
        <w:rPr>
          <w:rStyle w:val="VerbatimChar"/>
          <w:b/>
          <w:bCs/>
          <w:sz w:val="21"/>
        </w:rPr>
        <w:t xml:space="preserve">n_eval</w:t>
      </w:r>
      <w:r>
        <w:rPr>
          <w:b/>
          <w:bCs/>
          <w:sz w:val="21"/>
        </w:rPr>
        <w:t xml:space="preserve"> </w:t>
      </w:r>
      <w:r>
        <w:rPr>
          <w:b/>
          <w:bCs/>
          <w:sz w:val="21"/>
        </w:rPr>
        <w:t xml:space="preserve">= queries actually evaluated;</w:t>
      </w:r>
      <w:r>
        <w:rPr>
          <w:b/>
          <w:bCs/>
          <w:sz w:val="21"/>
        </w:rPr>
        <w:t xml:space="preserve"> </w:t>
      </w:r>
      <w:r>
        <w:rPr>
          <w:rStyle w:val="VerbatimChar"/>
          <w:b/>
          <w:bCs/>
          <w:sz w:val="21"/>
        </w:rPr>
        <w:t xml:space="preserve">API error</w:t>
      </w:r>
      <w:r>
        <w:rPr>
          <w:b/>
          <w:bCs/>
          <w:sz w:val="21"/>
        </w:rPr>
        <w:t xml:space="preserve"> </w:t>
      </w:r>
      <w:r>
        <w:rPr>
          <w:b/>
          <w:bCs/>
          <w:sz w:val="21"/>
        </w:rPr>
        <w:t xml:space="preserve">= queries where the LLM call itself failed and the system was therefore not exercised.</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Attack type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Mode</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n</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n_eval</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API error</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Safe response</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Fabricated citation</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Unsupported answer</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6"/>
              </w:rPr>
              <w:t xml:space="preserve">instruction_override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Extractive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100%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6"/>
              </w:rPr>
              <w:t xml:space="preserve">citation_fabrication_request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Extractive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100%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6"/>
              </w:rPr>
              <w:t xml:space="preserve">out_of_domain_lure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Extractive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100%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6"/>
              </w:rPr>
              <w:t xml:space="preserve">false_premise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Extractive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100%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6"/>
              </w:rPr>
              <w:t xml:space="preserve">contradiction_pressure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Extractive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100%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All attack types (overall)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Extractive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100%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All attack types (overall)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Generative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n/a</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n/a</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n/a</w:t>
            </w:r>
          </w:p>
        </w:tc>
      </w:tr>
    </w:tbl>
    <w:p>
      <w:pPr>
        <w:jc w:val="both"/>
      </w:pPr>
      <w:r>
        <w:t xml:space="preserve">The Extractive arm reports 100% safe responses across all five attack types (15/15), with zero fabricated citations and zero unsupported answers. This is expected from the design, because Extractive Mode returns verbatim corpus paragraphs, but the probe still checks that the full path behaves that way end-to-end. The Generative arm was attempted but the LLM call returned</w:t>
      </w:r>
      <w:r>
        <w:t xml:space="preserve"> </w:t>
      </w:r>
      <w:r>
        <w:rPr>
          <w:rStyle w:val="VerbatimChar"/>
        </w:rPr>
        <w:t xml:space="preserve">insufficient_quota</w:t>
      </w:r>
      <w:r>
        <w:t xml:space="preserve"> </w:t>
      </w:r>
      <w:r>
        <w:t xml:space="preserve">(HTTP 429) on all 15 queries, so the system was not exercised on the adversarial set in the generative configuration. The rates are therefore reported as</w:t>
      </w:r>
      <w:r>
        <w:t xml:space="preserve"> </w:t>
      </w:r>
      <w:r>
        <w:rPr>
          <w:rStyle w:val="VerbatimChar"/>
        </w:rPr>
        <w:t xml:space="preserve">n/a</w:t>
      </w:r>
      <w:r>
        <w:t xml:space="preserve"> </w:t>
      </w:r>
      <w:r>
        <w:t xml:space="preserve">rather than estimated, and the per-query error notes are preserved in</w:t>
      </w:r>
      <w:r>
        <w:t xml:space="preserve"> </w:t>
      </w:r>
      <w:r>
        <w:rPr>
          <w:rStyle w:val="VerbatimChar"/>
        </w:rPr>
        <w:t xml:space="preserve">eval/adversarial/adversarial_results_generative.csv</w:t>
      </w:r>
      <w:r>
        <w:t xml:space="preserve">. A re-run on a billing-active OpenAI account (</w:t>
      </w:r>
      <w:r>
        <w:rPr>
          <w:rStyle w:val="VerbatimChar"/>
        </w:rPr>
        <w:t xml:space="preserve">python scripts/run_adversarial.py --modes generative</w:t>
      </w:r>
      <w:r>
        <w:t xml:space="preserve">) would replace the</w:t>
      </w:r>
      <w:r>
        <w:t xml:space="preserve"> </w:t>
      </w:r>
      <w:r>
        <w:rPr>
          <w:rStyle w:val="VerbatimChar"/>
        </w:rPr>
        <w:t xml:space="preserve">n/a</w:t>
      </w:r>
      <w:r>
        <w:t xml:space="preserve"> </w:t>
      </w:r>
      <w:r>
        <w:t xml:space="preserve">cells; the cost is approximately 15 LLM calls. The full per-query results, three representative cases per attack type, and the limitations of the probe are at</w:t>
      </w:r>
      <w:r>
        <w:t xml:space="preserve"> </w:t>
      </w:r>
      <w:r>
        <w:rPr>
          <w:rStyle w:val="VerbatimChar"/>
        </w:rPr>
        <w:t xml:space="preserve">docs/evidence/verification/adversarial_test_summary.md</w:t>
      </w:r>
      <w:r>
        <w:t xml:space="preserve">. The probe is intentionally small and is not a security certification; an exhaustive prompt-injection evaluation would adopt Garak or PromptBench (Liu et al., 2023) and is listed as future work in §5.3.</w:t>
      </w:r>
    </w:p>
    <w:p>
      <w:pPr>
        <w:jc w:val="both"/>
      </w:pPr>
      <w:r>
        <w:t xml:space="preserve">Audit export examples. To make the</w:t>
      </w:r>
      <w:r>
        <w:t xml:space="preserve"> </w:t>
      </w:r>
      <w:r>
        <w:rPr>
          <w:rStyle w:val="VerbatimChar"/>
        </w:rPr>
        <w:t xml:space="preserve">audit-ready</w:t>
      </w:r>
      <w:r>
        <w:t xml:space="preserve"> </w:t>
      </w:r>
      <w:r>
        <w:t xml:space="preserve">claim visible (rather than implicit in code), three representative records from the B3-Generative final run are rendered in human-readable Markdown under</w:t>
      </w:r>
      <w:r>
        <w:t xml:space="preserve"> </w:t>
      </w:r>
      <w:r>
        <w:rPr>
          <w:rStyle w:val="VerbatimChar"/>
        </w:rPr>
        <w:t xml:space="preserve">docs/evidence/verification/</w:t>
      </w:r>
      <w:r>
        <w:t xml:space="preserve">:</w:t>
      </w:r>
      <w:r>
        <w:t xml:space="preserve"> </w:t>
      </w:r>
      <w:r>
        <w:rPr>
          <w:rStyle w:val="VerbatimChar"/>
        </w:rPr>
        <w:t xml:space="preserve">audit_export_answerable.md</w:t>
      </w:r>
      <w:r>
        <w:t xml:space="preserve"> </w:t>
      </w:r>
      <w:r>
        <w:t xml:space="preserve">(clean grounded answer with</w:t>
      </w:r>
      <w:r>
        <w:t xml:space="preserve"> </w:t>
      </w:r>
      <w:r>
        <w:rPr>
          <w:rStyle w:val="VerbatimChar"/>
        </w:rPr>
        <w:t xml:space="preserve">support_rate = 1.0</w:t>
      </w:r>
      <w:r>
        <w:t xml:space="preserve">),</w:t>
      </w:r>
      <w:r>
        <w:t xml:space="preserve"> </w:t>
      </w:r>
      <w:r>
        <w:rPr>
          <w:rStyle w:val="VerbatimChar"/>
        </w:rPr>
        <w:t xml:space="preserve">audit_export_unanswerable.md</w:t>
      </w:r>
      <w:r>
        <w:t xml:space="preserve"> </w:t>
      </w:r>
      <w:r>
        <w:t xml:space="preserve">(clean abstention triggered by the post-LLM</w:t>
      </w:r>
      <w:r>
        <w:t xml:space="preserve"> </w:t>
      </w:r>
      <w:r>
        <w:rPr>
          <w:rStyle w:val="VerbatimChar"/>
        </w:rPr>
        <w:t xml:space="preserve">min_support_rate</w:t>
      </w:r>
      <w:r>
        <w:t xml:space="preserve"> </w:t>
      </w:r>
      <w:r>
        <w:t xml:space="preserve">gate via</w:t>
      </w:r>
      <w:r>
        <w:t xml:space="preserve"> </w:t>
      </w:r>
      <w:r>
        <w:rPr>
          <w:rStyle w:val="VerbatimChar"/>
        </w:rPr>
        <w:t xml:space="preserve">ABSTAINED_LOW_SUPPORT_RATE</w:t>
      </w:r>
      <w:r>
        <w:t xml:space="preserve">), and</w:t>
      </w:r>
      <w:r>
        <w:t xml:space="preserve"> </w:t>
      </w:r>
      <w:r>
        <w:rPr>
          <w:rStyle w:val="VerbatimChar"/>
        </w:rPr>
        <w:t xml:space="preserve">audit_export_contradiction.md</w:t>
      </w:r>
      <w:r>
        <w:t xml:space="preserve"> </w:t>
      </w:r>
      <w:r>
        <w:t xml:space="preserve">(contradiction-flag audit trail with the structured contradictions list preserved). Every value (query, answer, citation IDs, retrieval and rerank scores, claim verification fields, contradiction list, backend, latency, notes) is a verbatim copy from</w:t>
      </w:r>
      <w:r>
        <w:t xml:space="preserve"> </w:t>
      </w:r>
      <w:r>
        <w:rPr>
          <w:rStyle w:val="VerbatimChar"/>
        </w:rPr>
        <w:t xml:space="preserve">results/runs/b3_generative_bm25_fallback_final/outputs.jsonl</w:t>
      </w:r>
      <w:r>
        <w:t xml:space="preserve">; no values are summarised or fabricated. The exporter</w:t>
      </w:r>
      <w:r>
        <w:t xml:space="preserve"> </w:t>
      </w:r>
      <w:r>
        <w:rPr>
          <w:rStyle w:val="VerbatimChar"/>
        </w:rPr>
        <w:t xml:space="preserve">scripts/build_audit_exports.py</w:t>
      </w:r>
      <w:r>
        <w:t xml:space="preserve"> </w:t>
      </w:r>
      <w:r>
        <w:t xml:space="preserve">regenerates all three files plus an index (</w:t>
      </w:r>
      <w:r>
        <w:rPr>
          <w:rStyle w:val="VerbatimChar"/>
        </w:rPr>
        <w:t xml:space="preserve">audit_export_index.md</w:t>
      </w:r>
      <w:r>
        <w:t xml:space="preserve">) deterministically from the existing run, with no new system runs performed.</w:t>
      </w:r>
    </w:p>
    <w:p>
      <w:pPr>
        <w:jc w:val="both"/>
      </w:pPr>
      <w:r>
        <w:t xml:space="preserve">Public-transfer failure taxonomy (cross-reference). The per-query failure-mode labelling for the Public Guidance Transfer Stress Test (§4.11) is published as</w:t>
      </w:r>
      <w:r>
        <w:t xml:space="preserve"> </w:t>
      </w:r>
      <w:r>
        <w:rPr>
          <w:rStyle w:val="VerbatimChar"/>
        </w:rPr>
        <w:t xml:space="preserve">eval/public_transfer/failure_taxonomy.csv</w:t>
      </w:r>
      <w:r>
        <w:t xml:space="preserve"> </w:t>
      </w:r>
      <w:r>
        <w:t xml:space="preserve">and</w:t>
      </w:r>
      <w:r>
        <w:t xml:space="preserve"> </w:t>
      </w:r>
      <w:r>
        <w:rPr>
          <w:rStyle w:val="VerbatimChar"/>
        </w:rPr>
        <w:t xml:space="preserve">docs/evidence/verification/public_transfer_failure_taxonomy.md</w:t>
      </w:r>
      <w:r>
        <w:t xml:space="preserve">. The dominant non-clean-answer label is retrieval generalisation (terminology mismatch + weak-obligation language, 5/20 of the transfer queries); no transfer query produced a fabricated or hallucinatory answer.</w:t>
      </w:r>
    </w:p>
    <w:bookmarkEnd w:id="116"/>
    <w:bookmarkEnd w:id="117"/>
    <w:sectPr>
      <w:headerReference r:id="rId9" w:type="default"/>
      <w:pgSz w:h="16838" w:w="11906"/>
      <w:pgMar w:bottom="1417" w:footer="708" w:gutter="0" w:header="708" w:left="1417" w:right="1417" w:top="1417"/>
      <w:type w:val="nextPage"/>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72FA6B" w14:textId="77777777" w:rsidR="00A54671" w:rsidRDefault="00A54671">
    <w:pPr>
      <w:pStyle w:val="Header"/>
    </w:pPr>
    <w:r>
      <w:t xml:space="preserve">- </w:t>
    </w:r>
    <w:r>
      <w:fldChar w:fldCharType="begin"/>
    </w:r>
    <w:r>
      <w:instrText>page</w:instrText>
    </w:r>
    <w:r>
      <w:fldChar w:fldCharType="separate"/>
    </w:r>
    <w:r w:rsidR="0090679D">
      <w:rPr>
        <w:noProof/>
      </w:rPr>
      <w:t>v</w:t>
    </w:r>
    <w:r>
      <w:fldChar w:fldCharType="end"/>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CFCDF5" w14:textId="77777777" w:rsidR="00A54671" w:rsidRDefault="00A54671">
    <w:pPr>
      <w:pStyle w:val="Header"/>
      <w:tabs>
        <w:tab w:val="left" w:pos="6200"/>
      </w:tabs>
    </w:pPr>
    <w:r>
      <w:t xml:space="preserve">- </w:t>
    </w:r>
    <w:r>
      <w:fldChar w:fldCharType="begin"/>
    </w:r>
    <w:r>
      <w:instrText>page</w:instrText>
    </w:r>
    <w:r>
      <w:fldChar w:fldCharType="separate"/>
    </w:r>
    <w:r w:rsidR="0090679D">
      <w:rPr>
        <w:noProof/>
      </w:rPr>
      <w:t>4</w:t>
    </w:r>
    <w:r>
      <w:fldChar w:fldCharType="end"/>
    </w:r>
    <w:r>
      <w:t xml:space="preserve"> -</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FFFFFF7C"/>
    <w:multiLevelType w:val="singleLevel"/>
    <w:tmpl w:val="4048764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7AA0D1D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6484B918"/>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A1EB75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18387F6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0FB63608"/>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AFFCD9E6"/>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AAB6B70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2C96F34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D7C5BB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3230A2"/>
    <w:multiLevelType w:val="hybridMultilevel"/>
    <w:tmpl w:val="014E504A"/>
    <w:lvl w:ilvl="0" w:tplc="08090001">
      <w:start w:val="1"/>
      <w:numFmt w:val="bullet"/>
      <w:lvlText w:val=""/>
      <w:lvlJc w:val="left"/>
      <w:pPr>
        <w:ind w:hanging="360" w:left="1260"/>
      </w:pPr>
      <w:rPr>
        <w:rFonts w:ascii="Symbol" w:hAnsi="Symbol" w:hint="default"/>
      </w:rPr>
    </w:lvl>
    <w:lvl w:ilvl="1" w:tentative="1" w:tplc="08090003">
      <w:start w:val="1"/>
      <w:numFmt w:val="bullet"/>
      <w:lvlText w:val="o"/>
      <w:lvlJc w:val="left"/>
      <w:pPr>
        <w:ind w:hanging="360" w:left="1980"/>
      </w:pPr>
      <w:rPr>
        <w:rFonts w:ascii="Courier New" w:cs="Courier New" w:hAnsi="Courier New" w:hint="default"/>
      </w:rPr>
    </w:lvl>
    <w:lvl w:ilvl="2" w:tentative="1" w:tplc="08090005">
      <w:start w:val="1"/>
      <w:numFmt w:val="bullet"/>
      <w:lvlText w:val=""/>
      <w:lvlJc w:val="left"/>
      <w:pPr>
        <w:ind w:hanging="360" w:left="2700"/>
      </w:pPr>
      <w:rPr>
        <w:rFonts w:ascii="Wingdings" w:hAnsi="Wingdings" w:hint="default"/>
      </w:rPr>
    </w:lvl>
    <w:lvl w:ilvl="3" w:tentative="1" w:tplc="08090001">
      <w:start w:val="1"/>
      <w:numFmt w:val="bullet"/>
      <w:lvlText w:val=""/>
      <w:lvlJc w:val="left"/>
      <w:pPr>
        <w:ind w:hanging="360" w:left="3420"/>
      </w:pPr>
      <w:rPr>
        <w:rFonts w:ascii="Symbol" w:hAnsi="Symbol" w:hint="default"/>
      </w:rPr>
    </w:lvl>
    <w:lvl w:ilvl="4" w:tentative="1" w:tplc="08090003">
      <w:start w:val="1"/>
      <w:numFmt w:val="bullet"/>
      <w:lvlText w:val="o"/>
      <w:lvlJc w:val="left"/>
      <w:pPr>
        <w:ind w:hanging="360" w:left="4140"/>
      </w:pPr>
      <w:rPr>
        <w:rFonts w:ascii="Courier New" w:cs="Courier New" w:hAnsi="Courier New" w:hint="default"/>
      </w:rPr>
    </w:lvl>
    <w:lvl w:ilvl="5" w:tentative="1" w:tplc="08090005">
      <w:start w:val="1"/>
      <w:numFmt w:val="bullet"/>
      <w:lvlText w:val=""/>
      <w:lvlJc w:val="left"/>
      <w:pPr>
        <w:ind w:hanging="360" w:left="4860"/>
      </w:pPr>
      <w:rPr>
        <w:rFonts w:ascii="Wingdings" w:hAnsi="Wingdings" w:hint="default"/>
      </w:rPr>
    </w:lvl>
    <w:lvl w:ilvl="6" w:tentative="1" w:tplc="08090001">
      <w:start w:val="1"/>
      <w:numFmt w:val="bullet"/>
      <w:lvlText w:val=""/>
      <w:lvlJc w:val="left"/>
      <w:pPr>
        <w:ind w:hanging="360" w:left="5580"/>
      </w:pPr>
      <w:rPr>
        <w:rFonts w:ascii="Symbol" w:hAnsi="Symbol" w:hint="default"/>
      </w:rPr>
    </w:lvl>
    <w:lvl w:ilvl="7" w:tentative="1" w:tplc="08090003">
      <w:start w:val="1"/>
      <w:numFmt w:val="bullet"/>
      <w:lvlText w:val="o"/>
      <w:lvlJc w:val="left"/>
      <w:pPr>
        <w:ind w:hanging="360" w:left="6300"/>
      </w:pPr>
      <w:rPr>
        <w:rFonts w:ascii="Courier New" w:cs="Courier New" w:hAnsi="Courier New" w:hint="default"/>
      </w:rPr>
    </w:lvl>
    <w:lvl w:ilvl="8" w:tentative="1" w:tplc="08090005">
      <w:start w:val="1"/>
      <w:numFmt w:val="bullet"/>
      <w:lvlText w:val=""/>
      <w:lvlJc w:val="left"/>
      <w:pPr>
        <w:ind w:hanging="360" w:left="7020"/>
      </w:pPr>
      <w:rPr>
        <w:rFonts w:ascii="Wingdings" w:hAnsi="Wingdings" w:hint="default"/>
      </w:rPr>
    </w:lvl>
  </w:abstractNum>
  <w:abstractNum w15:restartNumberingAfterBreak="0" w:abstractNumId="11">
    <w:nsid w:val="06F77184"/>
    <w:multiLevelType w:val="hybridMultilevel"/>
    <w:tmpl w:val="39C463E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24131BB9"/>
    <w:multiLevelType w:val="hybridMultilevel"/>
    <w:tmpl w:val="9B8A6800"/>
    <w:lvl w:ilvl="0" w:tplc="08090001">
      <w:start w:val="1"/>
      <w:numFmt w:val="bullet"/>
      <w:lvlText w:val=""/>
      <w:lvlJc w:val="left"/>
      <w:pPr>
        <w:ind w:hanging="360" w:left="1260"/>
      </w:pPr>
      <w:rPr>
        <w:rFonts w:ascii="Symbol" w:hAnsi="Symbol" w:hint="default"/>
      </w:rPr>
    </w:lvl>
    <w:lvl w:ilvl="1" w:tentative="1" w:tplc="08090003">
      <w:start w:val="1"/>
      <w:numFmt w:val="bullet"/>
      <w:lvlText w:val="o"/>
      <w:lvlJc w:val="left"/>
      <w:pPr>
        <w:ind w:hanging="360" w:left="1980"/>
      </w:pPr>
      <w:rPr>
        <w:rFonts w:ascii="Courier New" w:cs="Courier New" w:hAnsi="Courier New" w:hint="default"/>
      </w:rPr>
    </w:lvl>
    <w:lvl w:ilvl="2" w:tentative="1" w:tplc="08090005">
      <w:start w:val="1"/>
      <w:numFmt w:val="bullet"/>
      <w:lvlText w:val=""/>
      <w:lvlJc w:val="left"/>
      <w:pPr>
        <w:ind w:hanging="360" w:left="2700"/>
      </w:pPr>
      <w:rPr>
        <w:rFonts w:ascii="Wingdings" w:hAnsi="Wingdings" w:hint="default"/>
      </w:rPr>
    </w:lvl>
    <w:lvl w:ilvl="3" w:tentative="1" w:tplc="08090001">
      <w:start w:val="1"/>
      <w:numFmt w:val="bullet"/>
      <w:lvlText w:val=""/>
      <w:lvlJc w:val="left"/>
      <w:pPr>
        <w:ind w:hanging="360" w:left="3420"/>
      </w:pPr>
      <w:rPr>
        <w:rFonts w:ascii="Symbol" w:hAnsi="Symbol" w:hint="default"/>
      </w:rPr>
    </w:lvl>
    <w:lvl w:ilvl="4" w:tentative="1" w:tplc="08090003">
      <w:start w:val="1"/>
      <w:numFmt w:val="bullet"/>
      <w:lvlText w:val="o"/>
      <w:lvlJc w:val="left"/>
      <w:pPr>
        <w:ind w:hanging="360" w:left="4140"/>
      </w:pPr>
      <w:rPr>
        <w:rFonts w:ascii="Courier New" w:cs="Courier New" w:hAnsi="Courier New" w:hint="default"/>
      </w:rPr>
    </w:lvl>
    <w:lvl w:ilvl="5" w:tentative="1" w:tplc="08090005">
      <w:start w:val="1"/>
      <w:numFmt w:val="bullet"/>
      <w:lvlText w:val=""/>
      <w:lvlJc w:val="left"/>
      <w:pPr>
        <w:ind w:hanging="360" w:left="4860"/>
      </w:pPr>
      <w:rPr>
        <w:rFonts w:ascii="Wingdings" w:hAnsi="Wingdings" w:hint="default"/>
      </w:rPr>
    </w:lvl>
    <w:lvl w:ilvl="6" w:tentative="1" w:tplc="08090001">
      <w:start w:val="1"/>
      <w:numFmt w:val="bullet"/>
      <w:lvlText w:val=""/>
      <w:lvlJc w:val="left"/>
      <w:pPr>
        <w:ind w:hanging="360" w:left="5580"/>
      </w:pPr>
      <w:rPr>
        <w:rFonts w:ascii="Symbol" w:hAnsi="Symbol" w:hint="default"/>
      </w:rPr>
    </w:lvl>
    <w:lvl w:ilvl="7" w:tentative="1" w:tplc="08090003">
      <w:start w:val="1"/>
      <w:numFmt w:val="bullet"/>
      <w:lvlText w:val="o"/>
      <w:lvlJc w:val="left"/>
      <w:pPr>
        <w:ind w:hanging="360" w:left="6300"/>
      </w:pPr>
      <w:rPr>
        <w:rFonts w:ascii="Courier New" w:cs="Courier New" w:hAnsi="Courier New" w:hint="default"/>
      </w:rPr>
    </w:lvl>
    <w:lvl w:ilvl="8" w:tentative="1" w:tplc="08090005">
      <w:start w:val="1"/>
      <w:numFmt w:val="bullet"/>
      <w:lvlText w:val=""/>
      <w:lvlJc w:val="left"/>
      <w:pPr>
        <w:ind w:hanging="360" w:left="7020"/>
      </w:pPr>
      <w:rPr>
        <w:rFonts w:ascii="Wingdings" w:hAnsi="Wingdings" w:hint="default"/>
      </w:rPr>
    </w:lvl>
  </w:abstractNum>
  <w:abstractNum w15:restartNumberingAfterBreak="0" w:abstractNumId="13">
    <w:nsid w:val="307355F0"/>
    <w:multiLevelType w:val="hybridMultilevel"/>
    <w:tmpl w:val="34305C0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4">
    <w:nsid w:val="36AC243D"/>
    <w:multiLevelType w:val="hybridMultilevel"/>
    <w:tmpl w:val="F0347DC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445F2AF6"/>
    <w:multiLevelType w:val="hybridMultilevel"/>
    <w:tmpl w:val="9034ACCE"/>
    <w:lvl w:ilvl="0" w:tplc="08090001">
      <w:start w:val="1"/>
      <w:numFmt w:val="bullet"/>
      <w:lvlText w:val=""/>
      <w:lvlJc w:val="left"/>
      <w:pPr>
        <w:ind w:hanging="360" w:left="900"/>
      </w:pPr>
      <w:rPr>
        <w:rFonts w:ascii="Symbol" w:hAnsi="Symbol" w:hint="default"/>
      </w:rPr>
    </w:lvl>
    <w:lvl w:ilvl="1" w:tentative="1" w:tplc="08090003">
      <w:start w:val="1"/>
      <w:numFmt w:val="bullet"/>
      <w:lvlText w:val="o"/>
      <w:lvlJc w:val="left"/>
      <w:pPr>
        <w:ind w:hanging="360" w:left="1620"/>
      </w:pPr>
      <w:rPr>
        <w:rFonts w:ascii="Courier New" w:cs="Courier New" w:hAnsi="Courier New" w:hint="default"/>
      </w:rPr>
    </w:lvl>
    <w:lvl w:ilvl="2" w:tentative="1" w:tplc="08090005">
      <w:start w:val="1"/>
      <w:numFmt w:val="bullet"/>
      <w:lvlText w:val=""/>
      <w:lvlJc w:val="left"/>
      <w:pPr>
        <w:ind w:hanging="360" w:left="2340"/>
      </w:pPr>
      <w:rPr>
        <w:rFonts w:ascii="Wingdings" w:hAnsi="Wingdings" w:hint="default"/>
      </w:rPr>
    </w:lvl>
    <w:lvl w:ilvl="3" w:tentative="1" w:tplc="08090001">
      <w:start w:val="1"/>
      <w:numFmt w:val="bullet"/>
      <w:lvlText w:val=""/>
      <w:lvlJc w:val="left"/>
      <w:pPr>
        <w:ind w:hanging="360" w:left="3060"/>
      </w:pPr>
      <w:rPr>
        <w:rFonts w:ascii="Symbol" w:hAnsi="Symbol" w:hint="default"/>
      </w:rPr>
    </w:lvl>
    <w:lvl w:ilvl="4" w:tentative="1" w:tplc="08090003">
      <w:start w:val="1"/>
      <w:numFmt w:val="bullet"/>
      <w:lvlText w:val="o"/>
      <w:lvlJc w:val="left"/>
      <w:pPr>
        <w:ind w:hanging="360" w:left="3780"/>
      </w:pPr>
      <w:rPr>
        <w:rFonts w:ascii="Courier New" w:cs="Courier New" w:hAnsi="Courier New" w:hint="default"/>
      </w:rPr>
    </w:lvl>
    <w:lvl w:ilvl="5" w:tentative="1" w:tplc="08090005">
      <w:start w:val="1"/>
      <w:numFmt w:val="bullet"/>
      <w:lvlText w:val=""/>
      <w:lvlJc w:val="left"/>
      <w:pPr>
        <w:ind w:hanging="360" w:left="4500"/>
      </w:pPr>
      <w:rPr>
        <w:rFonts w:ascii="Wingdings" w:hAnsi="Wingdings" w:hint="default"/>
      </w:rPr>
    </w:lvl>
    <w:lvl w:ilvl="6" w:tentative="1" w:tplc="08090001">
      <w:start w:val="1"/>
      <w:numFmt w:val="bullet"/>
      <w:lvlText w:val=""/>
      <w:lvlJc w:val="left"/>
      <w:pPr>
        <w:ind w:hanging="360" w:left="5220"/>
      </w:pPr>
      <w:rPr>
        <w:rFonts w:ascii="Symbol" w:hAnsi="Symbol" w:hint="default"/>
      </w:rPr>
    </w:lvl>
    <w:lvl w:ilvl="7" w:tentative="1" w:tplc="08090003">
      <w:start w:val="1"/>
      <w:numFmt w:val="bullet"/>
      <w:lvlText w:val="o"/>
      <w:lvlJc w:val="left"/>
      <w:pPr>
        <w:ind w:hanging="360" w:left="5940"/>
      </w:pPr>
      <w:rPr>
        <w:rFonts w:ascii="Courier New" w:cs="Courier New" w:hAnsi="Courier New" w:hint="default"/>
      </w:rPr>
    </w:lvl>
    <w:lvl w:ilvl="8" w:tentative="1" w:tplc="08090005">
      <w:start w:val="1"/>
      <w:numFmt w:val="bullet"/>
      <w:lvlText w:val=""/>
      <w:lvlJc w:val="left"/>
      <w:pPr>
        <w:ind w:hanging="360" w:left="6660"/>
      </w:pPr>
      <w:rPr>
        <w:rFonts w:ascii="Wingdings" w:hAnsi="Wingdings" w:hint="default"/>
      </w:rPr>
    </w:lvl>
  </w:abstractNum>
  <w:abstractNum w15:restartNumberingAfterBreak="0" w:abstractNumId="16">
    <w:nsid w:val="571504CC"/>
    <w:multiLevelType w:val="hybridMultilevel"/>
    <w:tmpl w:val="91AA967C"/>
    <w:lvl w:ilvl="0" w:tplc="08090001">
      <w:start w:val="1"/>
      <w:numFmt w:val="bullet"/>
      <w:lvlText w:val=""/>
      <w:lvlJc w:val="left"/>
      <w:pPr>
        <w:ind w:hanging="360" w:left="3960"/>
      </w:pPr>
      <w:rPr>
        <w:rFonts w:ascii="Symbol" w:hAnsi="Symbol" w:hint="default"/>
      </w:rPr>
    </w:lvl>
    <w:lvl w:ilvl="1" w:tentative="1" w:tplc="08090003">
      <w:start w:val="1"/>
      <w:numFmt w:val="bullet"/>
      <w:lvlText w:val="o"/>
      <w:lvlJc w:val="left"/>
      <w:pPr>
        <w:ind w:hanging="360" w:left="4680"/>
      </w:pPr>
      <w:rPr>
        <w:rFonts w:ascii="Courier New" w:cs="Courier New" w:hAnsi="Courier New" w:hint="default"/>
      </w:rPr>
    </w:lvl>
    <w:lvl w:ilvl="2" w:tentative="1" w:tplc="08090005">
      <w:start w:val="1"/>
      <w:numFmt w:val="bullet"/>
      <w:lvlText w:val=""/>
      <w:lvlJc w:val="left"/>
      <w:pPr>
        <w:ind w:hanging="360" w:left="5400"/>
      </w:pPr>
      <w:rPr>
        <w:rFonts w:ascii="Wingdings" w:hAnsi="Wingdings" w:hint="default"/>
      </w:rPr>
    </w:lvl>
    <w:lvl w:ilvl="3" w:tentative="1" w:tplc="08090001">
      <w:start w:val="1"/>
      <w:numFmt w:val="bullet"/>
      <w:lvlText w:val=""/>
      <w:lvlJc w:val="left"/>
      <w:pPr>
        <w:ind w:hanging="360" w:left="6120"/>
      </w:pPr>
      <w:rPr>
        <w:rFonts w:ascii="Symbol" w:hAnsi="Symbol" w:hint="default"/>
      </w:rPr>
    </w:lvl>
    <w:lvl w:ilvl="4" w:tentative="1" w:tplc="08090003">
      <w:start w:val="1"/>
      <w:numFmt w:val="bullet"/>
      <w:lvlText w:val="o"/>
      <w:lvlJc w:val="left"/>
      <w:pPr>
        <w:ind w:hanging="360" w:left="6840"/>
      </w:pPr>
      <w:rPr>
        <w:rFonts w:ascii="Courier New" w:cs="Courier New" w:hAnsi="Courier New" w:hint="default"/>
      </w:rPr>
    </w:lvl>
    <w:lvl w:ilvl="5" w:tentative="1" w:tplc="08090005">
      <w:start w:val="1"/>
      <w:numFmt w:val="bullet"/>
      <w:lvlText w:val=""/>
      <w:lvlJc w:val="left"/>
      <w:pPr>
        <w:ind w:hanging="360" w:left="7560"/>
      </w:pPr>
      <w:rPr>
        <w:rFonts w:ascii="Wingdings" w:hAnsi="Wingdings" w:hint="default"/>
      </w:rPr>
    </w:lvl>
    <w:lvl w:ilvl="6" w:tentative="1" w:tplc="08090001">
      <w:start w:val="1"/>
      <w:numFmt w:val="bullet"/>
      <w:lvlText w:val=""/>
      <w:lvlJc w:val="left"/>
      <w:pPr>
        <w:ind w:hanging="360" w:left="8280"/>
      </w:pPr>
      <w:rPr>
        <w:rFonts w:ascii="Symbol" w:hAnsi="Symbol" w:hint="default"/>
      </w:rPr>
    </w:lvl>
    <w:lvl w:ilvl="7" w:tentative="1" w:tplc="08090003">
      <w:start w:val="1"/>
      <w:numFmt w:val="bullet"/>
      <w:lvlText w:val="o"/>
      <w:lvlJc w:val="left"/>
      <w:pPr>
        <w:ind w:hanging="360" w:left="9000"/>
      </w:pPr>
      <w:rPr>
        <w:rFonts w:ascii="Courier New" w:cs="Courier New" w:hAnsi="Courier New" w:hint="default"/>
      </w:rPr>
    </w:lvl>
    <w:lvl w:ilvl="8" w:tentative="1" w:tplc="08090005">
      <w:start w:val="1"/>
      <w:numFmt w:val="bullet"/>
      <w:lvlText w:val=""/>
      <w:lvlJc w:val="left"/>
      <w:pPr>
        <w:ind w:hanging="360" w:left="9720"/>
      </w:pPr>
      <w:rPr>
        <w:rFonts w:ascii="Wingdings" w:hAnsi="Wingdings" w:hint="default"/>
      </w:rPr>
    </w:lvl>
  </w:abstractNum>
  <w:abstractNum w15:restartNumberingAfterBreak="0" w:abstractNumId="17">
    <w:nsid w:val="6A917ECD"/>
    <w:multiLevelType w:val="hybridMultilevel"/>
    <w:tmpl w:val="27044AE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6DF04E0F"/>
    <w:multiLevelType w:val="hybridMultilevel"/>
    <w:tmpl w:val="295C11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6"/>
  </w:num>
  <w:num w:numId="2">
    <w:abstractNumId w:val="10"/>
  </w:num>
  <w:num w:numId="3">
    <w:abstractNumId w:val="15"/>
  </w:num>
  <w:num w:numId="4">
    <w:abstractNumId w:val="14"/>
  </w:num>
  <w:num w:numId="5">
    <w:abstractNumId w:val="13"/>
  </w:num>
  <w:num w:numId="6">
    <w:abstractNumId w:val="11"/>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2"/>
  </w:num>
  <w:num w:numId="18">
    <w:abstractNumId w:val="18"/>
  </w:num>
  <w:num w:numId="19">
    <w:abstractNumId w:val="1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printFractionalCharacterWidth/>
  <w:embedSystemFonts/>
  <w:hideGrammaticalErrors/>
  <w:proofState w:grammar="clean" w:spelling="clean"/>
  <w:attachedTemplate r:id="rId1"/>
  <w:stylePaneFormatFilter w:allStyles="0" w:alternateStyleNames="0" w:clearFormatting="1" w:customStyles="0" w:directFormattingOnNumbering="1" w:directFormattingOnParagraphs="1" w:directFormattingOnRuns="1" w:directFormattingOnTables="1" w:headingStyles="1" w:latentStyles="1" w:numberingStyles="0" w:stylesInUse="0" w:tableStyles="0" w:top3HeadingStyles="1" w:val="3F24" w:visibleStyles="0"/>
  <w:stylePaneSortMethod w:val="0000"/>
  <w:doNotTrackMoves/>
  <w:defaultTabStop w:val="720"/>
  <w:doNotHyphenateCaps/>
  <w:drawingGridHorizontalSpacing w:val="360"/>
  <w:drawingGridVerticalSpacing w:val="360"/>
  <w:displayHorizontalDrawingGridEvery w:val="0"/>
  <w:displayVerticalDrawingGridEvery w:val="0"/>
  <w:doNotUseMarginsForDrawingGridOrigin/>
  <w:doNotShadeFormData/>
  <w:noPunctuationKerning/>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4AE3"/>
    <w:rsid w:val="00005BA4"/>
    <w:rsid w:val="00007765"/>
    <w:rsid w:val="00010542"/>
    <w:rsid w:val="00011222"/>
    <w:rsid w:val="000202E9"/>
    <w:rsid w:val="00020365"/>
    <w:rsid w:val="000249EC"/>
    <w:rsid w:val="000324C4"/>
    <w:rsid w:val="00034AE3"/>
    <w:rsid w:val="0004331D"/>
    <w:rsid w:val="00045D74"/>
    <w:rsid w:val="000517F0"/>
    <w:rsid w:val="00066A38"/>
    <w:rsid w:val="00067033"/>
    <w:rsid w:val="00067E30"/>
    <w:rsid w:val="000728DA"/>
    <w:rsid w:val="000736C1"/>
    <w:rsid w:val="00073BB2"/>
    <w:rsid w:val="00074726"/>
    <w:rsid w:val="000841CC"/>
    <w:rsid w:val="00087439"/>
    <w:rsid w:val="000B2BEA"/>
    <w:rsid w:val="000C75AD"/>
    <w:rsid w:val="000D5DFF"/>
    <w:rsid w:val="000D6092"/>
    <w:rsid w:val="000E2B48"/>
    <w:rsid w:val="000E2F10"/>
    <w:rsid w:val="000E3423"/>
    <w:rsid w:val="000E639E"/>
    <w:rsid w:val="000F071D"/>
    <w:rsid w:val="000F70BC"/>
    <w:rsid w:val="00100C24"/>
    <w:rsid w:val="001041A0"/>
    <w:rsid w:val="0011027A"/>
    <w:rsid w:val="00114F5D"/>
    <w:rsid w:val="00124D86"/>
    <w:rsid w:val="0015337E"/>
    <w:rsid w:val="00153699"/>
    <w:rsid w:val="001611C6"/>
    <w:rsid w:val="00166862"/>
    <w:rsid w:val="00172368"/>
    <w:rsid w:val="00172977"/>
    <w:rsid w:val="00174EC0"/>
    <w:rsid w:val="0018185E"/>
    <w:rsid w:val="0019263E"/>
    <w:rsid w:val="0019393E"/>
    <w:rsid w:val="001A12F1"/>
    <w:rsid w:val="001B38B2"/>
    <w:rsid w:val="001B5354"/>
    <w:rsid w:val="001E2002"/>
    <w:rsid w:val="001E2741"/>
    <w:rsid w:val="001E5853"/>
    <w:rsid w:val="001E6420"/>
    <w:rsid w:val="001F1B9A"/>
    <w:rsid w:val="001F476E"/>
    <w:rsid w:val="00200FCA"/>
    <w:rsid w:val="0020580E"/>
    <w:rsid w:val="00211F90"/>
    <w:rsid w:val="00212840"/>
    <w:rsid w:val="00221A20"/>
    <w:rsid w:val="00223C7F"/>
    <w:rsid w:val="002431AF"/>
    <w:rsid w:val="00246BF6"/>
    <w:rsid w:val="00247A80"/>
    <w:rsid w:val="00252030"/>
    <w:rsid w:val="00256141"/>
    <w:rsid w:val="002574CF"/>
    <w:rsid w:val="00260985"/>
    <w:rsid w:val="00260B30"/>
    <w:rsid w:val="00261192"/>
    <w:rsid w:val="00262A4F"/>
    <w:rsid w:val="0026673B"/>
    <w:rsid w:val="00270EFA"/>
    <w:rsid w:val="00272CFD"/>
    <w:rsid w:val="00272E7C"/>
    <w:rsid w:val="00273D10"/>
    <w:rsid w:val="002767A2"/>
    <w:rsid w:val="00281C69"/>
    <w:rsid w:val="002820A4"/>
    <w:rsid w:val="00283ED5"/>
    <w:rsid w:val="002860EA"/>
    <w:rsid w:val="002A0219"/>
    <w:rsid w:val="002A5E48"/>
    <w:rsid w:val="002B12A3"/>
    <w:rsid w:val="002B4371"/>
    <w:rsid w:val="002B6E5E"/>
    <w:rsid w:val="002C50C6"/>
    <w:rsid w:val="002C5977"/>
    <w:rsid w:val="002C73E9"/>
    <w:rsid w:val="002E310C"/>
    <w:rsid w:val="002F07B2"/>
    <w:rsid w:val="002F1B8A"/>
    <w:rsid w:val="002F4E62"/>
    <w:rsid w:val="00300DAE"/>
    <w:rsid w:val="003125C1"/>
    <w:rsid w:val="00322F51"/>
    <w:rsid w:val="003457C0"/>
    <w:rsid w:val="003476CA"/>
    <w:rsid w:val="00353020"/>
    <w:rsid w:val="003651C5"/>
    <w:rsid w:val="003669FF"/>
    <w:rsid w:val="00367014"/>
    <w:rsid w:val="00372338"/>
    <w:rsid w:val="00394236"/>
    <w:rsid w:val="00395708"/>
    <w:rsid w:val="00395820"/>
    <w:rsid w:val="003B7365"/>
    <w:rsid w:val="003C2F01"/>
    <w:rsid w:val="003C502C"/>
    <w:rsid w:val="003C5400"/>
    <w:rsid w:val="003C7B3A"/>
    <w:rsid w:val="00400605"/>
    <w:rsid w:val="00400F2A"/>
    <w:rsid w:val="004015AD"/>
    <w:rsid w:val="00403886"/>
    <w:rsid w:val="00405026"/>
    <w:rsid w:val="00411A71"/>
    <w:rsid w:val="00420F18"/>
    <w:rsid w:val="004233C6"/>
    <w:rsid w:val="00423799"/>
    <w:rsid w:val="00432A2B"/>
    <w:rsid w:val="004403CC"/>
    <w:rsid w:val="00440801"/>
    <w:rsid w:val="00446573"/>
    <w:rsid w:val="004544DE"/>
    <w:rsid w:val="00454595"/>
    <w:rsid w:val="00455406"/>
    <w:rsid w:val="004658C6"/>
    <w:rsid w:val="00487CF1"/>
    <w:rsid w:val="00495A63"/>
    <w:rsid w:val="004C1103"/>
    <w:rsid w:val="004C20B8"/>
    <w:rsid w:val="004D26B5"/>
    <w:rsid w:val="004D3D43"/>
    <w:rsid w:val="004E531E"/>
    <w:rsid w:val="004E71B4"/>
    <w:rsid w:val="004F21EF"/>
    <w:rsid w:val="004F26B5"/>
    <w:rsid w:val="004F3E35"/>
    <w:rsid w:val="00504BCE"/>
    <w:rsid w:val="005142FA"/>
    <w:rsid w:val="00515557"/>
    <w:rsid w:val="005235CF"/>
    <w:rsid w:val="00524DB4"/>
    <w:rsid w:val="00525C59"/>
    <w:rsid w:val="005261E4"/>
    <w:rsid w:val="0052750E"/>
    <w:rsid w:val="00534C2A"/>
    <w:rsid w:val="0053768B"/>
    <w:rsid w:val="00542AD3"/>
    <w:rsid w:val="00546F84"/>
    <w:rsid w:val="00547FCF"/>
    <w:rsid w:val="00551406"/>
    <w:rsid w:val="005661E9"/>
    <w:rsid w:val="005674E9"/>
    <w:rsid w:val="00575C8B"/>
    <w:rsid w:val="005835B2"/>
    <w:rsid w:val="00590E7E"/>
    <w:rsid w:val="005925BA"/>
    <w:rsid w:val="005A4AC6"/>
    <w:rsid w:val="005A63F7"/>
    <w:rsid w:val="005B0E77"/>
    <w:rsid w:val="005B656C"/>
    <w:rsid w:val="005C0F4E"/>
    <w:rsid w:val="005D2E07"/>
    <w:rsid w:val="005D60A3"/>
    <w:rsid w:val="005D7817"/>
    <w:rsid w:val="005E6928"/>
    <w:rsid w:val="005E74BF"/>
    <w:rsid w:val="005F3ABB"/>
    <w:rsid w:val="0060599F"/>
    <w:rsid w:val="00606138"/>
    <w:rsid w:val="006109B2"/>
    <w:rsid w:val="00611666"/>
    <w:rsid w:val="006118FD"/>
    <w:rsid w:val="0062185E"/>
    <w:rsid w:val="0062367D"/>
    <w:rsid w:val="00647B0E"/>
    <w:rsid w:val="00650BD2"/>
    <w:rsid w:val="00677B43"/>
    <w:rsid w:val="00677F53"/>
    <w:rsid w:val="00687AEF"/>
    <w:rsid w:val="006912F4"/>
    <w:rsid w:val="0069296F"/>
    <w:rsid w:val="006B2AF6"/>
    <w:rsid w:val="006C6EF8"/>
    <w:rsid w:val="006C74E1"/>
    <w:rsid w:val="006D060A"/>
    <w:rsid w:val="006D1319"/>
    <w:rsid w:val="006D71A5"/>
    <w:rsid w:val="006E4EF4"/>
    <w:rsid w:val="006E5E99"/>
    <w:rsid w:val="006F0986"/>
    <w:rsid w:val="006F4507"/>
    <w:rsid w:val="006F4544"/>
    <w:rsid w:val="006F62AE"/>
    <w:rsid w:val="006F6D86"/>
    <w:rsid w:val="00702A4C"/>
    <w:rsid w:val="0070453A"/>
    <w:rsid w:val="00716F15"/>
    <w:rsid w:val="00730703"/>
    <w:rsid w:val="007335AA"/>
    <w:rsid w:val="00734C0A"/>
    <w:rsid w:val="007544DD"/>
    <w:rsid w:val="00754A99"/>
    <w:rsid w:val="0079042F"/>
    <w:rsid w:val="0079759E"/>
    <w:rsid w:val="007A0BF7"/>
    <w:rsid w:val="007A3F19"/>
    <w:rsid w:val="007A7BA5"/>
    <w:rsid w:val="007B0091"/>
    <w:rsid w:val="007B187C"/>
    <w:rsid w:val="007B4515"/>
    <w:rsid w:val="007C2E86"/>
    <w:rsid w:val="007D4730"/>
    <w:rsid w:val="007D47CF"/>
    <w:rsid w:val="007E4D88"/>
    <w:rsid w:val="007F568A"/>
    <w:rsid w:val="008022DD"/>
    <w:rsid w:val="008028D6"/>
    <w:rsid w:val="00804E96"/>
    <w:rsid w:val="00805D7D"/>
    <w:rsid w:val="00807643"/>
    <w:rsid w:val="00813660"/>
    <w:rsid w:val="00815E55"/>
    <w:rsid w:val="00816D11"/>
    <w:rsid w:val="0084046F"/>
    <w:rsid w:val="008437F4"/>
    <w:rsid w:val="0085102E"/>
    <w:rsid w:val="00851EA6"/>
    <w:rsid w:val="00857426"/>
    <w:rsid w:val="00861511"/>
    <w:rsid w:val="0086181D"/>
    <w:rsid w:val="008811E4"/>
    <w:rsid w:val="00881391"/>
    <w:rsid w:val="00884457"/>
    <w:rsid w:val="00884D67"/>
    <w:rsid w:val="00897AFE"/>
    <w:rsid w:val="008A5E74"/>
    <w:rsid w:val="008A78D9"/>
    <w:rsid w:val="008B1137"/>
    <w:rsid w:val="008B34C5"/>
    <w:rsid w:val="008C03E5"/>
    <w:rsid w:val="008C11F9"/>
    <w:rsid w:val="008D26B7"/>
    <w:rsid w:val="008D3561"/>
    <w:rsid w:val="008D479A"/>
    <w:rsid w:val="008F3192"/>
    <w:rsid w:val="008F3F71"/>
    <w:rsid w:val="0090679D"/>
    <w:rsid w:val="009067AB"/>
    <w:rsid w:val="009228B0"/>
    <w:rsid w:val="0093108E"/>
    <w:rsid w:val="00935A5A"/>
    <w:rsid w:val="00936B02"/>
    <w:rsid w:val="00960E2A"/>
    <w:rsid w:val="00965E75"/>
    <w:rsid w:val="00967864"/>
    <w:rsid w:val="00972AEC"/>
    <w:rsid w:val="009741E5"/>
    <w:rsid w:val="009761CF"/>
    <w:rsid w:val="00983A6E"/>
    <w:rsid w:val="00983B80"/>
    <w:rsid w:val="00984764"/>
    <w:rsid w:val="00985501"/>
    <w:rsid w:val="00986B95"/>
    <w:rsid w:val="00995533"/>
    <w:rsid w:val="009A196D"/>
    <w:rsid w:val="009A29EC"/>
    <w:rsid w:val="009B1877"/>
    <w:rsid w:val="009B7962"/>
    <w:rsid w:val="009C16A5"/>
    <w:rsid w:val="009C35DB"/>
    <w:rsid w:val="009C41E9"/>
    <w:rsid w:val="009C73AE"/>
    <w:rsid w:val="009D1DCE"/>
    <w:rsid w:val="009D38BB"/>
    <w:rsid w:val="009D4F49"/>
    <w:rsid w:val="009D54D4"/>
    <w:rsid w:val="009F013B"/>
    <w:rsid w:val="009F0BFA"/>
    <w:rsid w:val="009F3334"/>
    <w:rsid w:val="009F7AAF"/>
    <w:rsid w:val="00A03261"/>
    <w:rsid w:val="00A20708"/>
    <w:rsid w:val="00A22758"/>
    <w:rsid w:val="00A42A90"/>
    <w:rsid w:val="00A44A01"/>
    <w:rsid w:val="00A45AB9"/>
    <w:rsid w:val="00A47044"/>
    <w:rsid w:val="00A54671"/>
    <w:rsid w:val="00A62E41"/>
    <w:rsid w:val="00A65690"/>
    <w:rsid w:val="00A86C74"/>
    <w:rsid w:val="00A904CD"/>
    <w:rsid w:val="00A94554"/>
    <w:rsid w:val="00AA0832"/>
    <w:rsid w:val="00AA08C2"/>
    <w:rsid w:val="00AA361E"/>
    <w:rsid w:val="00AA4912"/>
    <w:rsid w:val="00AA4FEA"/>
    <w:rsid w:val="00AA5353"/>
    <w:rsid w:val="00AA79A0"/>
    <w:rsid w:val="00AB0AD1"/>
    <w:rsid w:val="00AB2D5F"/>
    <w:rsid w:val="00AB313D"/>
    <w:rsid w:val="00AB54D7"/>
    <w:rsid w:val="00AB6233"/>
    <w:rsid w:val="00AD3D45"/>
    <w:rsid w:val="00AE3DD5"/>
    <w:rsid w:val="00AE58A2"/>
    <w:rsid w:val="00AE7B6C"/>
    <w:rsid w:val="00AF3149"/>
    <w:rsid w:val="00AF4052"/>
    <w:rsid w:val="00AF55FA"/>
    <w:rsid w:val="00AF7561"/>
    <w:rsid w:val="00B06E54"/>
    <w:rsid w:val="00B26CFC"/>
    <w:rsid w:val="00B744C6"/>
    <w:rsid w:val="00B75248"/>
    <w:rsid w:val="00B76731"/>
    <w:rsid w:val="00B80100"/>
    <w:rsid w:val="00B858B7"/>
    <w:rsid w:val="00B95CC0"/>
    <w:rsid w:val="00BA6235"/>
    <w:rsid w:val="00BC238C"/>
    <w:rsid w:val="00BD427A"/>
    <w:rsid w:val="00BD58A9"/>
    <w:rsid w:val="00BE41CD"/>
    <w:rsid w:val="00BF0DA5"/>
    <w:rsid w:val="00BF4D2D"/>
    <w:rsid w:val="00BF7CA5"/>
    <w:rsid w:val="00C04D68"/>
    <w:rsid w:val="00C05E9A"/>
    <w:rsid w:val="00C13534"/>
    <w:rsid w:val="00C166C4"/>
    <w:rsid w:val="00C23CF4"/>
    <w:rsid w:val="00C26B07"/>
    <w:rsid w:val="00C271FF"/>
    <w:rsid w:val="00C31472"/>
    <w:rsid w:val="00C35A6B"/>
    <w:rsid w:val="00C35FF0"/>
    <w:rsid w:val="00C423BC"/>
    <w:rsid w:val="00C473FF"/>
    <w:rsid w:val="00C5567F"/>
    <w:rsid w:val="00C5722C"/>
    <w:rsid w:val="00C73DF5"/>
    <w:rsid w:val="00C80BB3"/>
    <w:rsid w:val="00C8693D"/>
    <w:rsid w:val="00C954FB"/>
    <w:rsid w:val="00C96DD7"/>
    <w:rsid w:val="00CA20B0"/>
    <w:rsid w:val="00CB42D4"/>
    <w:rsid w:val="00CB5511"/>
    <w:rsid w:val="00CC5D68"/>
    <w:rsid w:val="00CE1049"/>
    <w:rsid w:val="00CE4DB2"/>
    <w:rsid w:val="00CE5768"/>
    <w:rsid w:val="00CE5FDD"/>
    <w:rsid w:val="00D00E53"/>
    <w:rsid w:val="00D023B7"/>
    <w:rsid w:val="00D078C4"/>
    <w:rsid w:val="00D15249"/>
    <w:rsid w:val="00D2153B"/>
    <w:rsid w:val="00D22B34"/>
    <w:rsid w:val="00D23120"/>
    <w:rsid w:val="00D23D39"/>
    <w:rsid w:val="00D5223B"/>
    <w:rsid w:val="00D55C4C"/>
    <w:rsid w:val="00D572BF"/>
    <w:rsid w:val="00D577DB"/>
    <w:rsid w:val="00D57B1F"/>
    <w:rsid w:val="00D65517"/>
    <w:rsid w:val="00D71FBC"/>
    <w:rsid w:val="00D73921"/>
    <w:rsid w:val="00D83D0A"/>
    <w:rsid w:val="00D84BD0"/>
    <w:rsid w:val="00D86419"/>
    <w:rsid w:val="00D87B7F"/>
    <w:rsid w:val="00D946DB"/>
    <w:rsid w:val="00DA008C"/>
    <w:rsid w:val="00DA4D8B"/>
    <w:rsid w:val="00DA67AB"/>
    <w:rsid w:val="00DA71B8"/>
    <w:rsid w:val="00DB2191"/>
    <w:rsid w:val="00DC1A4B"/>
    <w:rsid w:val="00DC39BD"/>
    <w:rsid w:val="00DC3D02"/>
    <w:rsid w:val="00DC608E"/>
    <w:rsid w:val="00DD1B8B"/>
    <w:rsid w:val="00DD2432"/>
    <w:rsid w:val="00DE28E4"/>
    <w:rsid w:val="00DE6FE3"/>
    <w:rsid w:val="00DF0FFD"/>
    <w:rsid w:val="00DF16BF"/>
    <w:rsid w:val="00E034D8"/>
    <w:rsid w:val="00E03E36"/>
    <w:rsid w:val="00E04BD0"/>
    <w:rsid w:val="00E24222"/>
    <w:rsid w:val="00E2681E"/>
    <w:rsid w:val="00E30DAD"/>
    <w:rsid w:val="00E31B0B"/>
    <w:rsid w:val="00E34553"/>
    <w:rsid w:val="00E378D3"/>
    <w:rsid w:val="00E40F10"/>
    <w:rsid w:val="00E42FEC"/>
    <w:rsid w:val="00E4620B"/>
    <w:rsid w:val="00E562E7"/>
    <w:rsid w:val="00E56DBF"/>
    <w:rsid w:val="00E57D0C"/>
    <w:rsid w:val="00E62CEB"/>
    <w:rsid w:val="00E63DD1"/>
    <w:rsid w:val="00E76197"/>
    <w:rsid w:val="00E87E2B"/>
    <w:rsid w:val="00E87E91"/>
    <w:rsid w:val="00E91D01"/>
    <w:rsid w:val="00EA224E"/>
    <w:rsid w:val="00EA2FCB"/>
    <w:rsid w:val="00EA63AC"/>
    <w:rsid w:val="00EB0CF9"/>
    <w:rsid w:val="00EC484D"/>
    <w:rsid w:val="00F14D96"/>
    <w:rsid w:val="00F20234"/>
    <w:rsid w:val="00F24F2F"/>
    <w:rsid w:val="00F25212"/>
    <w:rsid w:val="00F27E6A"/>
    <w:rsid w:val="00F306F5"/>
    <w:rsid w:val="00F338E0"/>
    <w:rsid w:val="00F33EE5"/>
    <w:rsid w:val="00F352DC"/>
    <w:rsid w:val="00F35B16"/>
    <w:rsid w:val="00F56180"/>
    <w:rsid w:val="00F56F98"/>
    <w:rsid w:val="00F641F7"/>
    <w:rsid w:val="00F6449D"/>
    <w:rsid w:val="00F65DE2"/>
    <w:rsid w:val="00F663E7"/>
    <w:rsid w:val="00F72C94"/>
    <w:rsid w:val="00F81C7F"/>
    <w:rsid w:val="00F82716"/>
    <w:rsid w:val="00F83B09"/>
    <w:rsid w:val="00F85CC3"/>
    <w:rsid w:val="00FA2691"/>
    <w:rsid w:val="00FA2A7C"/>
    <w:rsid w:val="00FA4D96"/>
    <w:rsid w:val="00FA54BE"/>
    <w:rsid w:val="00FB0B03"/>
    <w:rsid w:val="00FB5E9C"/>
    <w:rsid w:val="00FB6581"/>
    <w:rsid w:val="00FC4045"/>
    <w:rsid w:val="00FC4A53"/>
    <w:rsid w:val="00FD1047"/>
    <w:rsid w:val="00FD1F8B"/>
    <w:rsid w:val="00FD674F"/>
    <w:rsid w:val="00FE4621"/>
    <w:rsid w:val="00FE6883"/>
    <w:rsid w:val="00FE7E65"/>
    <w:rsid w:val="00FF7433"/>
  </w:rsids>
  <w:themeFontLang w:val="en-GB"/>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Times New Roman" w:hAnsi="Arial"/>
        <w:lang w:bidi="ar-SA" w:eastAsia="en-GB" w:val="en-GB"/>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qFormat="1" w:uiPriority="22"/>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223C7F"/>
    <w:pPr>
      <w:widowControl/>
      <w:spacing w:after="80" w:before="0" w:line="360" w:lineRule="auto"/>
      <w:jc w:val="both"/>
    </w:pPr>
    <w:rPr>
      <w:rFonts w:ascii="Times New Roman" w:hAnsi="Times New Roman"/>
      <w:sz w:val="22"/>
    </w:rPr>
  </w:style>
  <w:style w:styleId="Heading1" w:type="paragraph">
    <w:name w:val="heading 1"/>
    <w:basedOn w:val="Normal"/>
    <w:next w:val="Normal"/>
    <w:qFormat/>
    <w:pPr>
      <w:keepNext/>
      <w:keepLines/>
      <w:spacing w:after="80" w:before="160" w:line="276" w:lineRule="auto"/>
      <w:jc w:val="center"/>
      <w:outlineLvl w:val="0"/>
    </w:pPr>
    <w:rPr>
      <w:b/>
      <w:sz w:val="30"/>
    </w:rPr>
  </w:style>
  <w:style w:styleId="Heading2" w:type="paragraph">
    <w:name w:val="heading 2"/>
    <w:basedOn w:val="Heading1"/>
    <w:next w:val="Normal"/>
    <w:qFormat/>
    <w:pPr>
      <w:keepNext/>
      <w:pageBreakBefore w:val="0"/>
      <w:spacing w:after="40" w:before="80" w:line="276" w:lineRule="auto"/>
      <w:ind w:hanging="540" w:left="540"/>
      <w:jc w:val="left"/>
      <w:outlineLvl w:val="1"/>
    </w:pPr>
    <w:rPr>
      <w:b/>
      <w:sz w:val="24"/>
    </w:rPr>
  </w:style>
  <w:style w:styleId="Heading3" w:type="paragraph">
    <w:name w:val="heading 3"/>
    <w:basedOn w:val="Heading2"/>
    <w:next w:val="Normal"/>
    <w:qFormat/>
    <w:pPr>
      <w:keepNext/>
      <w:spacing w:after="20" w:before="60" w:line="276" w:lineRule="auto"/>
      <w:outlineLvl w:val="2"/>
    </w:pPr>
    <w:rPr>
      <w:b/>
      <w:sz w:val="22"/>
    </w:rPr>
  </w:style>
  <w:style w:styleId="Heading4" w:type="paragraph">
    <w:name w:val="heading 4"/>
    <w:basedOn w:val="Heading3"/>
    <w:next w:val="Normal"/>
    <w:qFormat/>
    <w:pPr>
      <w:keepNext/>
      <w:spacing w:after="20" w:before="40" w:line="276" w:lineRule="auto"/>
      <w:outlineLvl w:val="3"/>
    </w:pPr>
    <w:rPr>
      <w:b w:val="0"/>
      <w:i/>
      <w:sz w:val="22"/>
    </w:rPr>
  </w:style>
  <w:style w:styleId="Heading5" w:type="paragraph">
    <w:name w:val="heading 5"/>
    <w:basedOn w:val="Normal"/>
    <w:next w:val="Normal"/>
    <w:qFormat/>
    <w:pPr>
      <w:spacing w:after="60" w:before="240"/>
      <w:outlineLvl w:val="4"/>
    </w:pPr>
    <w:rPr>
      <w:sz w:val="22"/>
    </w:rPr>
  </w:style>
  <w:style w:styleId="Heading6" w:type="paragraph">
    <w:name w:val="heading 6"/>
    <w:basedOn w:val="Normal"/>
    <w:next w:val="Normal"/>
    <w:qFormat/>
    <w:pPr>
      <w:spacing w:after="60" w:before="240"/>
      <w:outlineLvl w:val="5"/>
    </w:pPr>
    <w:rPr>
      <w:i/>
      <w:sz w:val="22"/>
    </w:rPr>
  </w:style>
  <w:style w:styleId="Heading7" w:type="paragraph">
    <w:name w:val="heading 7"/>
    <w:basedOn w:val="Normal"/>
    <w:next w:val="Normal"/>
    <w:qFormat/>
    <w:pPr>
      <w:spacing w:after="60" w:before="240"/>
      <w:outlineLvl w:val="6"/>
    </w:pPr>
    <w:rPr>
      <w:sz w:val="20"/>
    </w:rPr>
  </w:style>
  <w:style w:styleId="Heading8" w:type="paragraph">
    <w:name w:val="heading 8"/>
    <w:basedOn w:val="Normal"/>
    <w:next w:val="Normal"/>
    <w:qFormat/>
    <w:rsid w:val="00C473FF"/>
    <w:pPr>
      <w:keepLines/>
      <w:spacing w:after="240" w:before="240" w:line="240" w:lineRule="atLeast"/>
      <w:outlineLvl w:val="7"/>
    </w:pPr>
  </w:style>
  <w:style w:styleId="Heading9" w:type="paragraph">
    <w:name w:val="heading 9"/>
    <w:basedOn w:val="Normal"/>
    <w:next w:val="Normal"/>
    <w:qFormat/>
    <w:pPr>
      <w:spacing w:after="60" w:before="240"/>
      <w:outlineLvl w:val="8"/>
    </w:pPr>
    <w:rPr>
      <w:i/>
      <w:sz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OC4" w:type="paragraph">
    <w:name w:val="toc 4"/>
    <w:basedOn w:val="TOC3"/>
    <w:uiPriority w:val="39"/>
    <w:pPr>
      <w:ind w:left="2160"/>
    </w:pPr>
  </w:style>
  <w:style w:styleId="TOC3" w:type="paragraph">
    <w:name w:val="toc 3"/>
    <w:basedOn w:val="TOC2"/>
    <w:uiPriority w:val="39"/>
    <w:qFormat/>
    <w:pPr>
      <w:ind w:left="1620"/>
    </w:pPr>
  </w:style>
  <w:style w:styleId="TOC2" w:type="paragraph">
    <w:name w:val="toc 2"/>
    <w:basedOn w:val="TOC1"/>
    <w:uiPriority w:val="39"/>
    <w:qFormat/>
    <w:pPr>
      <w:keepNext w:val="0"/>
      <w:ind w:left="1080"/>
    </w:pPr>
    <w:rPr>
      <w:b w:val="0"/>
    </w:rPr>
  </w:style>
  <w:style w:styleId="TOC1" w:type="paragraph">
    <w:name w:val="toc 1"/>
    <w:basedOn w:val="Normal"/>
    <w:uiPriority w:val="39"/>
    <w:qFormat/>
    <w:pPr>
      <w:keepNext/>
      <w:keepLines/>
      <w:tabs>
        <w:tab w:leader="dot" w:pos="8150" w:val="right"/>
      </w:tabs>
      <w:spacing w:after="40" w:before="120" w:line="280" w:lineRule="atLeast"/>
      <w:ind w:hanging="540" w:left="540" w:right="576"/>
    </w:pPr>
    <w:rPr>
      <w:b/>
    </w:rPr>
  </w:style>
  <w:style w:styleId="Index4" w:type="paragraph">
    <w:name w:val="index 4"/>
    <w:basedOn w:val="Index3"/>
    <w:semiHidden/>
    <w:pPr>
      <w:ind w:left="1152"/>
    </w:pPr>
  </w:style>
  <w:style w:styleId="Index3" w:type="paragraph">
    <w:name w:val="index 3"/>
    <w:basedOn w:val="Index2"/>
    <w:semiHidden/>
    <w:pPr>
      <w:ind w:hanging="270" w:left="810"/>
    </w:pPr>
  </w:style>
  <w:style w:styleId="Index2" w:type="paragraph">
    <w:name w:val="index 2"/>
    <w:basedOn w:val="Index1"/>
    <w:semiHidden/>
    <w:pPr>
      <w:ind w:hanging="252" w:left="540"/>
    </w:pPr>
  </w:style>
  <w:style w:styleId="Index1" w:type="paragraph">
    <w:name w:val="index 1"/>
    <w:basedOn w:val="Normal"/>
    <w:semiHidden/>
    <w:pPr>
      <w:keepLines/>
      <w:spacing w:line="240" w:lineRule="atLeast"/>
      <w:ind w:hanging="270" w:left="270"/>
    </w:pPr>
  </w:style>
  <w:style w:styleId="Header" w:type="paragraph">
    <w:name w:val="header"/>
    <w:rsid w:val="00246BF6"/>
    <w:pPr>
      <w:spacing w:line="240" w:lineRule="atLeast"/>
      <w:jc w:val="center"/>
    </w:pPr>
    <w:rPr>
      <w:sz w:val="24"/>
    </w:rPr>
  </w:style>
  <w:style w:styleId="FootnoteReference" w:type="character">
    <w:name w:val="footnote reference"/>
    <w:semiHidden/>
    <w:rPr>
      <w:position w:val="6"/>
      <w:sz w:val="16"/>
    </w:rPr>
  </w:style>
  <w:style w:styleId="FootnoteText" w:type="paragraph">
    <w:name w:val="footnote text"/>
    <w:basedOn w:val="Normal"/>
    <w:semiHidden/>
    <w:rsid w:val="00283ED5"/>
    <w:pPr>
      <w:spacing w:before="240" w:line="240" w:lineRule="atLeast"/>
      <w:ind w:hanging="432" w:left="432"/>
    </w:pPr>
  </w:style>
  <w:style w:styleId="NormalIndent" w:type="paragraph">
    <w:name w:val="Normal Indent"/>
    <w:basedOn w:val="Normal"/>
    <w:pPr>
      <w:ind w:left="720"/>
    </w:pPr>
  </w:style>
  <w:style w:customStyle="1" w:styleId="left-aligned" w:type="paragraph">
    <w:name w:val="left-aligned"/>
    <w:basedOn w:val="Normal"/>
    <w:rsid w:val="00367014"/>
  </w:style>
  <w:style w:customStyle="1" w:styleId="centred" w:type="paragraph">
    <w:name w:val="centred"/>
    <w:basedOn w:val="Normal"/>
    <w:rsid w:val="006E4EF4"/>
    <w:pPr>
      <w:jc w:val="center"/>
    </w:pPr>
  </w:style>
  <w:style w:customStyle="1" w:styleId="right-aligned" w:type="paragraph">
    <w:name w:val="right-aligned"/>
    <w:basedOn w:val="Normal"/>
    <w:pPr>
      <w:jc w:val="right"/>
    </w:pPr>
  </w:style>
  <w:style w:customStyle="1" w:styleId="figurecaption" w:type="paragraph">
    <w:name w:val="figure caption"/>
    <w:basedOn w:val="Normal"/>
    <w:next w:val="Normal"/>
    <w:pPr>
      <w:keepLines/>
      <w:spacing w:before="240" w:line="240" w:lineRule="atLeast"/>
      <w:ind w:hanging="547" w:left="547"/>
    </w:pPr>
  </w:style>
  <w:style w:customStyle="1" w:styleId="typedblock" w:type="paragraph">
    <w:name w:val="typed block"/>
    <w:basedOn w:val="Normal"/>
    <w:pPr>
      <w:keepLines/>
    </w:pPr>
    <w:rPr>
      <w:rFonts w:ascii="Courier New" w:hAnsi="Courier New"/>
    </w:rPr>
  </w:style>
  <w:style w:customStyle="1" w:styleId="hangingindent" w:type="paragraph">
    <w:name w:val="hanging indent"/>
    <w:basedOn w:val="Normal"/>
    <w:rsid w:val="00C473FF"/>
    <w:pPr>
      <w:ind w:hanging="576" w:left="576"/>
    </w:pPr>
  </w:style>
  <w:style w:customStyle="1" w:styleId="Title1" w:type="paragraph">
    <w:name w:val="Title1"/>
    <w:basedOn w:val="Normal"/>
    <w:next w:val="Subtitle1"/>
    <w:pPr>
      <w:spacing w:after="360" w:before="960"/>
      <w:jc w:val="center"/>
    </w:pPr>
    <w:rPr>
      <w:b/>
      <w:sz w:val="28"/>
    </w:rPr>
  </w:style>
  <w:style w:customStyle="1" w:styleId="Subtitle1" w:type="paragraph">
    <w:name w:val="Subtitle1"/>
    <w:basedOn w:val="Title1"/>
    <w:next w:val="centred"/>
    <w:rsid w:val="00AB6233"/>
    <w:pPr>
      <w:spacing w:before="360"/>
    </w:pPr>
    <w:rPr>
      <w:sz w:val="24"/>
    </w:rPr>
  </w:style>
  <w:style w:customStyle="1" w:styleId="heading0" w:type="paragraph">
    <w:name w:val="heading 0"/>
    <w:basedOn w:val="Normal"/>
    <w:next w:val="Heading1"/>
    <w:pPr>
      <w:pageBreakBefore/>
      <w:spacing w:after="480" w:before="1680" w:line="480" w:lineRule="atLeast"/>
      <w:jc w:val="center"/>
    </w:pPr>
    <w:rPr>
      <w:b/>
      <w:sz w:val="28"/>
    </w:rPr>
  </w:style>
  <w:style w:customStyle="1" w:styleId="tablecaption" w:type="paragraph">
    <w:name w:val="table caption"/>
    <w:basedOn w:val="Normal"/>
    <w:next w:val="Normal"/>
    <w:pPr>
      <w:keepNext/>
      <w:keepLines/>
      <w:spacing w:before="240" w:line="240" w:lineRule="atLeast"/>
      <w:ind w:hanging="540" w:left="540"/>
    </w:pPr>
  </w:style>
  <w:style w:customStyle="1" w:styleId="tall" w:type="paragraph">
    <w:name w:val="tall"/>
    <w:basedOn w:val="centred"/>
    <w:pPr>
      <w:keepNext/>
      <w:keepLines/>
      <w:spacing w:after="144" w:line="660" w:lineRule="exact"/>
    </w:pPr>
  </w:style>
  <w:style w:styleId="EndnoteReference" w:type="character">
    <w:name w:val="endnote reference"/>
    <w:semiHidden/>
    <w:rPr>
      <w:vertAlign w:val="superscript"/>
    </w:rPr>
  </w:style>
  <w:style w:customStyle="1" w:styleId="figuredescription" w:type="paragraph">
    <w:name w:val="figure description"/>
    <w:basedOn w:val="figurecaption"/>
    <w:next w:val="Normal"/>
    <w:pPr>
      <w:spacing w:before="0"/>
      <w:ind w:firstLine="0"/>
    </w:pPr>
  </w:style>
  <w:style w:styleId="Footer" w:type="paragraph">
    <w:name w:val="footer"/>
    <w:basedOn w:val="Normal"/>
    <w:link w:val="FooterChar"/>
    <w:rsid w:val="00283ED5"/>
    <w:pPr>
      <w:tabs>
        <w:tab w:pos="4153" w:val="center"/>
        <w:tab w:pos="8306" w:val="right"/>
      </w:tabs>
    </w:pPr>
  </w:style>
  <w:style w:styleId="PageNumber" w:type="character">
    <w:name w:val="page number"/>
    <w:basedOn w:val="DefaultParagraphFont"/>
  </w:style>
  <w:style w:customStyle="1" w:styleId="tabledescription" w:type="paragraph">
    <w:name w:val="table description"/>
    <w:basedOn w:val="tablecaption"/>
    <w:next w:val="Normal"/>
    <w:pPr>
      <w:spacing w:before="0"/>
      <w:ind w:firstLine="0"/>
    </w:pPr>
  </w:style>
  <w:style w:styleId="Caption" w:type="paragraph">
    <w:name w:val="caption"/>
    <w:basedOn w:val="Normal"/>
    <w:next w:val="Description"/>
    <w:unhideWhenUsed/>
    <w:qFormat/>
    <w:rsid w:val="00FD1047"/>
    <w:pPr>
      <w:keepLines/>
      <w:spacing w:before="240" w:line="240" w:lineRule="atLeast"/>
      <w:ind w:hanging="547" w:left="547"/>
    </w:pPr>
    <w:rPr>
      <w:b/>
      <w:bCs/>
      <w:szCs w:val="24"/>
    </w:rPr>
  </w:style>
  <w:style w:styleId="Hyperlink" w:type="character">
    <w:name w:val="Hyperlink"/>
    <w:uiPriority w:val="99"/>
    <w:unhideWhenUsed/>
    <w:rsid w:val="00FE4621"/>
    <w:rPr>
      <w:color w:val="0000FF"/>
      <w:u w:val="single"/>
    </w:rPr>
  </w:style>
  <w:style w:styleId="TableofFigures" w:type="paragraph">
    <w:name w:val="table of figures"/>
    <w:basedOn w:val="TOC1"/>
    <w:next w:val="Normal"/>
    <w:uiPriority w:val="99"/>
    <w:rsid w:val="00D84BD0"/>
    <w:pPr>
      <w:keepNext w:val="0"/>
      <w:ind w:hanging="547" w:left="547"/>
    </w:pPr>
  </w:style>
  <w:style w:customStyle="1" w:styleId="Description" w:type="paragraph">
    <w:name w:val="Description"/>
    <w:basedOn w:val="figuredescription"/>
    <w:next w:val="Normal"/>
    <w:qFormat/>
    <w:rsid w:val="009C35DB"/>
  </w:style>
  <w:style w:styleId="Signature" w:type="paragraph">
    <w:name w:val="Signature"/>
    <w:basedOn w:val="Normal"/>
    <w:link w:val="SignatureChar"/>
    <w:rsid w:val="00AB6233"/>
    <w:pPr>
      <w:ind w:left="4252"/>
    </w:pPr>
  </w:style>
  <w:style w:customStyle="1" w:styleId="SignatureChar" w:type="character">
    <w:name w:val="Signature Char"/>
    <w:link w:val="Signature"/>
    <w:rsid w:val="00AB6233"/>
    <w:rPr>
      <w:sz w:val="24"/>
    </w:rPr>
  </w:style>
  <w:style w:styleId="BalloonText" w:type="paragraph">
    <w:name w:val="Balloon Text"/>
    <w:basedOn w:val="Normal"/>
    <w:link w:val="BalloonTextChar"/>
    <w:rsid w:val="00261192"/>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rsid w:val="00261192"/>
    <w:rPr>
      <w:rFonts w:ascii="Tahoma" w:cs="Tahoma" w:hAnsi="Tahoma"/>
      <w:sz w:val="16"/>
      <w:szCs w:val="16"/>
    </w:rPr>
  </w:style>
  <w:style w:customStyle="1" w:styleId="LEUFPFac" w:type="paragraph">
    <w:name w:val="LEU_FP_Fac"/>
    <w:rsid w:val="00261192"/>
    <w:pPr>
      <w:spacing w:before="60" w:line="280" w:lineRule="exact"/>
    </w:pPr>
    <w:rPr>
      <w:rFonts w:cs="Times New Roman"/>
      <w:caps/>
      <w:lang w:eastAsia="en-US"/>
    </w:rPr>
  </w:style>
  <w:style w:customStyle="1" w:styleId="LEUFPSchool" w:type="paragraph">
    <w:name w:val="LEU_FP_School"/>
    <w:next w:val="LEUFPFac"/>
    <w:rsid w:val="00261192"/>
    <w:pPr>
      <w:spacing w:line="400" w:lineRule="exact"/>
    </w:pPr>
    <w:rPr>
      <w:rFonts w:cs="Times New Roman"/>
      <w:b/>
      <w:sz w:val="36"/>
      <w:szCs w:val="36"/>
      <w:lang w:eastAsia="en-US"/>
    </w:rPr>
  </w:style>
  <w:style w:styleId="TableGrid" w:type="table">
    <w:name w:val="Table Grid"/>
    <w:basedOn w:val="TableNormal"/>
    <w:rsid w:val="00261192"/>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oterChar" w:type="character">
    <w:name w:val="Footer Char"/>
    <w:basedOn w:val="DefaultParagraphFont"/>
    <w:link w:val="Footer"/>
    <w:rsid w:val="00261192"/>
    <w:rPr>
      <w:sz w:val="24"/>
    </w:rPr>
  </w:style>
  <w:style w:styleId="TOCHeading" w:type="paragraph">
    <w:name w:val="TOC Heading"/>
    <w:basedOn w:val="Heading1"/>
    <w:next w:val="Normal"/>
    <w:uiPriority w:val="39"/>
    <w:semiHidden/>
    <w:unhideWhenUsed/>
    <w:qFormat/>
    <w:rsid w:val="00270EFA"/>
    <w:pPr>
      <w:pageBreakBefore w:val="0"/>
      <w:spacing w:after="0" w:before="480" w:line="276" w:lineRule="auto"/>
      <w:jc w:val="left"/>
      <w:outlineLvl w:val="9"/>
    </w:pPr>
    <w:rPr>
      <w:rFonts w:asciiTheme="majorHAnsi" w:cstheme="majorBidi" w:eastAsiaTheme="majorEastAsia" w:hAnsiTheme="majorHAnsi"/>
      <w:bCs/>
      <w:color w:themeColor="accent1" w:themeShade="BF" w:val="365F91"/>
      <w:szCs w:val="28"/>
      <w:lang w:eastAsia="ja-JP" w:val="en-US"/>
    </w:rPr>
  </w:style>
  <w:style w:styleId="NormalWeb" w:type="paragraph">
    <w:name w:val="Normal (Web)"/>
    <w:basedOn w:val="Normal"/>
    <w:uiPriority w:val="99"/>
    <w:unhideWhenUsed/>
    <w:rsid w:val="00FA2A7C"/>
    <w:pPr>
      <w:spacing w:after="100" w:afterAutospacing="1" w:before="100" w:beforeAutospacing="1" w:line="240" w:lineRule="auto"/>
    </w:pPr>
    <w:rPr>
      <w:rFonts w:ascii="Times New Roman" w:cs="Times New Roman" w:hAnsi="Times New Roman"/>
      <w:szCs w:val="24"/>
    </w:rPr>
  </w:style>
  <w:style w:styleId="Strong" w:type="character">
    <w:name w:val="Strong"/>
    <w:basedOn w:val="DefaultParagraphFont"/>
    <w:uiPriority w:val="22"/>
    <w:qFormat/>
    <w:rsid w:val="00FA2A7C"/>
    <w:rPr>
      <w:b/>
      <w:bCs/>
    </w:rPr>
  </w:style>
  <w:style w:styleId="Revision" w:type="paragraph">
    <w:name w:val="Revision"/>
    <w:hidden/>
    <w:uiPriority w:val="99"/>
    <w:semiHidden/>
    <w:rsid w:val="000841CC"/>
    <w:rPr>
      <w:sz w:val="24"/>
    </w:rPr>
  </w:style>
  <w:style w:customStyle="1" w:styleId="SourceCode" w:type="paragraph">
    <w:name w:val="Source Code"/>
    <w:basedOn w:val="Normal"/>
    <w:link w:val="VerbatimChar"/>
    <w:pPr>
      <w:wordWrap w:val="off"/>
      <w:spacing w:after="40" w:before="40" w:line="264" w:lineRule="auto"/>
    </w:pPr>
    <w:rPr>
      <w:rFonts w:ascii="Courier New" w:cs="Courier New" w:hAnsi="Courier New"/>
      <w:sz w:val="18"/>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2905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0" Type="http://schemas.openxmlformats.org/officeDocument/2006/relationships/numbering" Target="numbering.xml"/><Relationship Id="rId29" Type="http://schemas.openxmlformats.org/officeDocument/2006/relationships/styles" Target="styles.xml"/><Relationship Id="rId28" Type="http://schemas.openxmlformats.org/officeDocument/2006/relationships/settings" Target="settings.xml"/><Relationship Id="rId27" Type="http://schemas.openxmlformats.org/officeDocument/2006/relationships/webSettings" Target="webSettings.xml"/><Relationship Id="rId26" Type="http://schemas.openxmlformats.org/officeDocument/2006/relationships/fontTable" Target="fontTable.xml"/><Relationship Id="rId25" Type="http://schemas.openxmlformats.org/officeDocument/2006/relationships/theme" Target="theme/theme1.xml"/><Relationship Id="rId24" Type="http://schemas.openxmlformats.org/officeDocument/2006/relationships/footnotes" Target="footnotes.xml"/><Relationship Id="rId23" Type="http://schemas.openxmlformats.org/officeDocument/2006/relationships/comments" Target="comments.xml"/><Relationship Id="rId8" Type="http://schemas.openxmlformats.org/officeDocument/2006/relationships/image" Target="media/image1.jpeg"/><Relationship Id="rId12" Type="http://schemas.openxmlformats.org/officeDocument/2006/relationships/header" Target="header2.xml"/><Relationship Id="rId10" Type="http://schemas.openxmlformats.org/officeDocument/2006/relationships/image" Target="media/image2.wmf"/><Relationship Id="rId9" Type="http://schemas.openxmlformats.org/officeDocument/2006/relationships/header" Target="header1.xml"/><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png"/><Relationship Id="rId4" Type="http://schemas.openxmlformats.org/officeDocument/2006/relationships/image" Target="media/image6.png"/><Relationship Id="rId5" Type="http://schemas.openxmlformats.org/officeDocument/2006/relationships/image" Target="media/image7.png"/><Relationship Id="rId6" Type="http://schemas.openxmlformats.org/officeDocument/2006/relationships/image" Target="media/image8.png"/><Relationship Id="rId7" Type="http://schemas.openxmlformats.org/officeDocument/2006/relationships/image" Target="media/image9.png"/><Relationship Id="rId11"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98" Type="http://schemas.openxmlformats.org/officeDocument/2006/relationships/hyperlink" Target="https://github.com/NathS04/policy_copilot_submission.git" TargetMode="External"/></Relationships>
</file>

<file path=word/_rels/footnotes.xml.rels><?xml version='1.0' encoding='UTF-8' standalone='yes'?>
<Relationships xmlns="http://schemas.openxmlformats.org/package/2006/relationships"><Relationship Id="rId98" Type="http://schemas.openxmlformats.org/officeDocument/2006/relationships/hyperlink" Target="https://github.com/NathS04/policy_copilot_submission.gi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M:\FYProj-admin\14-15\thesisLeedsFeb20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thesisLeedsFeb2010</Template>
  <TotalTime>101</TotalTime>
  <Pages>12</Pages>
  <Words>1108</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Leeds Thesis Template</vt:lpstr>
    </vt:vector>
  </TitlesOfParts>
  <Company>University of Leeds</Company>
  <LinksUpToDate>false</LinksUpToDate>
  <CharactersWithSpaces>7416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2026-05-13T11:52:06Z</dcterms:created>
  <dcterms:modified xsi:type="dcterms:W3CDTF">2026-05-13T11:52:06Z</dcterms:modified>
</cp:coreProperties>
</file>

<file path=docProps/custom.xml><?xml version="1.0" encoding="utf-8"?>
<Properties xmlns="http://schemas.openxmlformats.org/officeDocument/2006/custom-properties" xmlns:vt="http://schemas.openxmlformats.org/officeDocument/2006/docPropsVTypes"/>
</file>