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t xml:space="preserve">School of Computer Science</w:t>
      </w:r>
    </w:p>
    <w:p>
      <w:pPr>
        <w:jc w:val="center"/>
      </w:pPr>
      <w:r>
        <w:t xml:space="preserve">FACULTY OF ENGINEERING AND PHYSICAL SCIENCES</w:t>
      </w:r>
    </w:p>
    <w:p>
      <w:pPr>
        <w:jc w:val="center"/>
      </w:pPr>
    </w:p>
    <w:p>
      <w:pPr>
        <w:jc w:val="center"/>
      </w:pPr>
      <w: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t xml:space="preserve">Nathaniel Sebastian</w:t>
      </w:r>
    </w:p>
    <w:p>
      <w:pPr>
        <w:jc w:val="center"/>
      </w:pPr>
      <w:r>
        <w:t xml:space="preserve">Student ID: 201715051</w:t>
      </w:r>
    </w:p>
    <w:p>
      <w:pPr>
        <w:jc w:val="center"/>
      </w:pPr>
    </w:p>
    <w:p>
      <w:pPr>
        <w:jc w:val="center"/>
      </w:pPr>
      <w:r>
        <w:t xml:space="preserve">Submitted in accordance with the requirements for the degree of</w:t>
      </w:r>
      <w:r>
        <w:br/>
      </w:r>
      <w:r>
        <w:t xml:space="preserve">BSc (Hons) Computer Science</w:t>
      </w:r>
    </w:p>
    <w:p>
      <w:pPr>
        <w:jc w:val="center"/>
      </w:pPr>
    </w:p>
    <w:p>
      <w:pPr>
        <w:jc w:val="center"/>
      </w:pPr>
      <w:r>
        <w:t xml:space="preserve">2025/26</w:t>
      </w:r>
    </w:p>
    <w:p>
      <w:pPr>
        <w:jc w:val="center"/>
      </w:pPr>
    </w:p>
    <w:p>
      <w:pPr>
        <w:jc w:val="center"/>
      </w:pPr>
      <w:r>
        <w:t xml:space="preserve">COMP3931 Individual Project</w:t>
      </w:r>
    </w:p>
    <w:p>
      <w:pPr>
        <w:jc w:val="center"/>
      </w:pPr>
      <w:r>
        <w:t xml:space="preserve"> </w:t>
      </w:r>
    </w:p>
    <w:p>
      <w:pPr>
        <w:jc w:val="center"/>
      </w:pPr>
      <w:r>
        <w:t xml:space="preserve">© 2026 The University of Leeds and Nathaniel Sebastian</w:t>
      </w:r>
    </w:p>
    <w:bookmarkEnd w:id="31"/>
    <w:bookmarkEnd w:id="32"/>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final submission point,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bl>
    <w:p>
      <w:pPr>
        <w:jc w:val="center"/>
      </w:pPr>
      <w:r>
        <w:t xml:space="preserve">The main chapters (Chapters 1 to 5) are presented before the references and appendices; preliminary pages, references, and appendices are excluded from the main report body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 Nathaniel Sebastian ………………………………………………</w:t>
      </w:r>
    </w:p>
    <w:p>
      <w:pPr>
        <w:jc w:val="both"/>
      </w:pPr>
      <w:r>
        <w:t xml:space="preserve">(Date) 13 May 2026 …………………………………………………</w:t>
      </w:r>
    </w:p>
    <w:bookmarkEnd w:id="34"/>
    <w:bookmarkStart w:id="35" w:name="summary"/>
    <w:p>
      <w:pPr>
        <w:pStyle w:val="Heading1"/>
        <w:pageBreakBefore/>
      </w:pPr>
      <w:r>
        <w:t xml:space="preserve">Summary</w:t>
      </w:r>
    </w:p>
    <w:p>
      <w:pPr>
        <w:jc w:val="both"/>
      </w:pPr>
      <w:r>
        <w:t xml:space="preserve">Policy Copilot is a conservative question-answering system over organisational policy documents. It answers only when the supporting evidence is strong enough to cite, and abstains otherwise. The contribution is a reproducible reliability stack wrapped around standard Retrieval-Augmented Generation — reranking, abstention, deterministic per-claim verification, contradiction surfacing, and audit export — used to characterise the safety–coverage operating frontier of a strict</w:t>
      </w:r>
      <w:r>
        <w:t xml:space="preserve"> </w:t>
      </w:r>
      <w:r>
        <w:t xml:space="preserve">“cited or silent”</w:t>
      </w:r>
      <w:r>
        <w:t xml:space="preserve"> </w:t>
      </w:r>
      <w:r>
        <w:t xml:space="preserve">system.</w:t>
      </w:r>
    </w:p>
    <w:p>
      <w:pPr>
        <w:jc w:val="both"/>
      </w:pPr>
      <w:r>
        <w:t xml:space="preserve">The setting matters because in a compliance context, a confident hallucinated answer cannot be audited backwards to a source paragraph, so traceability has to be designed in rather than bolted on. The pipeline adds five reliability layers to standard RAG: cross-encoder reranking that feeds the abstention gate, deterministic refusal before any LLM call, per-claim citation verification by token overlap (reproducible without a second LLM), contradiction surfacing across documents, and an extractive fallback when the LLM is unavailable.</w:t>
      </w:r>
    </w:p>
    <w:p>
      <w:pPr>
        <w:jc w:val="both"/>
      </w:pPr>
      <w:r>
        <w:t xml:space="preserve">The system was evaluated on a 63-query synthetic golden set. A label-audit pass (Appendix B.7.5) reclassified four queries previously labelled</w:t>
      </w:r>
      <w:r>
        <w:t xml:space="preserve"> </w:t>
      </w:r>
      <w:r>
        <w:rPr>
          <w:rStyle w:val="VerbatimChar"/>
        </w:rPr>
        <w:t xml:space="preserve">unanswerable</w:t>
      </w:r>
      <w:r>
        <w:t xml:space="preserve"> </w:t>
      </w:r>
      <w:r>
        <w:t xml:space="preserve">whose answer is in fact in the corpus; the corrected set has 40 answerable / 13 unanswerable / 10 contradiction. On this corrected set B3-Generative reports 0% surfaced response-level ungrounded answers after enforcement (4% residual claim-level rate before enforcement) and 100% abstention accuracy across the 13 unanswerable queries, but only 25% Answer Rate.</w:t>
      </w:r>
    </w:p>
    <w:p>
      <w:pPr>
        <w:jc w:val="both"/>
      </w:pPr>
      <w:r>
        <w:t xml:space="preserve">Two further configurations widen coverage without weakening safety. B4 Conservative Hybrid Mode returns the generative answer when the support gate passes, falls back to an extractive paragraph when retrieval is strong, and abstains otherwise: 50% Answer Rate, 100% Abstention Accuracy, 0% surfaced Ungrounded Rate. B5 Evidence-Gated Hybrid is the final headline mode — a deterministic, LLM-free answerability gate over B3-Extractive Hybrid, tuned on the dev split only — reaching 90.0% Answer Rate, 84.6% Abstention Accuracy, 100% Citation Precision and 0% surfaced Ungrounded Rate. B3-Extractive on the hybrid backend (dense FAISS + BM25 via RRF) reaches 92.5% Answer Rate with 78% Evidence Recall@5 and 100% Citation Precision. The heuristic Critic Mode reaches 93.3% / 95.2% / 93.8% macro P/R/F1 on the 50-snippet labelled suite, above the 85% target.</w:t>
      </w:r>
    </w:p>
    <w:p>
      <w:pPr>
        <w:jc w:val="both"/>
      </w:pPr>
      <w:r>
        <w:t xml:space="preserve">Overall, the project supports a narrow but useful conclusion: audit-friendly policy QA is achievable on modest hardware, but only when coverage, abstention and citation precision are treated as an explicit operating trade-off rather than as independent leaderboard scores.</w: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27</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and-reflection">
        <w:r>
          <w:rPr>
            <w:rFonts w:ascii="Times New Roman" w:hAnsi="Times New Roman" w:cs="Times New Roman"/>
            <w:sz w:val="22"/>
            <w:color w:val="000000"/>
            <w:u w:val="none"/>
          </w:rPr>
          <w:t xml:space="preserve">5.3 Future Work and Reflection</w:t>
        </w:r>
      </w:hyperlink>
      <w:r>
        <w:rPr>
          <w:rFonts w:ascii="Times New Roman" w:hAnsi="Times New Roman" w:cs="Times New Roman"/>
          <w:sz w:val="22"/>
          <w:color w:val="000000"/>
          <w:u w:val="none"/>
        </w:rPr>
        <w:tab/>
        <w:t xml:space="preserve">29</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43</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45</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51</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56</w:t>
      </w:r>
    </w:p>
    <w:p>
      <w:pPr>
        <w:spacing w:line="288" w:lineRule="auto" w:before="0" w:after="40"/>
        <w:ind w:left="640"/>
        <w:jc w:val="both"/>
        <w:tabs>
          <w:tab w:val="right" w:leader="dot" w:pos="8060"/>
        </w:tabs>
      </w:pPr>
      <w:hyperlink w:anchor="X5532cf3a175e2089dfac91e42eccb777b60a359">
        <w:r>
          <w:rPr>
            <w:rFonts w:ascii="Times New Roman" w:hAnsi="Times New Roman" w:cs="Times New Roman"/>
            <w:sz w:val="22"/>
            <w:color w:val="000000"/>
            <w:u w:val="none"/>
          </w:rPr>
          <w:t xml:space="preserve">B.12 Adversarial and Audit Export Evidence (referenced from L5 and §4.4)</w:t>
        </w:r>
      </w:hyperlink>
      <w:r>
        <w:rPr>
          <w:rFonts w:ascii="Times New Roman" w:hAnsi="Times New Roman" w:cs="Times New Roman"/>
          <w:sz w:val="22"/>
          <w:color w:val="000000"/>
          <w:u w:val="none"/>
        </w:rPr>
        <w:tab/>
        <w:t xml:space="preserve">57</w:t>
      </w:r>
    </w:p>
    <w:p>
      <w:pPr>
        <w:spacing w:line="288" w:lineRule="auto" w:before="0" w:after="40"/>
        <w:ind w:left="640"/>
        <w:jc w:val="both"/>
        <w:tabs>
          <w:tab w:val="right" w:leader="dot" w:pos="8060"/>
        </w:tabs>
      </w:pPr>
      <w:hyperlink w:anchor="Xfa64450973ec02010b41142dcebae655aafd61a">
        <w:r>
          <w:rPr>
            <w:rFonts w:ascii="Times New Roman" w:hAnsi="Times New Roman" w:cs="Times New Roman"/>
            <w:sz w:val="22"/>
            <w:color w:val="000000"/>
            <w:u w:val="none"/>
          </w:rPr>
          <w:t xml:space="preserve">B.13 Threats to Validity Summary (referenced from §5.2)</w:t>
        </w:r>
      </w:hyperlink>
      <w:r>
        <w:rPr>
          <w:rFonts w:ascii="Times New Roman" w:hAnsi="Times New Roman" w:cs="Times New Roman"/>
          <w:sz w:val="22"/>
          <w:color w:val="000000"/>
          <w:u w:val="none"/>
        </w:rPr>
        <w:tab/>
        <w:t xml:space="preserve">59</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Groundedness metrics: ungrounded rate and citation precision</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Operating curve: support-rate threshold sweep for B3-Generative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4">
        <w:r>
          <w:rPr>
            <w:rFonts w:ascii="Times New Roman" w:hAnsi="Times New Roman" w:cs="Times New Roman"/>
            <w:sz w:val="22"/>
            <w:color w:val="000000"/>
            <w:u w:val="none"/>
          </w:rPr>
          <w:t xml:space="preserve">Figure B.4 BM25-fallback support-rate retuning: operating points under safety constraints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fig-b-5">
        <w:r>
          <w:rPr>
            <w:rFonts w:ascii="Times New Roman" w:hAnsi="Times New Roman" w:cs="Times New Roman"/>
            <w:sz w:val="22"/>
            <w:color w:val="000000"/>
            <w:u w:val="none"/>
          </w:rPr>
          <w:t xml:space="preserve">Figure B.5 Baseline comparison on the corrected v2 golden set with the hybrid backend</w:t>
        </w:r>
      </w:hyperlink>
      <w:r>
        <w:rPr>
          <w:rFonts w:ascii="Times New Roman" w:hAnsi="Times New Roman" w:cs="Times New Roman"/>
          <w:sz w:val="22"/>
          <w:color w:val="000000"/>
          <w:u w:val="none"/>
        </w:rPr>
        <w:tab/>
        <w:t xml:space="preserve">49</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Retrieval metrics under BM25 fallback and hybrid backend</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Ablation evidence with final Policy Copilot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Supplementary extractive-only transfer comparison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Representative testing and validation matrix</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54</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57</w:t>
      </w:r>
    </w:p>
    <w:p>
      <w:pPr>
        <w:spacing w:line="288" w:lineRule="auto" w:before="0" w:after="40"/>
        <w:ind w:left="280"/>
        <w:jc w:val="both"/>
        <w:tabs>
          <w:tab w:val="right" w:leader="dot" w:pos="8420"/>
        </w:tabs>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58</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7">
        <w:r>
          <w:rPr>
            <w:rFonts w:ascii="Times New Roman" w:hAnsi="Times New Roman" w:cs="Times New Roman"/>
            <w:sz w:val="22"/>
            <w:color w:val="000000"/>
            <w:u w:val="none"/>
          </w:rPr>
          <w:t xml:space="preserve">Table B.7 Threats to validity summary</w:t>
        </w:r>
      </w:hyperlink>
      <w:r>
        <w:rPr>
          <w:rFonts w:ascii="Times New Roman" w:hAnsi="Times New Roman" w:cs="Times New Roman"/>
          <w:sz w:val="22"/>
          <w:color w:val="000000"/>
          <w:u w:val="none"/>
        </w:rPr>
        <w:tab/>
        <w:t xml:space="preserve">59</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w:t>
      </w:r>
    </w:p>
    <w:p>
      <w:pPr>
        <w:jc w:val="both"/>
      </w:pPr>
      <w:r>
        <w:t xml:space="preserve">This project tests the following hypothesis: under a strict cited-or-silent rule on a closed policy corpus, deterministic citation verification and abstention gating can reduce response-level unsupported surfaced answers to at most 5%, but only by moving the system along a measurable safety–coverage frontier. The central question is therefore not whether the system can answer every policy query, but where a defensible operating point lies between coverage, abstention accuracy, and groundedness.</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t xml:space="preserve">The objectives are to build a multi-stage RAG pipeline with paragraph-level citations, implement deterministic abstention for weak evidence, improve retrieval through reranking, surface contradictions between policy documents, develop a heuristic Critic Mode for vague or problematic policy language, and evaluate the resulting safety–coverage trade-off through a curated golden set, threshold sweep, ablations, and generative versus extractive comparisons. The measurable targets for these objectives are defined in Chapter 2 and are revisited honestly in §4.13, including where the conservative operating point fails to meet the original coverage target.</w:t>
      </w:r>
    </w:p>
    <w:bookmarkEnd w:id="41"/>
    <w:bookmarkStart w:id="42" w:name="systematic-search-strategy"/>
    <w:p>
      <w:pPr>
        <w:pStyle w:val="Heading2"/>
      </w:pPr>
      <w:r>
        <w:t xml:space="preserve">1.3 Systematic Search Strategy</w:t>
      </w:r>
    </w:p>
    <w:p>
      <w:pPr>
        <w:jc w:val="both"/>
      </w:pPr>
      <w:r>
        <w:t xml:space="preserve">A structured literature search was conducted between November 2025 and January 2026 across Google Scholar, ACM Digital Library, IEEE Xplore, and arXiv, guided by the PRISMA 2020 framework (Page et al., 2021). The search terms were grouped around four areas: RAG and grounded generation, reliability and abstention, policy/legal NLP, and evaluation of faithfulness or citation quality.</w:t>
      </w:r>
    </w:p>
    <w:p>
      <w:pPr>
        <w:jc w:val="both"/>
      </w:pPr>
      <w: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t xml:space="preserve">PRISMA flow: 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matrix catalogues 105 sources in total: the 38 core papers plus 67 additional sources from backward / forward citation chaining, standards, and contextual references. The matrix is included in the submitted evidence pack and supports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typically realised via dense passage retrieval (Karpukhin et al., 2020) and FAISS-style nearest-neighbour search (Johnson, Douze and Jégou, 2021). The architecture provides, in principle, a traceable link between answer and source, but the link is fragile in practice: models frequently ignore retrieved context when it conflicts with parametric beliefs (Gao et al., 2023, the</w:t>
      </w:r>
      <w:r>
        <w:t xml:space="preserve"> </w:t>
      </w:r>
      <w:r>
        <w:t xml:space="preserve">“faithfulness gap”</w:t>
      </w:r>
      <w:r>
        <w:t xml:space="preserve">), and injected noise can paradoxically improve answer quality (Cuconasu et al., 2024). RAG therefore provides the architectural skeleton but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Hallucination is the primary barrier to deploying generative models in high-stakes settings: Ji et al. (2023) distinguish intrinsic from extrinsic forms, and Huang et al. (2023) note that scale amplifies the problem because larger models hallucinate more fluently. Mitigation falls into three families. Training-based attribution (Bohnet et al., 2022) generates inline citations but at the cost of supervised data and</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separate citation correctness from citation faithfulness, a distinction that matters for audit. Post-hoc editing (Gao et al., 2023, RARR) revises unsupported claims via additional LLM passes, with its own cost and hallucination risk. The risk that automatic evaluation itself becomes circular when judge and generator share architecture is documented in two complementary ways: Zheng et al. (2023) identify systematic position, verbosity, and self-enhancement biases in LLM judges generally, while Yue et al. (2023) examine related issues in citation-attribution evaluation specifically. Self-reflective generation (Asai et al., 2024, Self-RAG) is architecture-specific and brittle. None of these paradigms satisfies the requirements of a deterministic, auditable compliance tool; the approach taken here is a lightweight, deterministic verification layer applied after generation, evaluated in §4.4 and revisited as a limitation in §5.2.</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bounds RAG quality: if the correct paragraph is not retrieved, no generation step can recover, and Barnett et al. (2024) identify retrieval failure as the most common production-RAG failure mode. Bi-encoders give fast nearest-neighbour search; cross-encoders (Nogueira and Cho, 2019) trade latency for precision, and Lin et al. (2021) confirm they consistently outperform bi-encoders on precision-critical tasks. The standard resolution, adopted here, is two-stage retrieve-and-rerank: bi-encoder retrieval, then cross-encoder reranking over a small candidate set (Nogueira and Cho, 2019; Lin et al., 2021). For closed corpora under 2,000 paragraphs the cross-encoder cost is bounded. ColBERT’s late-interaction approach (Khattab and Zaharia, 2020) reaches near-cross-encoder precision at bi-encoder speed, but materialising token-level embeddings is overhead not justified for a stable policy corpus.</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 intra-corpus contradiction,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 Selective prediction 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Automatic RAG evaluation has converged on a small family of metrics. RAGAS (Es et al., 2024) decomposes evaluation into Faithfulness, Answer Relevance, and Context Relevance, each scored by LLM judges; ARES (Saad-Falcon et al., 2023) adds confidence intervals. Zheng et al. (2023) document three systematic biases in LLM-as-Judge — position, verbosity, and self-enhancement — that are particularly risky when judge and generator share architecture. RAGE (Penzkofer and Baumann, 2024) defines Citation-Precision and Citation-Recall, which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places Policy Copilot alongside the main retrieval-augmented and grounded-generation systems on five dimensions: domain, grounding mechanism, abstention handling, key limitation, and relevance. Two patterns emerge. Most systems target open-domain corpora and prioritise answering even when answers are sometimes wrong (Standard RAG, DPR, FreshLLMs); the systems that</w:t>
      </w:r>
      <w:r>
        <w:t xml:space="preserve"> </w:t>
      </w:r>
      <w:r>
        <w:rPr>
          <w:i/>
          <w:iCs/>
        </w:rPr>
        <w:t xml:space="preserve">do</w:t>
      </w:r>
      <w:r>
        <w:t xml:space="preserve"> </w:t>
      </w:r>
      <w:r>
        <w:t xml:space="preserve">refuse when evidence is weak (Self-RAG, ASPIRE) decide refusal via a learned model that is expensive to retrain for a new corpus. What is missing is a rule-based, refusal-by-default configuration over a small closed corpus — the configuration this project targets, pairing deterministic Jaccard token overlap with cross-encoder confidence gating and per-claim pruning.</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2023),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structured documents generally (Qu, Bao and Tu, 2024), and policies, being heading-and-section based, fall within that structured-document family.</w:t>
      </w:r>
    </w:p>
    <w:p>
      <w:pPr>
        <w:jc w:val="both"/>
      </w:pPr>
      <w:r>
        <w:t xml:space="preserve">Taken together these observations point to a less-explored research problem: how a closed-domain RAG system behaves when refusal is not an exception but part of the system contract. Existing work motivates individual components — retrieval, reranking, attribution, abstention, and evaluation — but the literature reviewed did not provide an empirical account of the safety–coverage operating frontier created by combining deterministic verification with refusal-by-default policy QA on a bounded organisational corpus. Policy Copilot is built to study that frontier. It abstains before generation when reranker confidence is too low, removes generated claims whose citations fail token-overlap or numeric checks, and exposes the resulting trade-off through a threshold sweep rather than only a single headline score.</w:t>
      </w:r>
    </w:p>
    <w:p>
      <w:pPr>
        <w:jc w:val="both"/>
      </w:pPr>
      <w:r>
        <w:t xml:space="preserve">The contribution is therefore not RAG itself, nor a new evaluation framework in the LangSmith or RAGAS sense. It is the end-to-end system design and empirical characterisation of a strict</w:t>
      </w:r>
      <w:r>
        <w:t xml:space="preserve"> </w:t>
      </w:r>
      <w:r>
        <w:t xml:space="preserve">“cited or silent”</w:t>
      </w:r>
      <w:r>
        <w:t xml:space="preserve"> </w:t>
      </w:r>
      <w:r>
        <w:t xml:space="preserve">operating regime for policy QA, including the cost: stronger surfaced grounding is bought with measurably lower answer coverage.</w: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lightweight sprint structure adapted for a single-developer research project. Across Weeks 1 to 22, each sprint focused on one part of the architecture:</w:t>
      </w:r>
    </w:p>
    <w:p>
      <w:pPr>
        <w:numPr>
          <w:ilvl w:val="0"/>
          <w:numId w:val="1011"/>
        </w:numPr>
        <w:jc w:val="both"/>
      </w:pPr>
      <w:r>
        <w:t xml:space="preserve">Sprint 1, Corpus Engineering (Weeks 1 to 3): the five synthetic policy documents itemised in §3.2 (Internal Policy Handbook, IT Security Addendum, HR Procedures Manual, Business Continuity Plan, DPIA Guide), the PDF ingestion pipeline, and the stable identifier scheme.</w:t>
      </w:r>
    </w:p>
    <w:p>
      <w:pPr>
        <w:numPr>
          <w:ilvl w:val="0"/>
          <w:numId w:val="1011"/>
        </w:numPr>
        <w:jc w:val="both"/>
      </w:pPr>
      <w:r>
        <w:t xml:space="preserve">Sprint 2, Retrieval Pipeline (Weeks 4 to 6): FAISS-backed dense retrieval using Sentence-Transformers. Deliverable: a functional retriever returning top-k candidates.</w:t>
      </w:r>
    </w:p>
    <w:p>
      <w:pPr>
        <w:numPr>
          <w:ilvl w:val="0"/>
          <w:numId w:val="1011"/>
        </w:numPr>
        <w:jc w:val="both"/>
      </w:pPr>
      <w:r>
        <w:t xml:space="preserve">Sprint 3, Generative Pipeline (Weeks 7 to 9): LLM integration (OpenAI API) with Pydantic-enforced JSON schema. Deliverable: B2 (Naive RAG) baseline.</w:t>
      </w:r>
    </w:p>
    <w:p>
      <w:pPr>
        <w:numPr>
          <w:ilvl w:val="0"/>
          <w:numId w:val="1011"/>
        </w:numPr>
        <w:jc w:val="both"/>
      </w:pPr>
      <w:r>
        <w:t xml:space="preserve">Sprint 4, Reliability Layers (Weeks 10 to 14): cross-encoder reranking, abstention gate, per-claim verification, contradiction detection. This sprint produced the core B3 system.</w:t>
      </w:r>
    </w:p>
    <w:p>
      <w:pPr>
        <w:numPr>
          <w:ilvl w:val="0"/>
          <w:numId w:val="1011"/>
        </w:numPr>
        <w:jc w:val="both"/>
      </w:pPr>
      <w:r>
        <w:t xml:space="preserve">Sprint 5, Critic Mode (Weeks 15 to 17): heuristic policy auditor for vague quantifiers, implicit contradictions, and ambiguous directives.</w:t>
      </w:r>
    </w:p>
    <w:p>
      <w:pPr>
        <w:numPr>
          <w:ilvl w:val="0"/>
          <w:numId w:val="1011"/>
        </w:numPr>
        <w:jc w:val="both"/>
      </w:pPr>
      <w:r>
        <w:t xml:space="preserve">Sprint 6, Evaluation Harness (Weeks 18 to 22): 63-query golden set, extractive fallback mode, all baselines and ablations, and the results that feed Chapter 4.</w:t>
      </w:r>
    </w:p>
    <w:p>
      <w:pPr>
        <w:spacing w:before="40" w:after="0"/>
        <w:jc w:val="center"/>
      </w:pPr>
      <w:r>
        <w:drawing>
          <wp:inline>
            <wp:extent cx="5303520" cy="2250298"/>
            <wp:docPr id="3" name="Picture 3"/>
            <wp:cNvGraphicFramePr>
              <a:graphicFrameLocks noChangeAspect="1"/>
            </wp:cNvGraphicFramePr>
            <a:graphic>
              <a:graphicData uri="http://schemas.openxmlformats.org/drawingml/2006/picture">
                <pic:pic>
                  <pic:nvPicPr>
                    <pic:cNvPr id="0" name="fig_gantt.png"/>
                    <pic:cNvPicPr/>
                  </pic:nvPicPr>
                  <pic:blipFill>
                    <a:blip r:embed="rId13"/>
                    <a:stretch>
                      <a:fillRect/>
                    </a:stretch>
                  </pic:blipFill>
                  <pic:spPr>
                    <a:xfrm>
                      <a:off x="0" y="0"/>
                      <a:ext cx="5303520" cy="2250298"/>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pre-submission period in April and May 2026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Each requirement was formulated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Generated claims cite paragraph-level evidence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refuses when evidence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Verification removes unsupported generated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LLM-free mode returns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policy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flags vague or problematic policy wording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Single-query response time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Offline-safe outputs are deterministic and retained run artefacts are verifiable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Documented evaluator path reproduces offline-safe outputs and verifies retained run artefacts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Latency was accepted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 Retrieve-and-Rerank-then-Generate-and-Verify 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 pipeline has six stages, each implemented as a separate module. Ingestion turns PDFs into paragraph chunks and assigns stable identifiers so citations remain traceable after re-ingestion. Retrieval finds candidate passages, reranking rescores them with a cross-encoder, and the abstention gate blocks weak-evidence queries before generation. In Generative Mode, the top reranked paragraphs are sent to the LLM under a strict JSON schema. In Extractive Mode, the LLM is bypassed and the top evidence paragraph is returned directly. The final verification stage checks generated claims against cited evidence, removes unsupported claims, and downgrades the response to abstention if nothing sufficiently supported remains.</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are stated explicitly where this applies.</w:t>
      </w:r>
    </w:p>
    <w:p>
      <w:pPr>
        <w:jc w:val="both"/>
      </w:pPr>
      <w:r>
        <w:t xml:space="preserve">Decision 1: RAG vs. long-context injection. Adopted: RAG with 5-paragraph context. Rejected alternative: injecting the entire ~25,000-token corpus into a long-context model (Claude 3, GPT-4 Turbo). The long-context option was rejected for three reasons. Liu et al. (2024)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t xml:space="preserve">Decision 2: Dense + cross-encoder reranking vs. BM25. Adopted: two-stage bi-encoder + cross-encoder. Rejected: 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provides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t xml:space="preserve">Decision 3: Heuristic verification vs. LLM-based verification. Adopted: Jaccard token overlap + numeric consistency, post-generation. Rejected: LLM-as-judge for verification. Zheng et al. (2023)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§4.4, where the verification ceiling is evaluated, and in §5.2, where L3 records the heuristic verification ceiling as a threat to validity.</w:t>
      </w:r>
    </w:p>
    <w:p>
      <w:pPr>
        <w:jc w:val="both"/>
      </w:pPr>
      <w:r>
        <w:t xml:space="preserve">Decision 4: Paragraph-level fixed chunking vs. semantic chunking. Adopted: structural paragraph-level chunking. Rejected: 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t xml:space="preserve">Decision 5: Pydantic schema enforcement vs. free-text parsing. Adopted: strict JSON schema via Pydantic with repair-and-retry. Rejected: 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in the evidence pack documents 10 failure modes (hallucination, citation fabrication, contradiction suppression, abstention failure, stale corpus, adversarial prompts, backend fallback, automation bias, privacy, environmental cost) with detection methods,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covers evidence relevance, citation faithfulness, abstention correctness, contradiction correctness, and failure-mode attribution. Each axis maps to a quantitative metric, and both the rubric and scores are included in the evidence pack.</w:t>
      </w:r>
    </w:p>
    <w:p>
      <w:pPr>
        <w:jc w:val="both"/>
      </w:pPr>
      <w:r>
        <w:t xml:space="preserve">Baseline ladder. The evaluation compares three progressive system configurations, each adding one layer of reliability discipline: a</w:t>
      </w:r>
      <w:r>
        <w:t xml:space="preserve"> </w:t>
      </w:r>
      <w:r>
        <w:rPr>
          <w:i/>
          <w:iCs/>
        </w:rPr>
        <w:t xml:space="preserve">prompt-only</w:t>
      </w:r>
      <w:r>
        <w:t xml:space="preserve"> </w:t>
      </w:r>
      <w:r>
        <w:t xml:space="preserve">generator with no retrieval;</w:t>
      </w:r>
      <w:r>
        <w:t xml:space="preserve"> </w:t>
      </w:r>
      <w:r>
        <w:rPr>
          <w:i/>
          <w:iCs/>
        </w:rPr>
        <w:t xml:space="preserve">naive RAG</w:t>
      </w:r>
      <w:r>
        <w:t xml:space="preserve"> </w:t>
      </w:r>
      <w:r>
        <w:t xml:space="preserve">with bi-encoder retrieval and an LLM, but no reranking, verification, or abstention; and the full</w:t>
      </w:r>
      <w:r>
        <w:t xml:space="preserve"> </w:t>
      </w:r>
      <w:r>
        <w:rPr>
          <w:i/>
          <w:iCs/>
        </w:rPr>
        <w:t xml:space="preserve">Policy Copilot</w:t>
      </w:r>
      <w:r>
        <w:t xml:space="preserve"> </w:t>
      </w:r>
      <w:r>
        <w:t xml:space="preserve">pipeline in both Generative and Extractive configurations. These are labelled B1, B2 and B3 in the tables that follow. The ladder isolates contributions cleanly: B1 → B2 measures retrieval; B2 → B3 measures reranking, verification, and abstention together; the §4.6 ablations then disable individual B3 components.</w:t>
      </w:r>
    </w:p>
    <w:p>
      <w:pPr>
        <w:jc w:val="both"/>
      </w:pPr>
      <w:r>
        <w:t xml:space="preserve">Metrics. 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t xml:space="preserve">Reproducible pipeline. Evaluation outputs are stored as JSONL, CSV, and summary JSON artefacts. The documented evaluator path reproduces the offline-safe outputs and verifies the retained run artefacts, while API-dependent generative runs are preserved with their run configurations and provenance metadata.</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After a post-hoc label audit (Appendix B.7.5), the corrected v2 set has 40 answerable, 13 unanswerable, and 10 contradiction queries; q_004 (BYOD), q_014 (notice period), q_016 (grievance), and q_062 (sabbatical) were reclassified from</w:t>
      </w:r>
      <w:r>
        <w:t xml:space="preserve"> </w:t>
      </w:r>
      <w:r>
        <w:rPr>
          <w:rStyle w:val="VerbatimChar"/>
        </w:rPr>
        <w:t xml:space="preserve">unanswerable</w:t>
      </w:r>
      <w:r>
        <w:t xml:space="preserve"> </w:t>
      </w:r>
      <w:r>
        <w:t xml:space="preserve">to</w:t>
      </w:r>
      <w:r>
        <w:t xml:space="preserve"> </w:t>
      </w:r>
      <w:r>
        <w:rPr>
          <w:rStyle w:val="VerbatimChar"/>
        </w:rPr>
        <w:t xml:space="preserve">answerable</w:t>
      </w:r>
      <w:r>
        <w:t xml:space="preserve"> </w:t>
      </w:r>
      <w:r>
        <w:t xml:space="preserve">because the corpus does in fact answer them. Contradiction queries trigger genuine conflicts (90-day vs 60-day password rotation, 8-vs-12-character minimum password length) and test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t xml:space="preserve">An off-the-shelf orchestration framework would have shortened development time but constrained the project’s central requirement: visibility into every reliability decision. LangChain and LlamaIndex were considered during Sprint 1 and rejected on those grounds — their abstractions obscured pipeline internals (in particular the reranker score needed for the abstention gate) and intercepting individual claims for verification proved difficult. Implementing the pipeline directly cost more development effort but produced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consists of five synthetic policy documents created for this project — Internal Policy Handbook (74 paragraphs), IT Security Addendum (39), HR Procedures Manual (25), Business Continuity Plan (23), and DPIA Guide (15) — totalling 176 paragraphs across 53 PDF pages, with document identifiers and SHA-256 hashes recorded in</w:t>
      </w:r>
      <w:r>
        <w:t xml:space="preserve"> </w:t>
      </w:r>
      <w:r>
        <w:rPr>
          <w:rStyle w:val="VerbatimChar"/>
        </w:rPr>
        <w:t xml:space="preserve">data/corpus/manifests/corpus_manifest.csv</w:t>
      </w:r>
      <w:r>
        <w:t xml:space="preserve">. Together they cover remote work, leave, password rules and rotation, incident response, business-continuity testing, HR procedure, and data-protection impact assessment. Synthetic documents were used because real organisational policies are usually confidential and could not be redistributed in a reproducible submission package. This also allowed specific evaluation cases to be built into the corpus, including deliberate contradictions between documents, vague wording for Critic Mode, and varied paragraph structures.</w:t>
      </w:r>
    </w:p>
    <w:p>
      <w:pPr>
        <w:jc w:val="both"/>
      </w:pPr>
      <w:r>
        <w:t xml:space="preserve">The ingestion pipeline extracts text with</w:t>
      </w:r>
      <w:r>
        <w:t xml:space="preserve"> </w:t>
      </w:r>
      <w:r>
        <w:rPr>
          <w:rStyle w:val="VerbatimChar"/>
        </w:rPr>
        <w:t xml:space="preserve">pypdf</w:t>
      </w:r>
      <w:r>
        <w:t xml:space="preserve">, normalises whitespace, and splits documents into paragraph-level chunks.</w:t>
      </w:r>
      <w:r>
        <w:t xml:space="preserve"> </w:t>
      </w:r>
      <w:r>
        <w:rPr>
          <w:rStyle w:val="VerbatimChar"/>
        </w:rPr>
        <w:t xml:space="preserve">pdfplumber</w:t>
      </w:r>
      <w:r>
        <w:t xml:space="preserve"> </w:t>
      </w:r>
      <w:r>
        <w:t xml:space="preserve">is included as a fallback for layout-sensitive PDFs, but it is not used on the active path for the synthetic corpus. Each paragraph is assigned a stable identifier based on its document, page, local index, and a short SHA-256 content hash. This means citations remain traceable after re-ingestion: unchanged paragraphs keep the same identifiers, while edited paragraphs receive new hashes. An earlier prototype used sequential integer IDs, but that proved fragile when documents were reordered, so the final scheme is deliberately content-aware. Very short paragraphs, mostly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using</w:t>
      </w:r>
      <w:r>
        <w:t xml:space="preserve"> </w:t>
      </w:r>
      <w:r>
        <w:rPr>
          <w:rStyle w:val="VerbatimChar"/>
        </w:rPr>
        <w:t xml:space="preserve">all-MiniLM-L6-v2</w:t>
      </w:r>
      <w:r>
        <w:t xml:space="preserve"> </w:t>
      </w:r>
      <w:r>
        <w:t xml:space="preserve">and stores the vectors in a FAISS exact-search index. Exact rather than approximate search was chosen because the corpus is under 2,000 paragraphs, so exact search completes in under 10 ms with no recall ceiling. The final evaluation run uses</w:t>
      </w:r>
      <w:r>
        <w:t xml:space="preserve"> </w:t>
      </w:r>
      <w:r>
        <w:rPr>
          <w:rStyle w:val="VerbatimChar"/>
        </w:rPr>
        <w:t xml:space="preserve">retrieve_k_candidates = 50</w:t>
      </w:r>
      <w:r>
        <w:t xml:space="preserve"> </w:t>
      </w:r>
      <w:r>
        <w:t xml:space="preserve">(first-stage candidate pool) and</w:t>
      </w:r>
      <w:r>
        <w:t xml:space="preserve"> </w:t>
      </w:r>
      <w:r>
        <w:rPr>
          <w:rStyle w:val="VerbatimChar"/>
        </w:rPr>
        <w:t xml:space="preserve">rerank_k_final = 5</w:t>
      </w:r>
      <w:r>
        <w:t xml:space="preserve"> </w:t>
      </w:r>
      <w:r>
        <w:t xml:space="preserve">(kept after cross-encoder reranking); the wider candidate pool gives the reranker more material, while the</w:t>
      </w:r>
      <w:r>
        <w:t xml:space="preserve"> </w:t>
      </w:r>
      <w:r>
        <w:rPr>
          <w:rStyle w:val="VerbatimChar"/>
        </w:rPr>
        <w:t xml:space="preserve">rerank_k_final = 5</w:t>
      </w:r>
      <w:r>
        <w:t xml:space="preserve"> </w:t>
      </w:r>
      <w:r>
        <w:t xml:space="preserve">cap means only the top five reranked passages are passed downstream, so increasing the candidate pool does not increase the final LLM context size. These values are recorded in</w:t>
      </w:r>
      <w:r>
        <w:t xml:space="preserve"> </w:t>
      </w:r>
      <w:r>
        <w:rPr>
          <w:rStyle w:val="VerbatimChar"/>
        </w:rPr>
        <w:t xml:space="preserve">results/runs/b3_generative_bm25_fallback_final/run_config.json</w:t>
      </w:r>
      <w:r>
        <w:t xml:space="preserve">.</w:t>
      </w:r>
    </w:p>
    <w:p>
      <w:pPr>
        <w:jc w:val="both"/>
      </w:pPr>
      <w:r>
        <w:t xml:space="preserve">The</w:t>
      </w:r>
      <w:r>
        <w:t xml:space="preserve"> </w:t>
      </w:r>
      <w:r>
        <w:rPr>
          <w:rStyle w:val="VerbatimChar"/>
        </w:rPr>
        <w:t xml:space="preserve">Reranker</w:t>
      </w:r>
      <w:r>
        <w:t xml:space="preserve"> </w:t>
      </w:r>
      <w:r>
        <w:t xml:space="preserve">class uses a MiniLM cross-encoder to rescore each query-paragraph pair, outputting a single relevance logit per candidate.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 formal calibration analysis was run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 system instruction establishing the</w:t>
      </w:r>
      <w:r>
        <w:t xml:space="preserve"> </w:t>
      </w:r>
      <w:r>
        <w:t xml:space="preserve">“cited or silent”</w:t>
      </w:r>
      <w:r>
        <w:t xml:space="preserve"> </w:t>
      </w:r>
      <w:r>
        <w:t xml:space="preserve">contract, a one-shot example of correctly formatted output, and the evidence block containing the top 5 reranked paragraphs prefixed with their IDs. The one-shot example was refined across Sprints 3 and 4. An initial zero-shot approach frequently produced malformed citation output during Sprint 3. Adding a single carefully crafted example substantially improved format adherence, consistent with Brown et al. (2020) on few-shot prompting, but the exact early error rate was not retained as a formal evaluation artefact.</w:t>
      </w:r>
    </w:p>
    <w:p>
      <w:pPr>
        <w:jc w:val="both"/>
      </w:pPr>
      <w:r>
        <w:t xml:space="preserve">The LLM is instructed to return structured JSON matching the</w:t>
      </w:r>
      <w:r>
        <w:t xml:space="preserve"> </w:t>
      </w:r>
      <w:r>
        <w:rPr>
          <w:rStyle w:val="VerbatimChar"/>
        </w:rPr>
        <w:t xml:space="preserve">RAGResponse</w:t>
      </w:r>
      <w:r>
        <w:t xml:space="preserve"> </w:t>
      </w:r>
      <w:r>
        <w:t xml:space="preserve">schema, with answer text and citations stored separately. If validation fails, the system attempts a repair-and-retry step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This mode was added mainly as a fallback in case the LLM was unavailable (Table 2.2), but it also became useful for evaluation: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is where the cited-or-silent rule becomes mechanical: it decomposes the model’s answer, checks each claim against its cited evidence, prunes claims that fail the checks, and downgrades the whole response to abstention if nothing sufficiently supported remains. It comprises four sub-modules.</w:t>
      </w:r>
    </w:p>
    <w:p>
      <w:pPr>
        <w:jc w:val="both"/>
      </w:pPr>
      <w:r>
        <w:t xml:space="preserve">Claim Decomposition. The verifier first decomposes the answer into sentence-level claims and extracts the citation IDs attached to each claim.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t xml:space="preserve">Citation Verification. Each claim is then checked in two deterministic ways. Jaccard token overlap: the claim and the cited paragraph are tokenised (lowercased, stopwords removed); if Jaccard falls below threshold (default 0.10) the citation is flagged as unsupported. Numeric consistency: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Jaccard was deliberately chosen over embedding-cosine. Embeddings would generalise across paraphrases more smoothly but would introduce non-determinism into the verification layer, which was not accepted for a layer that needs to be reproducible and explainable.</w:t>
      </w:r>
    </w:p>
    <w:p>
      <w:pPr>
        <w:jc w:val="both"/>
      </w:pPr>
      <w:r>
        <w:t xml:space="preserve">Support Policy Enforcement. Claims that fail the checks are pruned.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t xml:space="preserve">Contradiction Detection.</w:t>
      </w:r>
      <w:r>
        <w:t xml:space="preserve"> </w:t>
      </w:r>
      <w:r>
        <w:rPr>
          <w:rStyle w:val="VerbatimChar"/>
        </w:rPr>
        <w:t xml:space="preserve">detect_contradictions()</w:t>
      </w:r>
      <w:r>
        <w:t xml:space="preserve"> </w:t>
      </w:r>
      <w:r>
        <w:t xml:space="preserve">first applies a normative-pattern layer for opposing directives such as must / must not and permitted / prohibited. The final version also includes a lightweight quantitative-fact layer in</w:t>
      </w:r>
      <w:r>
        <w:t xml:space="preserve"> </w:t>
      </w:r>
      <w:r>
        <w:rPr>
          <w:rStyle w:val="VerbatimChar"/>
        </w:rPr>
        <w:t xml:space="preserve">src/policy_copilot/verify/policy_facts.py</w:t>
      </w:r>
      <w:r>
        <w:t xml:space="preserve">, extracting simple subject–unit–value facts such as password length, password-rotation frequency, training frequency, and permitted / prohibited status.</w:t>
      </w:r>
      <w:r>
        <w:t xml:space="preserve"> </w:t>
      </w:r>
      <w:r>
        <w:rPr>
          <w:rStyle w:val="VerbatimChar"/>
        </w:rPr>
        <w:t xml:space="preserve">apply_contradiction_policy()</w:t>
      </w:r>
      <w:r>
        <w:t xml:space="preserve"> </w:t>
      </w:r>
      <w:r>
        <w:t xml:space="preserve">appends warnings when opposing facts appear in the top retrieved evidence. This remains a heuristic alerting feature rather than a final legal classifier: §4.4 reports improved recall but low precision, and §5.3 treats NLI-style entailment as future work.</w:t>
      </w:r>
    </w:p>
    <w:bookmarkEnd w:id="64"/>
    <w:bookmarkStart w:id="65" w:name="critic-mode"/>
    <w:p>
      <w:pPr>
        <w:pStyle w:val="Heading2"/>
      </w:pPr>
      <w:r>
        <w:t xml:space="preserve">3.6 Critic Mode</w:t>
      </w:r>
    </w:p>
    <w:p>
      <w:pPr>
        <w:jc w:val="both"/>
      </w:pPr>
      <w:r>
        <w:t xml:space="preserve">The Critic module operates independently of the QA pipeline, auditing policy text for language patterns indicating ambiguity, vagueness, or logical inconsistency. It supports both a regex-based heuristic detector, which is the basis of the Chapter 4 evaluation, and an LLM-based detector for subtler issues, which is defined but not part of the headline benchmark. Six labels are used in the Critic taxonomy: L1 Normative / Loaded Language (</w:t>
      </w:r>
      <w:r>
        <w:t xml:space="preserve">“obviously”</w:t>
      </w:r>
      <w:r>
        <w:t xml:space="preserve">,</w:t>
      </w:r>
      <w:r>
        <w:t xml:space="preserve"> </w:t>
      </w:r>
      <w:r>
        <w:t xml:space="preserve">“everyone knows”</w:t>
      </w:r>
      <w:r>
        <w:t xml:space="preserve">), L2 Framing Imbalance (</w:t>
      </w:r>
      <w:r>
        <w:t xml:space="preserve">“merely”</w:t>
      </w:r>
      <w:r>
        <w:t xml:space="preserve">,</w:t>
      </w:r>
      <w:r>
        <w:t xml:space="preserve"> </w:t>
      </w:r>
      <w:r>
        <w:t xml:space="preserve">“only a”</w:t>
      </w:r>
      <w:r>
        <w:t xml:space="preserve">), L3 Unsupported Claim (</w:t>
      </w:r>
      <w:r>
        <w:t xml:space="preserve">“guarantees zero”</w:t>
      </w:r>
      <w:r>
        <w:t xml:space="preserve">,</w:t>
      </w:r>
      <w:r>
        <w:t xml:space="preserve"> </w:t>
      </w:r>
      <w:r>
        <w:t xml:space="preserve">“eliminates all”</w:t>
      </w:r>
      <w:r>
        <w:t xml:space="preserve">), L4 Internal Contradiction (</w:t>
      </w:r>
      <w:r>
        <w:t xml:space="preserve">“must”</w:t>
      </w:r>
      <w:r>
        <w:t xml:space="preserve"> </w:t>
      </w:r>
      <w:r>
        <w:t xml:space="preserve">vs</w:t>
      </w:r>
      <w:r>
        <w:t xml:space="preserve"> </w:t>
      </w:r>
      <w:r>
        <w:t xml:space="preserve">“must not”</w:t>
      </w:r>
      <w:r>
        <w:t xml:space="preserve"> </w:t>
      </w:r>
      <w:r>
        <w:t xml:space="preserve">within scope), L5 False Dilemma (</w:t>
      </w:r>
      <w:r>
        <w:t xml:space="preserve">“either / or”</w:t>
      </w:r>
      <w:r>
        <w:t xml:space="preserve"> </w:t>
      </w:r>
      <w:r>
        <w:t xml:space="preserve">framings), and L6 Slippery Slope. Each label maps to compiled regex patterns, and the heuristic detector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is a multi-mode audit workbench rather than a chat demo. The interface provides six modes: normal question answering with citations, audit-trace inspection, Critic Mode, experiment browsing, reviewer scoring, and a short help guide.</w:t>
      </w:r>
    </w:p>
    <w:p>
      <w:pPr>
        <w:jc w:val="both"/>
      </w:pPr>
      <w:r>
        <w:t xml:space="preserve">Reviewer Mode implements an adjudication workflow modelled on annotation-queue patterns from trace-evaluation platforms such as LangSmith, Langfuse, and TruLens: select a run, see a progress indicator, step through queries, score on the same five-axis 1-to-5 rubric used in §4.10 (Correctness, Groundedness, Citation Usefulness, Usefulness, and Trust Calibration; the rubric definitions are included in the evidence pack), add notes, submit, and export the session as JSON or CSV. This positions Reviewer Mode as exportable evidence generation rather than a presentation feature.</w:t>
      </w:r>
    </w:p>
    <w:p>
      <w:pPr>
        <w:jc w:val="both"/>
      </w:pPr>
      <w:r>
        <w:t xml:space="preserve">One-click audit export 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engineering problems were especially significant. The first was JSON schema compliance: early LLM outputs often failed to return valid JSON, so the final system uses a repair-and-retry path before falling back to Extractive Mode. The second was claim splitting. Simple period-based splitting failed on abbreviations, decimals, and numbered lists, so the verifier needed a more careful regex-based splitter and dedicated regression tests. The third was reranker-score behaviour: raw cross-encoder logits proved more useful for abstention than softmax-normalised scores, which were less discriminating, consistent with Nogueira and Cho (2019). The final issue was identifier stability. Sequential paragraph IDs were fragile when documents were reordered, so the final scheme combines document, page, local index, and content hash.</w:t>
      </w:r>
    </w:p>
    <w:bookmarkEnd w:id="67"/>
    <w:bookmarkStart w:id="68" w:name="testing-and-validation"/>
    <w:p>
      <w:pPr>
        <w:pStyle w:val="Heading2"/>
      </w:pPr>
      <w:r>
        <w:t xml:space="preserve">3.9 Testing and Validation</w:t>
      </w:r>
    </w:p>
    <w:p>
      <w:pPr>
        <w:jc w:val="both"/>
      </w:pPr>
      <w:r>
        <w:t xml:space="preserve">The evaluator test suite collects 346 tests under the documented</w:t>
      </w:r>
      <w:r>
        <w:t xml:space="preserve"> </w:t>
      </w:r>
      <w:r>
        <w:rPr>
          <w:rStyle w:val="VerbatimChar"/>
        </w:rPr>
        <w:t xml:space="preserve">pytest -q --ignore=tests/test_run_eval_requires_key_in_generative.py</w:t>
      </w:r>
      <w:r>
        <w:t xml:space="preserve"> </w:t>
      </w:r>
      <w:r>
        <w:t xml:space="preserve">command: 344 pass and 2 are conditionally skipped. The 60 test files are organised in three tiers: unit (functions in isolation), integration (pipeline stage interactions), and system (end-to-end and reproducibility). The suite executes in under 60 s on consumer hardware. Coverage spans the pipeline’s reliability surfaces: ingestion ID stability, retrieval correctness, verifier behaviour on paraphrase and numeric edge cases, schema repair-and-retry, abstention thresholding, contradiction surfacing, end-to-end integration of generative and extractive paths, and the B5 evidence-gated answerability gate. The complete per-file matrix appears in Appendix B.9.</w: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 (corrected v2 after the label audit in Appendix B.7.5).</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B1, B2, B3-Generative, B4 and B5 are reported on the corrected v2 golden set unless a table explicitly states otherwise. B3-Extractive and B5 use the hybrid backend and are reported on the same corrected-v2 denominators used in Table 4.2 and Table 4.12. The development split was used only for threshold tuning (§4.5 and §B.7.8); the split-specific counts are retained in Table 4.1 to make tuning provenance explicit.</w:t>
      </w:r>
    </w:p>
    <w:p>
      <w:pPr>
        <w:jc w:val="both"/>
      </w:pPr>
      <w:r>
        <w:t xml:space="preserve">Objective slice. Automated RAG evaluation depends on either gold annotations (debatable) or LLM-as-judge scoring (biased; Zheng et al., 2023). To reduce reliance on the latter, an objective slice of 16 answerable queries was identified, where the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 the golden-set file, and the corresponding results are produced by the objective-slice evaluation script.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r>
        <w:t xml:space="preserve">Table 4.2 should be read as a safety-coverage trade-off rather than a leaderboard. Prompt-only generation answers everything but cites nothing, naive RAG adds retrieval and grounds some claims, and the full Policy Copilot pipeline in its generative configuration produces the safest surfaced answers at the cost of refusing far more often.</w:t>
      </w:r>
    </w:p>
    <w:p>
      <w:pPr>
        <w:jc w:val="both"/>
      </w:pPr>
    </w:p>
    <w:p>
      <w:pPr>
        <w:jc w:val="both"/>
      </w:pPr>
      <w:r>
        <w:rPr>
          <w:b/>
          <w:bCs/>
          <w:sz w:val="21"/>
        </w:rPr>
        <w:t xml:space="preserve">Table 4.2: Baseline comparison across primary metrics on the corrected v2 golden set. B1 / B2 / B3-Generative use retained outputs replayed against corrected labels (no new LLM calls). B3-Extractive and B5 use the hybrid dense+BM25 RRF backend. B4 is replay-based over the retained B3-Generative outputs with extractive fallback where retrieval evidence is strong. Ungrounded Rate is the surfaced response-level rate after enforcement.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Backend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74.0%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B4 Conservative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 extractive fallback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50.0%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B5 Evidence-Gated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 answerability gate (no LLM)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bl>
    <w:p>
      <w:pPr>
        <w:jc w:val="both"/>
      </w:pPr>
      <w:r>
        <w:t xml:space="preserve">The pattern in Table 4.2 is the main result: B3-Generative gives the strict low-coverage generative frontier, while B5 recovers high coverage through evidence-gated extractive answering. The prompt-only baseline answers every query without grounding (Ji et al., 2023). Naive RAG abstains just below the FR2 target as a side effect of irrelevant-context refusal, not verified-citation enforcement. The B3-Generative configuration is the chapter’s main case. The Ungrounded Rate is reported at the</w:t>
      </w:r>
      <w:r>
        <w:t xml:space="preserve"> </w:t>
      </w:r>
      <w:r>
        <w:rPr>
          <w:i/>
          <w:iCs/>
        </w:rPr>
        <w:t xml:space="preserve">surfaced response</w:t>
      </w:r>
      <w:r>
        <w:t xml:space="preserve"> </w:t>
      </w:r>
      <w:r>
        <w:t xml:space="preserve">level — what the enforcement layer suppresses, not what the LLM never produced; the honest companion is the</w:t>
      </w:r>
      <w:r>
        <w:t xml:space="preserve"> </w:t>
      </w:r>
      <w:r>
        <w:rPr>
          <w:i/>
          <w:iCs/>
        </w:rPr>
        <w:t xml:space="preserve">claim</w:t>
      </w:r>
      <w:r>
        <w:t xml:space="preserve">-level rate in Table 4.4. Abstention accuracy on the corrected unanswerable set reaches 100% — the only v1 false positive was a mislabel (Appendix B.7.5) — at the visible cost of low coverage relative to the 85% target.</w:t>
      </w:r>
    </w:p>
    <w:p>
      <w:pPr>
        <w:jc w:val="both"/>
      </w:pPr>
      <w:r>
        <w:t xml:space="preserve">B5 is therefore not a better generator; it is a safer high-coverage audit mode, using extractive evidence when fluent generation would create unnecessary risk. B4 Conservative Hybrid Mode is the project’s coverage-recovery configuration: it returns the generative answer when the support gate passes, falls back to the top retrieved paragraph verbatim (with its citation) when generation is unsafe but retrieval is strong, and abstains otherwise. The fallback overlap threshold was tuned on the dev split to the lowest value that keeps unanswerable abstention at 100% (see</w:t>
      </w:r>
      <w:r>
        <w:t xml:space="preserve"> </w:t>
      </w:r>
      <w:r>
        <w:rPr>
          <w:rStyle w:val="VerbatimChar"/>
        </w:rPr>
        <w:t xml:space="preserve">results/tables/b4_threshold_tune_dev.csv</w:t>
      </w:r>
      <w:r>
        <w:t xml:space="preserve">); the selected value is 0.09. B4 raises Answer Rate from 25.0% to 50.0% while preserving 100% Abstention Accuracy and 0% surfaced Ungrounded Rate; it never returns uncited text. B3-Extractive on the hybrid backend recovers most coverage (92.5%) with 78% Recall@5, but is weaker at refusing unanswerable questions because it bypasses the LLM and the post-generation support gate.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in two columns: the BM25-fallback run (generative-configuration source) and the new hybrid backend (dense FAISS + BM25 fused via Reciprocal Rank Fusion, dedup’d by paragraph_id) used for the extractive and B5 configurations; B4’s mixed replay provenance is stated in Table 4.2.</w:t>
      </w:r>
    </w:p>
    <w:p>
      <w:pPr>
        <w:jc w:val="both"/>
      </w:pPr>
    </w:p>
    <w:p>
      <w:pPr>
        <w:jc w:val="both"/>
      </w:pPr>
      <w:r>
        <w:rPr>
          <w:b/>
          <w:bCs/>
          <w:sz w:val="21"/>
        </w:rPr>
        <w:t xml:space="preserve">Table 4.3: Retrieval metrics on the corrected v2 golden set. The hybrid backend was built via Phase C of the final hardening pass; it is fully reproducible from a clean install through</w:t>
      </w:r>
      <w:r>
        <w:rPr>
          <w:b/>
          <w:bCs/>
          <w:sz w:val="21"/>
        </w:rPr>
        <w:t xml:space="preserve"> </w:t>
      </w:r>
      <w:r>
        <w:rPr>
          <w:rStyle w:val="VerbatimChar"/>
          <w:b/>
          <w:bCs/>
          <w:sz w:val="21"/>
        </w:rPr>
        <w:t xml:space="preserve">pip install -e ".[ml]"</w:t>
      </w:r>
      <w:r>
        <w:rPr>
          <w:b/>
          <w:bCs/>
          <w:sz w:val="21"/>
        </w:rPr>
        <w:t xml:space="preserve"> </w:t>
      </w:r>
      <w:r>
        <w:rPr>
          <w:b/>
          <w:bCs/>
          <w:sz w:val="21"/>
        </w:rPr>
        <w:t xml:space="preserve">and</w:t>
      </w:r>
      <w:r>
        <w:rPr>
          <w:b/>
          <w:bCs/>
          <w:sz w:val="21"/>
        </w:rPr>
        <w:t xml:space="preserve"> </w:t>
      </w:r>
      <w:r>
        <w:rPr>
          <w:rStyle w:val="VerbatimChar"/>
          <w:b/>
          <w:bCs/>
          <w:sz w:val="21"/>
        </w:rPr>
        <w:t xml:space="preserve">python scripts/build_index.py</w:t>
      </w:r>
      <w:r>
        <w:rPr>
          <w:b/>
          <w:bCs/>
          <w:sz w:val="21"/>
        </w:rP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(BM25 fallback, replay)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B3-Extractive (Hybrid: dense + BM25 RRF)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0.87</w:t>
            </w:r>
          </w:p>
        </w:tc>
      </w:tr>
    </w:tbl>
    <w:p>
      <w:pPr>
        <w:jc w:val="both"/>
      </w:pPr>
      <w:r>
        <w:t xml:space="preserve">Table 4.3 shows the retrieval improvement directly: the hybrid backend raises Evidence Recall@5 from 73.0% to 78.0% and MRR from 0.76 to 0.87. Backend provenance (requested, used, reason, dense_index_sha) is recorded in every</w:t>
      </w:r>
      <w:r>
        <w:t xml:space="preserve"> </w:t>
      </w:r>
      <w:r>
        <w:rPr>
          <w:rStyle w:val="VerbatimChar"/>
        </w:rPr>
        <w:t xml:space="preserve">run_config.json</w:t>
      </w:r>
      <w:r>
        <w:t xml:space="preserve">;</w:t>
      </w:r>
      <w:r>
        <w:t xml:space="preserve"> </w:t>
      </w:r>
      <w:r>
        <w:rPr>
          <w:rStyle w:val="VerbatimChar"/>
        </w:rPr>
        <w:t xml:space="preserve">Retriever(backend="dense", allow_fallback=False)</w:t>
      </w:r>
      <w:r>
        <w:t xml:space="preserve"> </w:t>
      </w:r>
      <w:r>
        <w:t xml:space="preserve">raises</w:t>
      </w:r>
      <w:r>
        <w:t xml:space="preserve"> </w:t>
      </w:r>
      <w:r>
        <w:rPr>
          <w:rStyle w:val="VerbatimChar"/>
        </w:rPr>
        <w:t xml:space="preserve">BackendUnavailableError</w:t>
      </w:r>
      <w:r>
        <w:t xml:space="preserve"> </w:t>
      </w:r>
      <w:r>
        <w:t xml:space="preserve">rather than silently falling back, so this discrepancy can no longer occur unobserved. The reranker’s component-level contribution is isolated in the §4.6 ablation.</w:t>
      </w:r>
    </w:p>
    <w:bookmarkEnd w:id="72"/>
    <w:bookmarkStart w:id="73" w:name="groundedness-and-verification"/>
    <w:p>
      <w:pPr>
        <w:pStyle w:val="Heading2"/>
      </w:pPr>
      <w:r>
        <w:t xml:space="preserve">4.4 Groundedness and Verification</w:t>
      </w:r>
    </w:p>
    <w:p>
      <w:pPr>
        <w:jc w:val="both"/>
      </w:pPr>
      <w:r>
        <w:t xml:space="preserve">Grounding is reported at two layers. The</w:t>
      </w:r>
      <w:r>
        <w:t xml:space="preserve"> </w:t>
      </w:r>
      <w:r>
        <w:rPr>
          <w:i/>
          <w:iCs/>
        </w:rPr>
        <w:t xml:space="preserve">claim</w:t>
      </w:r>
      <w:r>
        <w:t xml:space="preserve">-level metric in Table 4.4 measures what the heuristic verifier itself catches inside a response, before any response-level decision. The</w:t>
      </w:r>
      <w:r>
        <w:t xml:space="preserve"> </w:t>
      </w:r>
      <w:r>
        <w:rPr>
          <w:i/>
          <w:iCs/>
        </w:rPr>
        <w:t xml:space="preserve">response</w:t>
      </w:r>
      <w:r>
        <w:t xml:space="preserve">-level headline in Table 4.2 measures what the user actually sees after weakly supported responses have been converted into abstentions. The 12% → 4% drop in the table below is the residual ceiling of the heuristic verifier, not a discrepancy with the 0.0% headline.</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t xml:space="preserve">Note: These are intermediate claim-level rates after failed claims have been pruned, but before the final response-level support gate. The 4% value is therefore the residual claim-level error left by the heuristic. The 0.0% value in Table 4.2 is what reaches the user after weakly supported responses are converted into abstentions.</w:t>
      </w:r>
    </w:p>
    <w:p>
      <w:pPr>
        <w:jc w:val="both"/>
      </w:pPr>
    </w:p>
    <w:p>
      <w:pPr>
        <w:jc w:val="both"/>
      </w:pPr>
      <w:r>
        <w:rPr>
          <w:i/>
          <w:iCs/>
        </w:rPr>
        <w:t xml:space="preserve">Figure 4.1: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p>
      <w:pPr>
        <w:jc w:val="both"/>
      </w:pPr>
      <w:r>
        <w:t xml:space="preserve">Contradiction surfacing. The detector was extended with a quantitative-fact layer (</w:t>
      </w:r>
      <w:r>
        <w:rPr>
          <w:rStyle w:val="VerbatimChar"/>
        </w:rPr>
        <w:t xml:space="preserve">src/policy_copilot/verify/policy_facts.py</w:t>
      </w:r>
      <w:r>
        <w:t xml:space="preserve">) that catches numeric conflicts the legacy</w:t>
      </w:r>
      <w:r>
        <w:t xml:space="preserve"> </w:t>
      </w:r>
      <w:r>
        <w:t xml:space="preserve">“minimum N”</w:t>
      </w:r>
      <w:r>
        <w:t xml:space="preserve"> </w:t>
      </w:r>
      <w:r>
        <w:t xml:space="preserve">regex missed — e.g. 8 vs 12 character password length, 60 vs 90 day rotation. On the hybrid backend the upgraded detector reports recall = 0.80 (up from 0.40 with the legacy detector, and 0.20 on the BM25-replay run); precision is 0.222, F1 rises to 0.348 (</w:t>
      </w:r>
      <w:r>
        <w:rPr>
          <w:rStyle w:val="VerbatimChar"/>
        </w:rPr>
        <w:t xml:space="preserve">results/tables/contradiction_evaluation_v2.csv</w:t>
      </w:r>
      <w:r>
        <w:t xml:space="preserve">, row</w:t>
      </w:r>
      <w:r>
        <w:t xml:space="preserve"> </w:t>
      </w:r>
      <w:r>
        <w:rPr>
          <w:rStyle w:val="VerbatimChar"/>
        </w:rPr>
        <w:t xml:space="preserve">b3_extractive_hybrid_v2_contra_upgraded</w:t>
      </w:r>
      <w:r>
        <w:t xml:space="preserve">). The retrieval bottleneck remains: the detector fires only on opposing or matching subject+unit facts within the top-five reranked context. NLI-based entailment is treated as future work in §5.3.</w:t>
      </w:r>
    </w:p>
    <w:bookmarkEnd w:id="73"/>
    <w:bookmarkStart w:id="74" w:name="abstention-threshold-sensitivity"/>
    <w:p>
      <w:pPr>
        <w:pStyle w:val="Heading2"/>
      </w:pPr>
      <w:r>
        <w:t xml:space="preserve">4.5 Abstention Threshold Sensitivity</w:t>
      </w:r>
    </w:p>
    <w:p>
      <w:pPr>
        <w:jc w:val="both"/>
      </w:pPr>
      <w:r>
        <w:t xml:space="preserve">Figure 4.2 is the clearest empirical characterisation of the system’s safety–coverage operating frontier. B3 has two refusal mechanisms: a retrieval-confidence gate before the LLM is called, and a support-rate gate after the LLM has produced an answer. In the final BM25-fallback evaluation, the first gate does little because every query receives the same maximum rerank value. The support-rate gate is therefore the meaningful threshold in this run, and the sweep shows how moving this threshold changes the balance between answer coverage and abstention accuracy.</w:t>
      </w:r>
    </w:p>
    <w:p>
      <w:pPr>
        <w:jc w:val="both"/>
      </w:pPr>
    </w:p>
    <w:p>
      <w:pPr>
        <w:jc w:val="both"/>
      </w:pPr>
      <w:r>
        <w:rPr>
          <w:i/>
          <w:iCs/>
        </w:rPr>
        <w:t xml:space="preserve">Figure 4.2: Operating curve for B3-Generative, parameterised by the post-LLM support-rate threshold τ. Produced by replaying the gate over the stored</w:t>
      </w:r>
      <w:r>
        <w:rPr>
          <w:i/>
          <w:iCs/>
        </w:rPr>
        <w:t xml:space="preserve"> </w:t>
      </w:r>
      <w:r>
        <w:rPr>
          <w:rStyle w:val="VerbatimChar"/>
          <w:i/>
          <w:iCs/>
        </w:rPr>
        <w:t xml:space="preserve">outputs.jsonl</w:t>
      </w:r>
      <w:r>
        <w:rPr>
          <w:i/>
          <w:iCs/>
        </w:rPr>
        <w:t xml:space="preserve"> </w:t>
      </w:r>
      <w:r>
        <w:rPr>
          <w:i/>
          <w:iCs/>
        </w:rPr>
        <w:t xml:space="preserve">(</w:t>
      </w:r>
      <w:r>
        <w:rPr>
          <w:rStyle w:val="VerbatimChar"/>
          <w:i/>
          <w:iCs/>
        </w:rPr>
        <w:t xml:space="preserve">scripts/sweep_abstention.py</w:t>
      </w:r>
      <w:r>
        <w:rPr>
          <w:i/>
          <w:iCs/>
        </w:rPr>
        <w:t xml:space="preserve">); the shipped operating point at τ = 0.80 sits in the upper-left and the</w:t>
      </w:r>
      <w:r>
        <w:rPr>
          <w:i/>
          <w:iCs/>
        </w:rPr>
        <w:t xml:space="preserve"> </w:t>
      </w:r>
      <w:r>
        <w:rPr>
          <w:i/>
          <w:iCs/>
        </w:rPr>
        <w:t xml:space="preserve">“ideal”</w:t>
      </w:r>
      <w:r>
        <w:rPr>
          <w:i/>
          <w:iCs/>
        </w:rPr>
        <w:t xml:space="preserve"> </w:t>
      </w:r>
      <w:r>
        <w:rPr>
          <w:i/>
          <w:iCs/>
        </w:rPr>
        <w:t xml:space="preserve">corner is upper-right. The abrupt knee at τ ≈ 0.66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0.66 Abstention Accuracy improves while Answer Rate stays close to 80%. Above τ ≈ 0.66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p>
      <w:pPr>
        <w:jc w:val="both"/>
      </w:pPr>
      <w:r>
        <w:t xml:space="preserve">This matters because the shipped τ = 0.80 setting is not the only possible system behaviour. It is the precision-favouring operating point chosen for a compliance-style setting where unsupported surfaced answers are more costly than refusals. A less safety-critical deployment could choose a lower threshold and recover answer coverage, but would need to accept weaker abstention behaviour. The dissertation’s main empirical finding is therefore the shape of this frontier, not just the single shipped point.</w:t>
      </w:r>
    </w:p>
    <w:p>
      <w:pPr>
        <w:jc w:val="both"/>
      </w:pPr>
      <w:r>
        <w:rPr>
          <w:b/>
          <w:bCs/>
        </w:rPr>
        <w:t xml:space="preserve">BM25-specific retuning diagnostic (original-label / pre-audit).</w:t>
      </w:r>
      <w:r>
        <w:t xml:space="preserve"> </w:t>
      </w:r>
      <w:r>
        <w:t xml:space="preserve">This sweep was run on the BM25-source generative</w:t>
      </w:r>
      <w:r>
        <w:t xml:space="preserve"> </w:t>
      </w:r>
      <w:r>
        <w:rPr>
          <w:rStyle w:val="VerbatimChar"/>
        </w:rPr>
        <w:t xml:space="preserve">outputs.jsonl</w:t>
      </w:r>
      <w:r>
        <w:t xml:space="preserve"> </w:t>
      </w:r>
      <w:r>
        <w:t xml:space="preserve">against the pre-audit v1 labels, before the four label corrections audited in Appendix B.7.5. Because the final reproducible run uses the BM25 fallback backend (§3.3), I replayed the post-LLM support-rate gate at finer granularity (τ in steps of 0.01) and added a per-τ response-level Ungrounded Rate column that the original sweep does not report. The selection rule fixes Answer Rate as the objective subject to two safety constraints used elsewhere in the dissertation: Abstention Accuracy ≥ 80% (Objective 4 / FR2) and response-level Ungrounded Rate ≤ 5% (Objective 1 / FR1). Under that rule, the feasible region collapses to the plateau τ ∈ [0.67, 1.00], over which Answer Rate is constant at 25.0%, Abstention Accuracy at 94.1% (pre-audit; under corrected v2 labels B3-Generative AbsAcc is 100% across the 13 unanswerable queries — see Table 4.2), and response-level Ungrounded Rate at 0%. The shipped τ = 0.80 already sits on this plateau, and no τ inside the safety envelope recovers additional coverage. Below the plateau the support-rate gate begins admitting answers whose claim-level support rate is incomplete: response-level Ungrounded Rate jumps from 0% at τ = 0.67 to 45% at τ = 0.66, which the earlier (Answer Rate vs Abstention Accuracy only) view did not surface. The retuning analysis therefore strengthens the operating-frontier framing: the 25% Answer Rate is the</w:t>
      </w:r>
      <w:r>
        <w:t xml:space="preserve"> </w:t>
      </w:r>
      <w:r>
        <w:rPr>
          <w:i/>
          <w:iCs/>
        </w:rPr>
        <w:t xml:space="preserve">maximum</w:t>
      </w:r>
      <w:r>
        <w:t xml:space="preserve"> </w:t>
      </w:r>
      <w:r>
        <w:t xml:space="preserve">coverage attainable under the dual safety constraints in this BM25-fallback run, not an arbitrary consequence of the shipped τ. Figure B.4 plots the three rates together and marks both the shipped and the (zero-uplift) retuned operating point; the artefacts produced by</w:t>
      </w:r>
      <w:r>
        <w:t xml:space="preserve"> </w:t>
      </w:r>
      <w:r>
        <w:rPr>
          <w:rStyle w:val="VerbatimChar"/>
        </w:rPr>
        <w:t xml:space="preserve">scripts/analyse_bm25_threshold_retuning.py</w:t>
      </w:r>
      <w:r>
        <w:t xml:space="preserve"> </w:t>
      </w:r>
      <w:r>
        <w:t xml:space="preserve">are listed in Appendix B.7.4.</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Reproducible component ablations on B3-Extractive (hybrid backend, corrected v2 golden set). Each row is a fresh run with the named component disabled; the source CSV is</w:t>
      </w:r>
      <w:r>
        <w:rPr>
          <w:b/>
          <w:bCs/>
          <w:sz w:val="21"/>
        </w:rPr>
        <w:t xml:space="preserve"> </w:t>
      </w:r>
      <w:r>
        <w:rPr>
          <w:rStyle w:val="VerbatimChar"/>
          <w:b/>
          <w:bCs/>
          <w:sz w:val="21"/>
        </w:rPr>
        <w:t xml:space="preserve">results/tables/component_ablation_final.csv</w:t>
      </w:r>
      <w:r>
        <w:rPr>
          <w:b/>
          <w:bCs/>
          <w:sz w:val="21"/>
        </w:rPr>
        <w:t xml:space="preserve"> </w:t>
      </w:r>
      <w:r>
        <w:rPr>
          <w:b/>
          <w:bCs/>
          <w:sz w:val="21"/>
        </w:rPr>
        <w:t xml:space="preserve">and each row traces to its own</w:t>
      </w:r>
      <w:r>
        <w:rPr>
          <w:b/>
          <w:bCs/>
          <w:sz w:val="21"/>
        </w:rPr>
        <w:t xml:space="preserve"> </w:t>
      </w:r>
      <w:r>
        <w:rPr>
          <w:rStyle w:val="VerbatimChar"/>
          <w:b/>
          <w:bCs/>
          <w:sz w:val="21"/>
        </w:rPr>
        <w:t xml:space="preserve">results/runs/ablation_*</w:t>
      </w:r>
      <w:r>
        <w:rPr>
          <w:b/>
          <w:bCs/>
          <w:sz w:val="21"/>
        </w:rPr>
        <w:t xml:space="preserve"> </w:t>
      </w:r>
      <w:r>
        <w:rPr>
          <w:b/>
          <w:bCs/>
          <w:sz w:val="21"/>
        </w:rPr>
        <w:t xml:space="preserve">directory.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Full B3-Extractive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Abstention Gate (τ = 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97.5%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23.1%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bl>
    <w:p>
      <w:pPr>
        <w:jc w:val="both"/>
      </w:pPr>
      <w:r>
        <w:t xml:space="preserve">Reranking is the largest single contributor: with reranker scores removed the relevance gate refuses every query (Answer Rate 0%). Removing the Abstention Gate (τ = 0) recovers 5pp of Answer Rate (97.5%) but collapses Abstention Accuracy from 76.9% to 23.1%, expressing the safety/coverage trade-off. Removing the post-LLM verifier has no effect on B3-Extractive because it does not synthesise claims; verification only fires in B3-Generative and B4. Removing Contradiction Detection leaves headline metrics unchanged at this scope; its contribution is qualitative and is evaluated separately in §4.4.</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The results are reproduced by the committed critic-evaluation script, with per-label and macro values stored in</w:t>
      </w:r>
      <w:r>
        <w:rPr>
          <w:b/>
          <w:bCs/>
          <w:sz w:val="21"/>
        </w:rPr>
        <w:t xml:space="preserve"> </w:t>
      </w:r>
      <w:r>
        <w:rPr>
          <w:rStyle w:val="VerbatimChar"/>
          <w:b/>
          <w:bCs/>
          <w:sz w:val="21"/>
        </w:rPr>
        <w:t xml:space="preserve">results/tables/critic_summary.csv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 the LLM-critic path; the L1–L6 labels above are what the heuristic critic actually returns, and the committed critic-evaluation script reproduces these numbers.</w:t>
      </w:r>
    </w:p>
    <w:bookmarkEnd w:id="76"/>
    <w:bookmarkStart w:id="77" w:name="error-analysis"/>
    <w:p>
      <w:pPr>
        <w:pStyle w:val="Heading2"/>
      </w:pPr>
      <w:r>
        <w:t xml:space="preserve">4.8 Error Analysis</w:t>
      </w:r>
    </w:p>
    <w:p>
      <w:pPr>
        <w:jc w:val="both"/>
      </w:pPr>
      <w:r>
        <w:t xml:space="preserve">Error analysis combines manual classification of B3 failures with an automated 8-category classifier, producing per-baseline diagnostic profiles in the evidence pack.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is the dominant failure mode, which is at least aligned with the safety-first design. In these cases, relevant evidence was retrieved but did not pass the final confidence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A small peer-review check was added because the automated metrics do not show how useful or trustworthy the answers feel to a reader. Six peer volunteers each scored a balanced sample of B3-Generative outputs using a five-axis Likert rubric covering correctness, groundedness, citation usefulness, usefulness, and trust calibration. The sample was balanced across answered cases, correct abstentions, over-abstentions, and contradiction probes. Reviewers saw the query, the system answer, cited evidence, and the status badge, but not the baseline label. Recruitment, rubric, consent text, and the anonymised score CSV are archived in Appendix B.10. The sessions were author-facilitated rather than run by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On a small public-guidance corpus drawn from NCSC, ICO and ACAS material, the system’s conservative grounding behaviour held: every cited answer was a verbatim retrieved paragraph and no fabricated citation was produced. The corpus is supplementary to the corrected-v2 headline benchmark. The synthetic column below is the transfer-control slice used by the transfer-evaluation script, so it should not be read as another copy of the Table 4.2 headline split (8 documents, 249 paragraphs, a 20-query test set covering 12 answerable, 4 unanswerable, and 4 ambiguous-evidence cases). Only the Extractive pipeline was run because no LLM API key was used; provenance, licence, and access dates are recorded in Appendix B.11, and a generative transfer test remains future work in §5.3.</w:t>
      </w:r>
    </w:p>
    <w:p>
      <w:pPr>
        <w:jc w:val="both"/>
      </w:pPr>
    </w:p>
    <w:p>
      <w:pPr>
        <w:jc w:val="both"/>
      </w:pPr>
      <w:r>
        <w:rPr>
          <w:b/>
          <w:bCs/>
          <w:sz w:val="21"/>
        </w:rPr>
        <w:t xml:space="preserve">Table 4.10: Supplementary extractive-only transfer comparison. The synthetic column is the transfer-control slice used by</w:t>
      </w:r>
      <w:r>
        <w:rPr>
          <w:b/>
          <w:bCs/>
          <w:sz w:val="21"/>
        </w:rPr>
        <w:t xml:space="preserve"> </w:t>
      </w:r>
      <w:r>
        <w:rPr>
          <w:rStyle w:val="VerbatimChar"/>
          <w:b/>
          <w:bCs/>
          <w:sz w:val="21"/>
        </w:rPr>
        <w:t xml:space="preserve">scripts/run_transfer_eval.py</w:t>
      </w:r>
      <w:r>
        <w:rPr>
          <w:b/>
          <w:bCs/>
          <w:sz w:val="21"/>
        </w:rPr>
        <w:t xml:space="preserve"> </w:t>
      </w:r>
      <w:r>
        <w:rPr>
          <w:b/>
          <w:bCs/>
          <w:sz w:val="21"/>
        </w:rPr>
        <w:t xml:space="preserve">and is not the corrected-v2 headline denominator used in Table 4.2.</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it either quoted the retrieved evidence or abstained. Coverage was similar to the synthetic transfer-control slice, with a 91.7% Answer Rate compared with 88%. The weaker result is retrieval. Evidence Recall@5 fell from 73.4% on the transfer-control slice to 52.1% on the public-guidance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On the small external public-guidance set, Extractive Mode produced no fabricated citations and correctly abstained on three of the four unanswerable queries. The result is limited to this extractive stress test and does not establish broad transfer, generative-mode behaviour, or behaviour on noisier real-world PDFs. §5.2 returns to this as Limitation L1, which wider evaluation should target.</w:t>
      </w:r>
    </w:p>
    <w:bookmarkEnd w:id="80"/>
    <w:bookmarkStart w:id="81" w:name="statistical-confidence"/>
    <w:p>
      <w:pPr>
        <w:pStyle w:val="Heading2"/>
      </w:pPr>
      <w:r>
        <w:t xml:space="preserve">4.12 Statistical Confidence</w:t>
      </w:r>
    </w:p>
    <w:p>
      <w:pPr>
        <w:jc w:val="both"/>
      </w:pPr>
      <w:r>
        <w:t xml:space="preserve">Because the corrected v2 golden set is small (n = 63: 40 answerable, 13 unanswerable, 10 contradiction), bootstrapped 95% confidence intervals were computed for the headline B5 Evidence-Gated Hybrid metrics; full per-baseline CIs (B1-B5) are in</w:t>
      </w:r>
      <w:r>
        <w:t xml:space="preserve"> </w:t>
      </w:r>
      <w:r>
        <w:rPr>
          <w:rStyle w:val="VerbatimChar"/>
        </w:rPr>
        <w:t xml:space="preserve">results/tables/statistical_confidence_v2.csv</w:t>
      </w:r>
      <w:r>
        <w:t xml:space="preserve">.</w:t>
      </w:r>
    </w:p>
    <w:p>
      <w:pPr>
        <w:jc w:val="both"/>
      </w:pPr>
    </w:p>
    <w:p>
      <w:pPr>
        <w:jc w:val="both"/>
      </w:pPr>
      <w:r>
        <w:rPr>
          <w:b/>
          <w:bCs/>
          <w:sz w:val="21"/>
        </w:rPr>
        <w:t xml:space="preserve">Table 4.11: 95% bootstrap CIs for headline B5 metrics on the corrected v2 golden set. Each metric is bootstrapped over its own per-query denominator (Answer Rate over 40 answerable; Abstention Accuracy over 13 unanswerable; Evidence Recall@5 over 50 queries with non-empty</w:t>
      </w:r>
      <w:r>
        <w:rPr>
          <w:b/>
          <w:bCs/>
          <w:sz w:val="21"/>
        </w:rPr>
        <w:t xml:space="preserve"> </w:t>
      </w:r>
      <w:r>
        <w:rPr>
          <w:rStyle w:val="VerbatimChar"/>
          <w:b/>
          <w:bCs/>
          <w:sz w:val="21"/>
        </w:rPr>
        <w:t xml:space="preserve">gold_paragraph_ids</w:t>
      </w:r>
      <w:r>
        <w:rPr>
          <w:b/>
          <w:bCs/>
          <w:sz w:val="21"/>
        </w:rPr>
        <w:t xml:space="preserve">; Citation Precision over 36 citation-scored surfaced records), seed = 42, n_resamples = 2,000.</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[80.0%, 97.5%]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[61.5%,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[70.0%, 85.0%]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records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 100.0%]</w:t>
            </w:r>
          </w:p>
        </w:tc>
      </w:tr>
    </w:tbl>
    <w:p>
      <w:pPr>
        <w:jc w:val="both"/>
      </w:pPr>
      <w:r>
        <w:t xml:space="preserve">The wide B5 AbsAcc CI reflects the small n = 13 unanswerable subset; the upper bound at 100% indicates a ceiling effect. B3-Generative on the same set bootstraps to AR 25.0% [12.5%, 40.0%] and AbsAcc 100%. With n = 63, all point estimates are indicative;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 (v2 corrected golden set)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 surfaced (Gen/B4, after enforcement); 4% residual claim-level (Gen);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replay), 92.5% (Ext, hybrid), 50.0% (B4), 90.0% (B5)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B5 (90.0%) and B3-Extractive (92.5%); not met by B3-Generative or B4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 (B3-Ext hybrid, all-split, CI95 [70.0%, 85.0%]); 73.0% (Gen, BM25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Near miss; CI overlaps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 (Gen/B4); 84.6% (B5, CI95 [61.5%, 100%]); 76.9%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Gen, B4 and B5 (B5 wide CI, n=13); Ext just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Headline grounding, Critic Mode F1, abstention (B3-Generative, B4 and B5), and the harness all meet their targets on the corrected v2 set. Objective 2 is met by B5 Evidence-Gated Hybrid (90.0%) and B3-Extractive on hybrid (92.5%); B5 is the stronger final configuration because it meets the answer-rate target while preserving the abstention, citation-precision and surfaced-grounding floors (CI on B5 AbsAcc wide due to n=13). B3-Generative (25%) and B4 (50%) do not reach 85%. Objective 3 reaches 78%, two points below target, with a CI overlapping 80%.</w:t>
      </w:r>
    </w:p>
    <w:p>
      <w:pPr>
        <w:jc w:val="both"/>
      </w:pPr>
      <w:r>
        <w:t xml:space="preserve">The remaining open issue is generative coverage. The §4.5 sweep showed 25% is the maximum attainable under the dual safety constraints on the BM25-fallback outputs. B4 addresses this by degrading gracefully: when generation fails the support gate and retrieval is strong, B4 returns the retrieved paragraph verbatim with its citation. In this project, the safest way to recover coverage is not to relax verification, but to degrade deliberately into cited extractive evidence.</w:t>
      </w:r>
    </w:p>
    <w:bookmarkEnd w:id="82"/>
    <w:bookmarkEnd w:id="83"/>
    <w:bookmarkStart w:id="87"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Contribution. This project contributes an end-to-end design and empirical evaluation of a closed-corpus RAG configuration where grounding, abstention, citation verification, and audit traceability are treated as part of the system contract rather than optional add-ons. More specifically, it characterises the safety–coverage operating frontier created by enforcing a strict</w:t>
      </w:r>
      <w:r>
        <w:t xml:space="preserve"> </w:t>
      </w:r>
      <w:r>
        <w:t xml:space="preserve">“cited or silent”</w:t>
      </w:r>
      <w:r>
        <w:t xml:space="preserve"> </w:t>
      </w:r>
      <w:r>
        <w:t xml:space="preserve">rule: the shipped configuration suppresses unsupported surfaced answers at the response level, but does so by refusing many queries that a less conservative system would attempt to answer. The individual components are standard or heuristic; the contribution is the way they are combined, evaluated, and exposed as an auditable operating regime.</w:t>
      </w:r>
    </w:p>
    <w:p>
      <w:pPr>
        <w:jc w:val="both"/>
      </w:pPr>
      <w:r>
        <w:t xml:space="preserve">The final B5 result is the practical version of that finding: it reaches 90.0% Answer Rate while keeping 84.6% Abstention Accuracy, 100% Citation Precision and 0.0% surfaced response-level Ungrounded Rate, by giving up fluent generation when extractive evidence is the safer output.</w:t>
      </w:r>
    </w:p>
    <w:p>
      <w:pPr>
        <w:jc w:val="both"/>
      </w:pPr>
      <w:r>
        <w:t xml:space="preserve">The project asked whether a RAG system over a closed policy corpus could be made grounded enough to be useful in an audit setting,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caused the largest collapse in coverage and practical utility, with Answer Rate falling to 0%. It did not degrade every numerical column — Abstention Accuracy rises when the system refuses everything — but it showed that reranking is the load-bearing component for useful answering. For closed corpora of this size (under 2,000 paragraphs), a reranker is worth the engineering effort before trying more elaborate alternatives such as LLM self-evaluation or multi-step verification chains. The reranker cost on consumer hardware was around 1.8 s per query —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In Generative Mode the answer is more useful when it works, but the system relies on verification and the support-rate gate to decide whether the generated text is safe enough to show. The 0.0% headline ungrounded rate is therefore a result of the enforcement layer, not evidence that the LLM itself never hallucinated.</w:t>
      </w:r>
    </w:p>
    <w:bookmarkEnd w:id="84"/>
    <w:bookmarkStart w:id="85" w:name="limitations"/>
    <w:p>
      <w:pPr>
        <w:pStyle w:val="Heading2"/>
      </w:pPr>
      <w:r>
        <w:t xml:space="preserve">5.2 Limitations</w:t>
      </w:r>
    </w:p>
    <w:p>
      <w:pPr>
        <w:jc w:val="both"/>
      </w:pPr>
      <w:r>
        <w:t xml:space="preserve">The bounded claim above rests on five threats to validity. Each names a place where the central finding could weaken if the corresponding constraint were relaxed, rather than a generic project shortcoming.</w:t>
      </w:r>
    </w:p>
    <w:p>
      <w:pPr>
        <w:jc w:val="both"/>
      </w:pPr>
      <w:r>
        <w:t xml:space="preserve">L1: Primary Corpus is Synthetic. The headline benchmark was authored for this project, which enabled controlled injection of test cases (contradictions, vague language) but means the paragraphs are cleaner than real-world scanned PDFs with OCR noise and inconsistent boilerplate. The Public Guidance Transfer Stress Test in §4.11 partially addresses this: on the NCSC/ICO/ACAS corpus, B3-Extractive still produced zero fabricated citations and 0% ungrounded rate, but Evidence Recall@5 fell from 73.4% to 52.1% (~30% relative drop). Wider transfer to noisier real-world documents and a generative-mode test on the public corpus remains future work (§5.3).</w:t>
      </w:r>
    </w:p>
    <w:p>
      <w:pPr>
        <w:jc w:val="both"/>
      </w:pPr>
      <w:r>
        <w:t xml:space="preserve">L2: Golden Set Size. 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t xml:space="preserve">L3: Heuristic Verification Ceiling. 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t xml:space="preserve">L4: Single LLM Evaluated. 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t xml:space="preserve">L5: Limited Independent Human Evaluation and Adversarial Coverage. The independent reviewer evaluation is small, author-facilitated rather than fully blinded, and uses CS peers rather than compliance specialists. Round 2 reaches Krippendorff’s α 0.74 on three of five axes (Appendix B.10); the 15-query adversarial probe (Appendix B.12) is full at 100% safe on the Extractive arm but</w:t>
      </w:r>
      <w:r>
        <w:t xml:space="preserve"> </w:t>
      </w:r>
      <w:r>
        <w:rPr>
          <w:rStyle w:val="VerbatimChar"/>
        </w:rPr>
        <w:t xml:space="preserve">n/a</w:t>
      </w:r>
      <w:r>
        <w:t xml:space="preserve"> </w:t>
      </w:r>
      <w:r>
        <w:t xml:space="preserve">on the Generative arm after</w:t>
      </w:r>
      <w:r>
        <w:t xml:space="preserve"> </w:t>
      </w:r>
      <w:r>
        <w:rPr>
          <w:rStyle w:val="VerbatimChar"/>
        </w:rPr>
        <w:t xml:space="preserve">insufficient_quota</w:t>
      </w:r>
      <w:r>
        <w:t xml:space="preserve"> </w:t>
      </w:r>
      <w:r>
        <w:t xml:space="preserve">errors. A more rigorous follow-up would use two independent domain-expert raters, full blinding, and per-item collection (Es et al., 2024).</w:t>
      </w:r>
    </w:p>
    <w:p>
      <w:pPr>
        <w:jc w:val="both"/>
      </w:pPr>
      <w:r>
        <w:t xml:space="preserve">A single threats-to-validity table compiling each of the above against its mitigation and remaining weakness is given in Appendix B.13.</w:t>
      </w:r>
    </w:p>
    <w:bookmarkEnd w:id="85"/>
    <w:bookmarkStart w:id="86" w:name="future-work-and-reflection"/>
    <w:p>
      <w:pPr>
        <w:pStyle w:val="Heading2"/>
      </w:pPr>
      <w:r>
        <w:t xml:space="preserve">5.3 Future Work and Reflection</w:t>
      </w:r>
    </w:p>
    <w:p>
      <w:pPr>
        <w:jc w:val="both"/>
      </w:pPr>
      <w:r>
        <w:t xml:space="preserve">The nearest future-work technical step is NLI-based verification (FEVER- or SciFact-style entailment models) as a backstop for borderline claims (Thorne et al., 2018; Wadden et al., 2020), addressing the L3 ceiling. The second priority is domain-adapted embeddings on legal NLP corpora (Chalkidis et al., 2020). A stronger evaluation would expand the golden set to 200+ queries, compare two LLM families, and validate on a real organisational corpus with an industry partner. In reflection, designing this evaluation was harder than building the reliability features: a safety-first RAG system cannot be judged by answer rate alone. The main lesson I take from the project is that reliability in policy QA is less about making the model sound confident, and more about deciding, explicitly and reproducibly, when the system is allowed to speak.</w:t>
      </w:r>
    </w:p>
    <w:bookmarkEnd w:id="86"/>
    <w:bookmarkEnd w:id="87"/>
    <w:bookmarkStart w:id="88"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 Proceedings of the Twelfth International Conference on Learning Representations (ICLR).</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 Proceedings of the IEEE/ACM 3rd International Conference on AI Engineering (CAIN), pp. 194-199. doi:10.1145/3644815.3644945.</w:t>
      </w:r>
    </w:p>
    <w:p>
      <w:pPr>
        <w:jc w:val="both"/>
      </w:pPr>
      <w:r>
        <w:t xml:space="preserve">Bohnet, B. et al. (2022)</w:t>
      </w:r>
      <w:r>
        <w:t xml:space="preserve"> </w:t>
      </w:r>
      <w:r>
        <w:t xml:space="preserve">‘Attributed Question Answering: Evaluation and Modeling for Attributed Large Language Models’</w:t>
      </w:r>
      <w:r>
        <w:t xml:space="preserve">, arXiv preprint arXiv:2212.08037.</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 Advances in Neural Information Processing Systems,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 Findings of the Association for Computational Linguistics: EMNLP 2020,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 Findings of the Association for Computational Linguistics: EMNLP 2023,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 Proceedings of the 47th International ACM SIGIR Conference on Research and Development in Information Retrieval,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 Proceedings of the 18th Conference of the European Chapter of the Association for Computational Linguistics: System Demonstrations (EACL Demo), pp. 150-158.</w:t>
      </w:r>
    </w:p>
    <w:p>
      <w:pPr>
        <w:jc w:val="both"/>
      </w:pPr>
      <w:r>
        <w:t xml:space="preserve">Gao, L., Dai, Z., Pasupat, P., Chen, A., Chaganty, A.T., Fan, Y., Zhao, V., Lao, N., Lee, H., Juan, D.-C. and Guu, K. (2023)</w:t>
      </w:r>
      <w:r>
        <w:t xml:space="preserve"> </w:t>
      </w:r>
      <w:r>
        <w:t xml:space="preserve">‘RARR: Researching and Revising What Language Models Say, Using Language Models’</w:t>
      </w:r>
      <w:r>
        <w:t xml:space="preserve">, Proceedings of the 61st Annual Meeting of the Association for Computational Linguistics (Volume 1: Long Papers), pp. 16477-16508.</w:t>
      </w:r>
    </w:p>
    <w:p>
      <w:pPr>
        <w:jc w:val="both"/>
      </w:pPr>
      <w:r>
        <w:t xml:space="preserve">Guha, N. et al. (2023)</w:t>
      </w:r>
      <w:r>
        <w:t xml:space="preserve"> </w:t>
      </w:r>
      <w:r>
        <w:t xml:space="preserve">‘LegalBench: A Collaboratively Built Benchmark for Measuring Legal Reasoning in Large Language Models’</w:t>
      </w:r>
      <w:r>
        <w:t xml:space="preserve">, Advances in Neural Information Processing Systems, 36, pp. 44123-44279.</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 arXiv preprint arXiv:2311.05232.</w:t>
      </w:r>
    </w:p>
    <w:p>
      <w:pPr>
        <w:jc w:val="both"/>
      </w:pPr>
      <w:r>
        <w:t xml:space="preserve">Ji, Z., Lee, N., Frieske, R., Yu, T., Su, D., Xu, Y., Ishii, E., Bang, Y.J., Madotto, A. and Fung, P. (2023)</w:t>
      </w:r>
      <w:r>
        <w:t xml:space="preserve"> </w:t>
      </w:r>
      <w:r>
        <w:t xml:space="preserve">‘Survey of Hallucination in Natural Language Generation’</w:t>
      </w:r>
      <w:r>
        <w:t xml:space="preserve">, ACM Computing Surveys, 55(12), pp. 1-38.</w:t>
      </w:r>
    </w:p>
    <w:p>
      <w:pPr>
        <w:jc w:val="both"/>
      </w:pPr>
      <w:r>
        <w:t xml:space="preserve">Johnson, J., Douze, M. and Jégou, H. (2021)</w:t>
      </w:r>
      <w:r>
        <w:t xml:space="preserve"> </w:t>
      </w:r>
      <w:r>
        <w:t xml:space="preserve">‘Billion-Scale Similarity Search with GPUs’</w:t>
      </w:r>
      <w:r>
        <w:t xml:space="preserve">, IEEE Transactions on Big Data, 7(3), pp. 535-547. doi:10.1109/TBDATA.2019.2921572.</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 arXiv preprint arXiv:2207.05221.</w:t>
      </w:r>
    </w:p>
    <w:p>
      <w:pPr>
        <w:jc w:val="both"/>
      </w:pPr>
      <w:r>
        <w:t xml:space="preserve">Kamath, A., Jia, R. and Liang, P. (2020)</w:t>
      </w:r>
      <w:r>
        <w:t xml:space="preserve"> </w:t>
      </w:r>
      <w:r>
        <w:t xml:space="preserve">‘Selective Question Answering under Domain Shift’</w:t>
      </w:r>
      <w:r>
        <w:t xml:space="preserve">, Proceedings of the 58th Annual Meeting of the Association for Computational Linguistics, pp. 5684-5696.</w:t>
      </w:r>
    </w:p>
    <w:p>
      <w:pPr>
        <w:jc w:val="both"/>
      </w:pPr>
      <w:r>
        <w:t xml:space="preserve">Karpukhin, V., Oguz, B., Min, S., Lewis, P., Wu, L., Edunov, S., Chen, D. and Yih, W. (2020)</w:t>
      </w:r>
      <w:r>
        <w:t xml:space="preserve"> </w:t>
      </w:r>
      <w:r>
        <w:t xml:space="preserve">‘Dense Passage Retrieval for Open-Domain Question Answering’</w:t>
      </w:r>
      <w:r>
        <w:t xml:space="preserve">, Proceedings of the 2020 Conference on Empirical Methods in Natural Language Processing (EMNLP), pp. 6769-6781.</w:t>
      </w:r>
    </w:p>
    <w:p>
      <w:pPr>
        <w:jc w:val="both"/>
      </w:pPr>
      <w:r>
        <w:t xml:space="preserve">Katz, D.M., Bommarito, M.J., Gao, S. and Arredondo, P. (2024)</w:t>
      </w:r>
      <w:r>
        <w:t xml:space="preserve"> </w:t>
      </w:r>
      <w:r>
        <w:t xml:space="preserve">‘GPT-4 Passes the Bar Exam’</w:t>
      </w:r>
      <w:r>
        <w:t xml:space="preserve">, Philosophical Transactions of the Royal Society A,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 Proceedings of the 43rd International ACM SIGIR Conference on Research and Development in Information Retrieval, pp. 39-48.</w:t>
      </w:r>
    </w:p>
    <w:p>
      <w:pPr>
        <w:jc w:val="both"/>
      </w:pPr>
      <w:r>
        <w:t xml:space="preserve">Krippendorff, K. (2004) Content Analysis: An Introduction to Its Methodology.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 Advances in Neural Information Processing Systems, 33, pp. 9459-9474.</w:t>
      </w:r>
    </w:p>
    <w:p>
      <w:pPr>
        <w:jc w:val="both"/>
      </w:pPr>
      <w:r>
        <w:t xml:space="preserve">Lin, J., Nogueira, R. and Yates, A. (2021) Pretrained Transformers for Text Ranking: BERT and Beyond.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 Transactions of the Association for Computational Linguistics, 12, pp. 157-173.</w:t>
      </w:r>
    </w:p>
    <w:p>
      <w:pPr>
        <w:jc w:val="both"/>
      </w:pPr>
      <w:r>
        <w:t xml:space="preserve">Nogueira, R. and Cho, K. (2019)</w:t>
      </w:r>
      <w:r>
        <w:t xml:space="preserve"> </w:t>
      </w:r>
      <w:r>
        <w:t xml:space="preserve">‘Passage Re-ranking with BERT’</w:t>
      </w:r>
      <w:r>
        <w:t xml:space="preserve">, arXiv preprint arXiv:1901.04085.</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372, n71.</w:t>
      </w:r>
    </w:p>
    <w:p>
      <w:pPr>
        <w:jc w:val="both"/>
      </w:pPr>
      <w:r>
        <w:t xml:space="preserve">Penzkofer, V. and Baumann, T. (2024)</w:t>
      </w:r>
      <w:r>
        <w:t xml:space="preserve"> </w:t>
      </w:r>
      <w:r>
        <w:t xml:space="preserve">‘Evaluating and Fine-Tuning Retrieval-Augmented Language Models to Generate Text with Accurate Citations (RAGE)’</w:t>
      </w:r>
      <w:r>
        <w:t xml:space="preserve">, Proceedings of the 20th Conference on Natural Language Processing (KONVENS 2024), pp. 57-64.</w:t>
      </w:r>
    </w:p>
    <w:p>
      <w:pPr>
        <w:jc w:val="both"/>
      </w:pPr>
      <w:r>
        <w:t xml:space="preserve">Qu, R., Bao, F. and Tu, R. (2024)</w:t>
      </w:r>
      <w:r>
        <w:t xml:space="preserve"> </w:t>
      </w:r>
      <w:r>
        <w:t xml:space="preserve">‘Is Semantic Chunking Worth the Computational Cost?’</w:t>
      </w:r>
      <w:r>
        <w:t xml:space="preserve">, arXiv preprint arXiv:2410.13070.</w:t>
      </w:r>
    </w:p>
    <w:p>
      <w:pPr>
        <w:jc w:val="both"/>
      </w:pPr>
      <w:r>
        <w:t xml:space="preserve">Ren, R., Wang, Y., Qu, Y., Zhao, W.X., Liu, J., Tian, H., Wu, H., Wen, J.-R. and Wang, H. (2023)</w:t>
      </w:r>
      <w:r>
        <w:t xml:space="preserve"> </w:t>
      </w:r>
      <w:r>
        <w:t xml:space="preserve">‘Investigating the Factual Knowledge Boundary of Large Language Models with Retrieval Augmentation’</w:t>
      </w:r>
      <w:r>
        <w:t xml:space="preserve">, arXiv preprint arXiv:2307.11019.</w:t>
      </w:r>
    </w:p>
    <w:p>
      <w:pPr>
        <w:jc w:val="both"/>
      </w:pPr>
      <w:r>
        <w:t xml:space="preserve">Saad-Falcon, J., Khattab, O., Potts, C. and Zaharia, M. (2023)</w:t>
      </w:r>
      <w:r>
        <w:t xml:space="preserve"> </w:t>
      </w:r>
      <w:r>
        <w:t xml:space="preserve">‘ARES: An Automated Evaluation Framework for Retrieval-Augmented Generation Systems’</w:t>
      </w:r>
      <w:r>
        <w:t xml:space="preserve">, arXiv preprint arXiv:2311.09476.</w:t>
      </w:r>
    </w:p>
    <w:p>
      <w:pPr>
        <w:jc w:val="both"/>
      </w:pPr>
      <w:r>
        <w:t xml:space="preserve">Strubell, E., Ganesh, A. and McCallum, A. (2019)</w:t>
      </w:r>
      <w:r>
        <w:t xml:space="preserve"> </w:t>
      </w:r>
      <w:r>
        <w:t xml:space="preserve">‘Energy and Policy Considerations for Deep Learning in NLP’</w:t>
      </w:r>
      <w:r>
        <w:t xml:space="preserve">, Proceedings of the 57th Annual Meeting of the Association for Computational Linguistics (ACL), pp. 3645-3650.</w:t>
      </w:r>
    </w:p>
    <w:p>
      <w:pPr>
        <w:jc w:val="both"/>
      </w:pPr>
      <w:r>
        <w:t xml:space="preserve">Thorne, J., Vlachos, A., Christodoulopoulos, C. and Mittal, A. (2018)</w:t>
      </w:r>
      <w:r>
        <w:t xml:space="preserve"> </w:t>
      </w:r>
      <w:r>
        <w:t xml:space="preserve">‘FEVER: A Large-Scale Dataset for Fact Extraction and VERification’</w:t>
      </w:r>
      <w:r>
        <w:t xml:space="preserve">, Proceedings of the 2018 Conference of the North American Chapter of the Association for Computational Linguistics: Human Language Technologies (NAACL-HLT),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 arXiv preprint arXiv:2310.03214.</w:t>
      </w:r>
    </w:p>
    <w:p>
      <w:pPr>
        <w:jc w:val="both"/>
      </w:pPr>
      <w:r>
        <w:t xml:space="preserve">Wadden, D., Lin, S., Lo, K., Wang, L.L., van Zuylen, M., Cohan, A. and Hajishirzi, H. (2020)</w:t>
      </w:r>
      <w:r>
        <w:t xml:space="preserve"> </w:t>
      </w:r>
      <w:r>
        <w:t xml:space="preserve">‘Fact or Fiction: Verifying Scientific Claims’</w:t>
      </w:r>
      <w:r>
        <w:t xml:space="preserve">, Proceedings of the 2020 Conference on Empirical Methods in Natural Language Processing (EMNLP), pp. 7534-7550.</w:t>
      </w:r>
    </w:p>
    <w:p>
      <w:pPr>
        <w:jc w:val="both"/>
      </w:pPr>
      <w:r>
        <w:t xml:space="preserve">Wallat, J., Heuss, M., de Rijke, M. and Anand, A. (2024)</w:t>
      </w:r>
      <w:r>
        <w:t xml:space="preserve"> </w:t>
      </w:r>
      <w:r>
        <w:t xml:space="preserve">‘Correctness is not Faithfulness in RAG Attributions’</w:t>
      </w:r>
      <w:r>
        <w:t xml:space="preserve">, arXiv preprint arXiv:2412.18004.</w:t>
      </w:r>
    </w:p>
    <w:p>
      <w:pPr>
        <w:jc w:val="both"/>
      </w:pPr>
      <w:r>
        <w:t xml:space="preserve">Yin, Z., Sun, Q., Guo, Q., Wu, J., Qiu, X. and Huang, X. (2023)</w:t>
      </w:r>
      <w:r>
        <w:t xml:space="preserve"> </w:t>
      </w:r>
      <w:r>
        <w:t xml:space="preserve">‘Do Large Language Models Know What They Don’t Know?’</w:t>
      </w:r>
      <w:r>
        <w:t xml:space="preserve">, Findings of the Association for Computational Linguistics: ACL 2023, pp. 8653-8665.</w:t>
      </w:r>
    </w:p>
    <w:p>
      <w:pPr>
        <w:jc w:val="both"/>
      </w:pPr>
      <w:r>
        <w:t xml:space="preserve">Yue, X., Wang, B., Chen, Z., Zhang, K., Su, Y. and Sun, H. (2023)</w:t>
      </w:r>
      <w:r>
        <w:t xml:space="preserve"> </w:t>
      </w:r>
      <w:r>
        <w:t xml:space="preserve">‘Automatic Evaluation of Attribution by Large Language Models’</w:t>
      </w:r>
      <w:r>
        <w:t xml:space="preserve">, Findings of the Association for Computational Linguistics: EMNLP 2023, pp. 4615-4635. doi:10.18653/v1/2023.findings-emnlp.307.</w:t>
      </w:r>
    </w:p>
    <w:p>
      <w:pPr>
        <w:jc w:val="both"/>
      </w:pPr>
      <w:r>
        <w:t xml:space="preserve">Zheng, L., Chiang, W.L., Sheng, Y., Zhuang, S., Wu, Z., Zhuang, Y., Lin, Z., Li, Z., Li, D., Xing, E.P. and Zhang, H. (2023)</w:t>
      </w:r>
      <w:r>
        <w:t xml:space="preserve"> </w:t>
      </w:r>
      <w:r>
        <w:t xml:space="preserve">‘Judging LLM-as-a-Judge with MT-Bench and Chatbot Arena’</w:t>
      </w:r>
      <w:r>
        <w:t xml:space="preserve">, Advances in Neural Information Processing Systems, 36.</w:t>
      </w:r>
    </w:p>
    <w:p>
      <w:pPr>
        <w:jc w:val="both"/>
      </w:pPr>
      <w:r>
        <w:t xml:space="preserve">Zhong, H., Xiao, C., Tu, C., Zhang, T., Liu, Z. and Sun, M. (2020)</w:t>
      </w:r>
      <w:r>
        <w:t xml:space="preserve"> </w:t>
      </w:r>
      <w:r>
        <w:t xml:space="preserve">‘How Does NLP Benefit Legal System: A Summary of Legal Artificial Intelligence’</w:t>
      </w:r>
      <w:r>
        <w:t xml:space="preserve">, Proceedings of the 58th Annual Meeting of the Association for Computational Linguistics, pp. 5218-5230.</w:t>
      </w:r>
    </w:p>
    <w:bookmarkEnd w:id="88"/>
    <w:bookmarkStart w:id="96" w:name="appendix-a-self-appraisal"/>
    <w:p>
      <w:pPr>
        <w:pStyle w:val="Heading1"/>
        <w:pageBreakBefore/>
      </w:pPr>
      <w:r>
        <w:t xml:space="preserve">Appendix A Self-appraisal</w:t>
      </w:r>
    </w:p>
    <w:bookmarkStart w:id="89"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final evaluation results turned out sharper than the development-phase estimates. B3-Generative reaches 0.0% surfaced response-level Ungrounded Rate after enforcement on the corrected-v2 replay, while the retained claim-level verification analysis in Table 4.4 shows a 4% residual claim-level rate after pruning before the final response-level support gate. Abstention Accuracy is 100% on the 13 unanswerable queries. Its Answer Rate remains only 25.0%, which is the clearest evidence of the safety-first trade-off rather than a hidden success. The final B5 Evidence-Gated Hybrid mode was added to test whether coverage could be recovered without relaxing the cited-or-silent contract: it answers 90.0% of answerable queries while preserving 84.6% Abstention Accuracy, 100% Citation Precision and 0.0% surfaced response-level Ungrounded Rate. I read this as the most useful final compromise: B3-Generative shows the strict generative frontier, while B5 shows how a more extractive, evidence-gated mode can recover practical usefulness without inventing unsupported prose.</w:t>
      </w:r>
    </w:p>
    <w:p>
      <w:pPr>
        <w:jc w:val="both"/>
      </w:pPr>
      <w:r>
        <w:t xml:space="preserve">Extractive Mode (test-split headline numbers in Table 4.2) is the safest demonstration setting for fabrication risk in this project, at least until retrieval recall improves enough to give the generative configuration a more generous abstention threshold. Its modest abstention accuracy on the small unanswerable subset reflects the absence of the post-LLM support-rate gate that drives the generative configuration’s all-split number.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9"/>
    <w:bookmarkStart w:id="90"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t xml:space="preserve">Empirical evaluation design. 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t xml:space="preserve">Defensive software engineering. 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t xml:space="preserve">Technical writing under constraint. 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0"/>
    <w:bookmarkStart w:id="95"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1" w:name="a.3.1-legal-issues"/>
    <w:p>
      <w:pPr>
        <w:pStyle w:val="Heading3"/>
      </w:pPr>
      <w:r>
        <w:t xml:space="preserve">A.3.1 Legal issues</w:t>
      </w:r>
    </w:p>
    <w:p>
      <w:pPr>
        <w:jc w:val="both"/>
      </w:pPr>
      <w:r>
        <w:t xml:space="preserve">Privacy and Data Protection. 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t xml:space="preserve">Intellectual Property. 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1"/>
    <w:bookmarkStart w:id="92" w:name="a.3.2-social-issues"/>
    <w:p>
      <w:pPr>
        <w:pStyle w:val="Heading3"/>
      </w:pPr>
      <w:r>
        <w:t xml:space="preserve">A.3.2 Social issues</w:t>
      </w:r>
    </w:p>
    <w:p>
      <w:pPr>
        <w:jc w:val="both"/>
      </w:pPr>
      <w:r>
        <w:t xml:space="preserve">Automation Bias and Over-Trust. 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t xml:space="preserve">Deskilling and Power Asymmetry. 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t xml:space="preserve">Digital Equity. 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2"/>
    <w:bookmarkStart w:id="93" w:name="a.3.3-ethical-issues"/>
    <w:p>
      <w:pPr>
        <w:pStyle w:val="Heading3"/>
      </w:pPr>
      <w:r>
        <w:t xml:space="preserve">A.3.3 Ethical issues</w:t>
      </w:r>
    </w:p>
    <w:p>
      <w:pPr>
        <w:jc w:val="both"/>
      </w:pPr>
      <w:r>
        <w:t xml:space="preserve">Accountability and Auditability. 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t xml:space="preserve">Bias Risks.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t xml:space="preserve">Environmental Impact. 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t xml:space="preserve">Participant Evaluation Ethics. 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3"/>
    <w:bookmarkStart w:id="94" w:name="a.3.4-professional-issues"/>
    <w:p>
      <w:pPr>
        <w:pStyle w:val="Heading3"/>
      </w:pPr>
      <w:r>
        <w:t xml:space="preserve">A.3.4 Professional issues</w:t>
      </w:r>
    </w:p>
    <w:p>
      <w:pPr>
        <w:jc w:val="both"/>
      </w:pPr>
      <w:r>
        <w:t xml:space="preserve">Generative AI Policy Compliance. Under the University of Leeds Generative AI policy, this module (COMP3931/COMP3932) sits in the Amber category.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t xml:space="preserve">Professional Standards. The codebase follows the practices the BCS Code of Conduct emphasises: version control with traceable commits, automated tests bound to documented commands, reproducible evaluation pipelines, and modular architecture that keeps reliability decisions auditable.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bookmarkEnd w:id="94"/>
    <w:bookmarkEnd w:id="95"/>
    <w:bookmarkEnd w:id="96"/>
    <w:bookmarkStart w:id="122" w:name="appendix-b-external-materials"/>
    <w:p>
      <w:pPr>
        <w:pStyle w:val="Heading1"/>
        <w:pageBreakBefore/>
      </w:pPr>
      <w:r>
        <w:t xml:space="preserve">Appendix B External Materials</w:t>
      </w:r>
    </w:p>
    <w:bookmarkStart w:id="98"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t xml:space="preserve">Repository URL:</w:t>
      </w:r>
      <w:r>
        <w:t xml:space="preserve"> </w:t>
      </w:r>
      <w:hyperlink r:id="rId97">
        <w:r>
          <w:rPr>
            <w:rStyle w:val="Hyperlink"/>
          </w:rPr>
          <w:t xml:space="preserve">https://github.com/NathS04/policy_copilot_submission.git</w:t>
        </w:r>
      </w:hyperlink>
    </w:p>
    <w:p>
      <w:pPr>
        <w:jc w:val="both"/>
      </w:pPr>
      <w:r>
        <w:t xml:space="preserve">(Note for examiners: the repository is public; no special access is required for marking verification.)</w:t>
      </w:r>
    </w:p>
    <w:bookmarkEnd w:id="98"/>
    <w:bookmarkStart w:id="99"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9"/>
    <w:bookmarkStart w:id="100" w:name="b.2-licensing"/>
    <w:p>
      <w:pPr>
        <w:pStyle w:val="Heading2"/>
      </w:pPr>
      <w:r>
        <w:t xml:space="preserve">B.2 Licensing</w:t>
      </w:r>
    </w:p>
    <w:p>
      <w:pPr>
        <w:jc w:val="both"/>
      </w:pPr>
      <w:r>
        <w:t xml:space="preserve">The Policy Copilot source code is released under the MIT License, which allows reuse, modification, and distribution and aligns with the project’s goal of demonstrating reproducible research.</w:t>
      </w:r>
    </w:p>
    <w:bookmarkEnd w:id="100"/>
    <w:bookmarkStart w:id="101"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t xml:space="preserve">Policy Corpus (synthetic, project data, not report prose): five synthetic policy PDFs were generated using GPT-4o with detailed prompts specifying structure, contradictions, and coverage requirements — the Internal Policy Handbook, IT Security Addendum, HR Procedures Manual, Business Continuity Plan, and DPIA Guide, totalling 176 paragraphs across 53 PDF pages (per-document paragraph counts and SHA-256 hashes are listed in §3.2 and in</w:t>
      </w:r>
      <w:r>
        <w:t xml:space="preserve"> </w:t>
      </w:r>
      <w:r>
        <w:rPr>
          <w:rStyle w:val="VerbatimChar"/>
        </w:rPr>
        <w:t xml:space="preserve">data/corpus/manifests/corpus_manifest.csv</w:t>
      </w:r>
      <w:r>
        <w:t xml:space="preserve">). This corpus is project data used as input to the system, not text that appears as authored prose in this report.</w:t>
      </w:r>
    </w:p>
    <w:p>
      <w:pPr>
        <w:numPr>
          <w:ilvl w:val="0"/>
          <w:numId w:val="1013"/>
        </w:numPr>
        <w:jc w:val="both"/>
      </w:pPr>
      <w:r>
        <w:t xml:space="preserve">Golden Set (synthetic): 63 queries manually crafted and auto-labelled against the synthetic corpus.</w:t>
      </w:r>
    </w:p>
    <w:p>
      <w:pPr>
        <w:numPr>
          <w:ilvl w:val="0"/>
          <w:numId w:val="1013"/>
        </w:numPr>
        <w:jc w:val="both"/>
      </w:pPr>
      <w:r>
        <w:t xml:space="preserve">Public Guidance Transfer Corpus (supplementary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1"/>
    <w:bookmarkStart w:id="102" w:name="b.4-development-tools"/>
    <w:p>
      <w:pPr>
        <w:pStyle w:val="Heading2"/>
      </w:pPr>
      <w:r>
        <w:t xml:space="preserve">B.4 Development Tools</w:t>
      </w:r>
    </w:p>
    <w:p>
      <w:pPr>
        <w:numPr>
          <w:ilvl w:val="0"/>
          <w:numId w:val="1014"/>
        </w:numPr>
        <w:jc w:val="both"/>
      </w:pPr>
      <w:r>
        <w:t xml:space="preserve">VS Code: Integrated Development Environment.</w:t>
      </w:r>
    </w:p>
    <w:p>
      <w:pPr>
        <w:numPr>
          <w:ilvl w:val="0"/>
          <w:numId w:val="1014"/>
        </w:numPr>
        <w:jc w:val="both"/>
      </w:pPr>
      <w:r>
        <w:t xml:space="preserve">Git: Version control system.</w:t>
      </w:r>
    </w:p>
    <w:p>
      <w:pPr>
        <w:numPr>
          <w:ilvl w:val="0"/>
          <w:numId w:val="1014"/>
        </w:numPr>
        <w:jc w:val="both"/>
      </w:pPr>
      <w:r>
        <w:t xml:space="preserve">Poetry / Pip: Dependency management.</w:t>
      </w:r>
    </w:p>
    <w:p>
      <w:pPr>
        <w:numPr>
          <w:ilvl w:val="0"/>
          <w:numId w:val="1014"/>
        </w:numPr>
        <w:jc w:val="both"/>
      </w:pPr>
      <w:r>
        <w:t xml:space="preserve">Black / Ruff: Code formatting and linting.</w:t>
      </w:r>
    </w:p>
    <w:bookmarkEnd w:id="102"/>
    <w:bookmarkStart w:id="105" w:name="X59823d81a2493546db9de6a5549c34343051cfe"/>
    <w:p>
      <w:pPr>
        <w:pStyle w:val="Heading2"/>
      </w:pPr>
      <w:r>
        <w:t xml:space="preserve">B.5 Generative AI Usage Declaration and Log</w:t>
      </w:r>
    </w:p>
    <w:p>
      <w:pPr>
        <w:jc w:val="both"/>
      </w:pPr>
      <w:r>
        <w:t xml:space="preserve">Under the University of Leeds Generative AI policy, this module sits in the Amber category. Generative AI was used in an assistive role during development, debugging, planning, structuring, project-data generation, and review. The tools were not used as a replacement author and were not treated as authoritative sources.</w:t>
      </w:r>
    </w:p>
    <w:bookmarkStart w:id="103"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3"/>
    <w:bookmarkStart w:id="104"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bookmarkEnd w:id="104"/>
    <w:bookmarkEnd w:id="105"/>
    <w:bookmarkStart w:id="106"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Yes — limited. 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Mitigated.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directly. 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Acknowledged. 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required for the formal Faculty ethics route. 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bookmarkEnd w:id="106"/>
    <w:bookmarkStart w:id="115" w:name="b.7-evidence-of-testing-and-operation"/>
    <w:p>
      <w:pPr>
        <w:pStyle w:val="Heading2"/>
      </w:pPr>
      <w:r>
        <w:t xml:space="preserve">B.7 Evidence of Testing and Operation</w:t>
      </w:r>
    </w:p>
    <w:bookmarkStart w:id="107" w:name="b.7.1-automated-test-suite"/>
    <w:p>
      <w:pPr>
        <w:pStyle w:val="Heading3"/>
      </w:pPr>
      <w:r>
        <w:t xml:space="preserve">B.7.1 Automated Test Suite</w:t>
      </w:r>
    </w:p>
    <w:p>
      <w:pPr>
        <w:jc w:val="both"/>
      </w:pPr>
      <w:r>
        <w:t xml:space="preserve">The project’s test suite collects 346 tests under the documented evaluator command (344 passed, 2 conditionally skipped) across 60 test files, covering retrieval logic, claim verification, generation schema validation, golden set integrity, contradiction detection, service layer orchestration, audit report export, hybrid retrieval fusion, UI state management, reviewer service, package import verification, threshold-retuning replay, the B5 evidence-gated answerability gate, and end-to-end integration.</w:t>
      </w:r>
    </w:p>
    <w:p>
      <w:pPr>
        <w:jc w:val="both"/>
      </w:pPr>
      <w:r>
        <w:t xml:space="preserve">Test execution summary (final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344 passed, 2 skipped in 47.01s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two skipped tests are</w:t>
      </w:r>
      <w:r>
        <w:t xml:space="preserve"> </w:t>
      </w:r>
      <w:r>
        <w:rPr>
          <w:rStyle w:val="VerbatimChar"/>
        </w:rPr>
        <w:t xml:space="preserve">test_exits_2_when_dense_index_missing</w:t>
      </w:r>
      <w:r>
        <w:t xml:space="preserve"> </w:t>
      </w:r>
      <w:r>
        <w:t xml:space="preserve">(conditionally skipped when the</w:t>
      </w:r>
      <w:r>
        <w:t xml:space="preserve"> </w:t>
      </w:r>
      <w:r>
        <w:rPr>
          <w:rStyle w:val="VerbatimChar"/>
        </w:rPr>
        <w:t xml:space="preserve">[ml]</w:t>
      </w:r>
      <w:r>
        <w:t xml:space="preserve"> </w:t>
      </w:r>
      <w:r>
        <w:t xml:space="preserve">optional dependencies are installed) and one additional ML-dependent skip.</w:t>
      </w:r>
    </w:p>
    <w:bookmarkEnd w:id="107"/>
    <w:bookmarkStart w:id="108"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8"/>
    <w:bookmarkStart w:id="109"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t xml:space="preserve">Figure B.1: Answerable query.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B.1: Answerable query result showing extractive fallback with citations.</w:t>
      </w:r>
    </w:p>
    <w:p>
      <w:pPr>
        <w:jc w:val="both"/>
      </w:pPr>
      <w:r>
        <w:t xml:space="preserve">Figure B.2: Unanswerable query.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B.2: Unanswerable query showing abstention behaviour.</w:t>
      </w:r>
    </w:p>
    <w:p>
      <w:pPr>
        <w:jc w:val="both"/>
      </w:pPr>
      <w:r>
        <w:t xml:space="preserve">Figure B.3: Contradiction-probing query.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B.3: Contradiction query showing retrieved evidence with citations.</w:t>
      </w:r>
    </w:p>
    <w:bookmarkEnd w:id="109"/>
    <w:bookmarkStart w:id="110" w:name="X6c635935803d0765917770b25f5964480aab05d"/>
    <w:p>
      <w:pPr>
        <w:pStyle w:val="Heading3"/>
      </w:pPr>
      <w:r>
        <w:t xml:space="preserve">B.7.4 BM25-Specific Threshold Retuning Diagnostic (referenced from §4.5)</w:t>
      </w:r>
    </w:p>
    <w:p>
      <w:pPr>
        <w:jc w:val="both"/>
      </w:pPr>
      <w:r>
        <w:rPr>
          <w:rStyle w:val="VerbatimChar"/>
        </w:rPr>
        <w:t xml:space="preserve">scripts/analyse_bm25_threshold_retuning.py</w:t>
      </w:r>
      <w:r>
        <w:t xml:space="preserve"> </w:t>
      </w:r>
      <w:r>
        <w:t xml:space="preserve">replays the post-LLM support-rate gate over the retained B3-Generative</w:t>
      </w:r>
      <w:r>
        <w:t xml:space="preserve"> </w:t>
      </w:r>
      <w:r>
        <w:rPr>
          <w:rStyle w:val="VerbatimChar"/>
        </w:rPr>
        <w:t xml:space="preserve">outputs.jsonl</w:t>
      </w:r>
      <w:r>
        <w:t xml:space="preserve"> </w:t>
      </w:r>
      <w:r>
        <w:t xml:space="preserve">at τ in steps of 0.01, adding a per-τ response-level Ungrounded Rate column that the original</w:t>
      </w:r>
      <w:r>
        <w:t xml:space="preserve"> </w:t>
      </w:r>
      <w:r>
        <w:rPr>
          <w:rStyle w:val="VerbatimChar"/>
        </w:rPr>
        <w:t xml:space="preserve">scripts/sweep_abstention.py</w:t>
      </w:r>
      <w:r>
        <w:t xml:space="preserve"> </w:t>
      </w:r>
      <w:r>
        <w:t xml:space="preserve">(the source for Figure 4.2) does not compute. It then selects a retuned operating point under the rule</w:t>
      </w:r>
      <w:r>
        <w:t xml:space="preserve"> </w:t>
      </w:r>
      <w:r>
        <w:rPr>
          <w:i/>
          <w:iCs/>
        </w:rPr>
        <w:t xml:space="preserve">max Answer Rate subject to Abstention Accuracy ≥ 80% and response-level Ungrounded Rate ≤ 5%</w:t>
      </w:r>
      <w:r>
        <w:t xml:space="preserve"> </w:t>
      </w:r>
      <w:r>
        <w:t xml:space="preserve">(tie-breakers: higher Abstention Accuracy, lower Ungrounded Rate, higher τ). Before any selection it cross-checks the reconstructed τ = 0.80 row against</w:t>
      </w:r>
      <w:r>
        <w:t xml:space="preserve"> </w:t>
      </w:r>
      <w:r>
        <w:rPr>
          <w:rStyle w:val="VerbatimChar"/>
        </w:rPr>
        <w:t xml:space="preserve">results/runs/b3_generative_bm25_fallback_final/summary.json</w:t>
      </w:r>
      <w:r>
        <w:t xml:space="preserve"> </w:t>
      </w:r>
      <w:r>
        <w:t xml:space="preserve">and aborts if the two disagree. No new LLM calls are made; the script is a pure replay over already-stored claim-verification fields.</w:t>
      </w:r>
    </w:p>
    <w:p>
      <w:pPr>
        <w:jc w:val="both"/>
      </w:pPr>
      <w:r>
        <w:t xml:space="preserve">Selected point in the final run (original-label / pre-audit diagnostic; the corrected-v2 headline metrics are reported in Table 4.2 and Table 4.11): τ = 1.00, Answer Rate 25.0%, Abstention Accuracy 94.1% (pre-audit), response-level Ungrounded Rate 0.0%, n_answered = 12, n_abstained = 51. The selection rule’s feasible region under the dual safety constraints is τ ∈ [0.67, 1.00]; Answer Rate is flat at 25.0% across that whole region, so the coverage uplift over the shipped τ = 0.80 is 0.0 percentage points (</w:t>
      </w:r>
      <w:r>
        <w:rPr>
          <w:rStyle w:val="VerbatimChar"/>
        </w:rPr>
        <w:t xml:space="preserve">interpretation: feasible_region_matches_conservative_plateau</w:t>
      </w:r>
      <w:r>
        <w:t xml:space="preserve">,</w:t>
      </w:r>
      <w:r>
        <w:t xml:space="preserve"> </w:t>
      </w:r>
      <w:r>
        <w:rPr>
          <w:rStyle w:val="VerbatimChar"/>
        </w:rPr>
        <w:t xml:space="preserve">coverage_uplift_pp: 0.0</w:t>
      </w:r>
      <w:r>
        <w:t xml:space="preserve"> </w:t>
      </w:r>
      <w:r>
        <w:t xml:space="preserve">in the summary JSON). Below τ ≈ 0.66 the constraint that fails first is response-level Ungrounded Rate, which jumps to 45% at τ = 0.66 — a finding visible only after the per-τ Ungrounded column is computed. Figure B.4 plots Answer Rate, Abstention Accuracy, and response-level Ungrounded Rate against τ, with both the shipped and the retuned operating point marked.</w:t>
      </w:r>
    </w:p>
    <w:p>
      <w:pPr>
        <w:jc w:val="both"/>
      </w:pPr>
    </w:p>
    <w:p>
      <w:pPr>
        <w:jc w:val="both"/>
      </w:pPr>
      <w:r>
        <w:t xml:space="preserve">Figure B.4: BM25-fallback support-rate retuning. Answer Rate, Abstention Accuracy and response-level Ungrounded Rate plotted against τ over the retained B3-Generative outputs. The shipped τ = 0.80 operating point is marked with a circle; the retuned point selected under the dual safety constraints (τ = 1.00) is marked with a diamond. Both sit on the τ ∈ [0.67, 1.00] feasible plateau over which Answer Rate is constant at 25%. Produced by</w:t>
      </w:r>
      <w:r>
        <w:t xml:space="preserve"> </w:t>
      </w:r>
      <w:r>
        <w:rPr>
          <w:rStyle w:val="VerbatimChar"/>
        </w:rPr>
        <w:t xml:space="preserve">scripts/analyse_bm25_threshold_retuning.py</w:t>
      </w:r>
      <w:r>
        <w:t xml:space="preserve"> </w:t>
      </w:r>
      <w:r>
        <w:t xml:space="preserve">from</w:t>
      </w:r>
      <w:r>
        <w:t xml:space="preserve"> </w:t>
      </w:r>
      <w:r>
        <w:rPr>
          <w:rStyle w:val="VerbatimChar"/>
        </w:rPr>
        <w:t xml:space="preserve">results/runs/b3_generative_bm25_fallback_final/outputs.jsonl</w:t>
      </w:r>
      <w:r>
        <w:t xml:space="preserve">; no LLM calls.</w:t>
      </w:r>
    </w:p>
    <w:p>
      <w:pPr>
        <w:jc w:val="both"/>
      </w:pPr>
      <w:r>
        <w:t xml:space="preserve">Artefacts (all reproducible offline, no API keys):</w:t>
      </w:r>
    </w:p>
    <w:p>
      <w:pPr>
        <w:numPr>
          <w:ilvl w:val="0"/>
          <w:numId w:val="1015"/>
        </w:numPr>
        <w:jc w:val="both"/>
      </w:pPr>
      <w:r>
        <w:rPr>
          <w:rStyle w:val="VerbatimChar"/>
        </w:rPr>
        <w:t xml:space="preserve">scripts/analyse_bm25_threshold_retuning.py</w:t>
      </w:r>
      <w:r>
        <w:t xml:space="preserve"> </w:t>
      </w:r>
      <w:r>
        <w:t xml:space="preserve">— the analysis script.</w:t>
      </w:r>
    </w:p>
    <w:p>
      <w:pPr>
        <w:numPr>
          <w:ilvl w:val="0"/>
          <w:numId w:val="1015"/>
        </w:numPr>
        <w:jc w:val="both"/>
      </w:pPr>
      <w:r>
        <w:rPr>
          <w:rStyle w:val="VerbatimChar"/>
        </w:rPr>
        <w:t xml:space="preserve">results/tables/bm25_threshold_retuning.csv</w:t>
      </w:r>
      <w:r>
        <w:t xml:space="preserve"> </w:t>
      </w:r>
      <w:r>
        <w:t xml:space="preserve">— per-τ sweep with Answer Rate, Abstention Accuracy, response-level Ungrounded Rate, contradiction abstain rate, coverage, surfaced/abstained counts.</w:t>
      </w:r>
    </w:p>
    <w:p>
      <w:pPr>
        <w:numPr>
          <w:ilvl w:val="0"/>
          <w:numId w:val="1015"/>
        </w:numPr>
        <w:jc w:val="both"/>
      </w:pPr>
      <w:r>
        <w:rPr>
          <w:rStyle w:val="VerbatimChar"/>
        </w:rPr>
        <w:t xml:space="preserve">results/tables/bm25_threshold_retuning_summary.json</w:t>
      </w:r>
      <w:r>
        <w:t xml:space="preserve"> </w:t>
      </w:r>
      <w:r>
        <w:t xml:space="preserve">— selected operating point, selection-rule metadata, reconstructed conservative-point values for cross-checking against the shipped run.</w:t>
      </w:r>
    </w:p>
    <w:p>
      <w:pPr>
        <w:numPr>
          <w:ilvl w:val="0"/>
          <w:numId w:val="1015"/>
        </w:numPr>
        <w:jc w:val="both"/>
      </w:pPr>
      <w:r>
        <w:rPr>
          <w:rStyle w:val="VerbatimChar"/>
        </w:rPr>
        <w:t xml:space="preserve">tests/test_bm25_threshold_retuning.py</w:t>
      </w:r>
      <w:r>
        <w:t xml:space="preserve"> </w:t>
      </w:r>
      <w:r>
        <w:t xml:space="preserve">— six deterministic unit tests covering gate G1 reconstruction, the G2 denominator check, the τ = 1.0 edge case, and the selection-rule tie-breakers.</w:t>
      </w:r>
    </w:p>
    <w:p>
      <w:pPr>
        <w:jc w:val="both"/>
      </w:pPr>
      <w:r>
        <w:t xml:space="preserve">Command to reproduce:</w:t>
      </w:r>
    </w:p>
    <w:p>
      <w:pPr>
        <w:pStyle w:val="SourceCode"/>
      </w:pPr>
      <w:r>
        <w:rPr>
          <w:rStyle w:val="VerbatimChar"/>
          <w:rFonts w:ascii="Courier New" w:hAnsi="Courier New" w:cs="Courier New"/>
          <w:sz w:val="18"/>
        </w:rPr>
        <w:t xml:space="preserve">$ python scripts/analyse_bm25_threshold_retuning.py</w:t>
      </w:r>
    </w:p>
    <w:bookmarkEnd w:id="110"/>
    <w:bookmarkStart w:id="111" w:name="X174751008d1e9f4463d7458188ea9a7c184b7ff"/>
    <w:p>
      <w:pPr>
        <w:pStyle w:val="Heading3"/>
      </w:pPr>
      <w:r>
        <w:t xml:space="preserve">B.7.5 Golden-Set Label Audit (referenced from §2.7, §4.2)</w:t>
      </w:r>
    </w:p>
    <w:p>
      <w:pPr>
        <w:jc w:val="both"/>
      </w:pPr>
      <w:r>
        <w:rPr>
          <w:rStyle w:val="VerbatimChar"/>
        </w:rPr>
        <w:t xml:space="preserve">scripts/audit_golden_set_labels.py</w:t>
      </w:r>
      <w:r>
        <w:t xml:space="preserve"> </w:t>
      </w:r>
      <w:r>
        <w:t xml:space="preserve">token-scans every golden-set query against every corpus paragraph and flags four kinds of anomaly: (i) unanswerable queries with strong corpus hits; (ii) answerable queries missing gold paragraph IDs; (iii) contradiction queries with fewer than two candidate paragraphs; (iv) gold paragraph IDs that do not exist in the corpus. The script produced</w:t>
      </w:r>
      <w:r>
        <w:t xml:space="preserve"> </w:t>
      </w:r>
      <w:r>
        <w:rPr>
          <w:rStyle w:val="VerbatimChar"/>
        </w:rPr>
        <w:t xml:space="preserve">results/tables/golden_set_label_audit.csv</w:t>
      </w:r>
      <w:r>
        <w:t xml:space="preserve"> </w:t>
      </w:r>
      <w:r>
        <w:t xml:space="preserve">and the human-readable summary at</w:t>
      </w:r>
      <w:r>
        <w:t xml:space="preserve"> </w:t>
      </w:r>
      <w:r>
        <w:rPr>
          <w:rStyle w:val="VerbatimChar"/>
        </w:rPr>
        <w:t xml:space="preserve">docs/evidence/verification/golden_set_label_audit.md</w:t>
      </w:r>
      <w:r>
        <w:t xml:space="preserve">. Four queries previously labelled</w:t>
      </w:r>
      <w:r>
        <w:t xml:space="preserve"> </w:t>
      </w:r>
      <w:r>
        <w:rPr>
          <w:rStyle w:val="VerbatimChar"/>
        </w:rPr>
        <w:t xml:space="preserve">unanswerable</w:t>
      </w:r>
      <w:r>
        <w:t xml:space="preserve"> </w:t>
      </w:r>
      <w:r>
        <w:t xml:space="preserve">were reclassified to</w:t>
      </w:r>
      <w:r>
        <w:t xml:space="preserve"> </w:t>
      </w:r>
      <w:r>
        <w:rPr>
          <w:rStyle w:val="VerbatimChar"/>
        </w:rPr>
        <w:t xml:space="preserve">answerable</w:t>
      </w:r>
      <w:r>
        <w:t xml:space="preserve"> </w:t>
      </w:r>
      <w:r>
        <w:t xml:space="preserve">because the corpus genuinely answers them — q_004 (BYOD policy, Internal Policy Handbook §13), q_014 (notice period, HR Procedures Manual p0009::i0000), q_016 (grievance procedure, HR Procedures Manual §7), and q_062 (sabbatical leave, HR Procedures Manual p0006::i0002). The corrected golden set is</w:t>
      </w:r>
      <w:r>
        <w:t xml:space="preserve"> </w:t>
      </w:r>
      <w:r>
        <w:rPr>
          <w:rStyle w:val="VerbatimChar"/>
        </w:rPr>
        <w:t xml:space="preserve">eval/golden_set/golden_set_v2_corrected.csv</w:t>
      </w:r>
      <w:r>
        <w:t xml:space="preserve"> </w:t>
      </w:r>
      <w:r>
        <w:t xml:space="preserve">(40 answerable / 13 unanswerable / 10 contradiction); the original</w:t>
      </w:r>
      <w:r>
        <w:t xml:space="preserve"> </w:t>
      </w:r>
      <w:r>
        <w:rPr>
          <w:rStyle w:val="VerbatimChar"/>
        </w:rPr>
        <w:t xml:space="preserve">golden_set.csv</w:t>
      </w:r>
      <w:r>
        <w:t xml:space="preserve"> </w:t>
      </w:r>
      <w:r>
        <w:t xml:space="preserve">is preserved for historical reference. All headline metrics in §4.2, §4.3 and §4.12 are computed against the corrected v2 set.</w:t>
      </w:r>
    </w:p>
    <w:bookmarkEnd w:id="111"/>
    <w:bookmarkStart w:id="112" w:name="X16b4baf436cdde279de06fd8b15c884c494e8c5"/>
    <w:p>
      <w:pPr>
        <w:pStyle w:val="Heading3"/>
      </w:pPr>
      <w:r>
        <w:t xml:space="preserve">B.7.6 Hybrid Backend, B4 Mode, Component Ablations (referenced from §3.3, §4.2, §4.6)</w:t>
      </w:r>
    </w:p>
    <w:p>
      <w:pPr>
        <w:jc w:val="both"/>
      </w:pPr>
      <w:r>
        <w:t xml:space="preserve">The final pass installed the</w:t>
      </w:r>
      <w:r>
        <w:t xml:space="preserve"> </w:t>
      </w:r>
      <w:r>
        <w:rPr>
          <w:rStyle w:val="VerbatimChar"/>
        </w:rPr>
        <w:t xml:space="preserve">[ml]</w:t>
      </w:r>
      <w:r>
        <w:t xml:space="preserve"> </w:t>
      </w:r>
      <w:r>
        <w:t xml:space="preserve">extras, built the dense FAISS index (</w:t>
      </w:r>
      <w:r>
        <w:rPr>
          <w:rStyle w:val="VerbatimChar"/>
        </w:rPr>
        <w:t xml:space="preserve">data/corpus/processed/index/</w:t>
      </w:r>
      <w:r>
        <w:t xml:space="preserve">), wired the existing</w:t>
      </w:r>
      <w:r>
        <w:t xml:space="preserve"> </w:t>
      </w:r>
      <w:r>
        <w:rPr>
          <w:rStyle w:val="VerbatimChar"/>
        </w:rPr>
        <w:t xml:space="preserve">HybridRetriever</w:t>
      </w:r>
      <w:r>
        <w:t xml:space="preserve"> </w:t>
      </w:r>
      <w:r>
        <w:t xml:space="preserve">(RRF fusion, dedup by paragraph_id) into the main retrieve pipeline, and made dense-load failures fail-fast via</w:t>
      </w:r>
      <w:r>
        <w:t xml:space="preserve"> </w:t>
      </w:r>
      <w:r>
        <w:rPr>
          <w:rStyle w:val="VerbatimChar"/>
        </w:rPr>
        <w:t xml:space="preserve">Retriever(backend="dense", allow_fallback=False)</w:t>
      </w:r>
      <w:r>
        <w:t xml:space="preserve"> </w:t>
      </w:r>
      <w:r>
        <w:t xml:space="preserve">→</w:t>
      </w:r>
      <w:r>
        <w:t xml:space="preserve"> </w:t>
      </w:r>
      <w:r>
        <w:rPr>
          <w:rStyle w:val="VerbatimChar"/>
        </w:rPr>
        <w:t xml:space="preserve">BackendUnavailableError</w:t>
      </w:r>
      <w:r>
        <w:t xml:space="preserve">. The previous BM25 silent fallback is replaced by an explicit</w:t>
      </w:r>
      <w:r>
        <w:t xml:space="preserve"> </w:t>
      </w:r>
      <w:r>
        <w:rPr>
          <w:rStyle w:val="VerbatimChar"/>
        </w:rPr>
        <w:t xml:space="preserve">backend="bm25_fallback"</w:t>
      </w:r>
      <w:r>
        <w:t xml:space="preserve"> </w:t>
      </w:r>
      <w:r>
        <w:t xml:space="preserve">opt-in that records</w:t>
      </w:r>
      <w:r>
        <w:t xml:space="preserve"> </w:t>
      </w:r>
      <w:r>
        <w:rPr>
          <w:rStyle w:val="VerbatimChar"/>
        </w:rPr>
        <w:t xml:space="preserve">backend_reason: "explicit_fallback"</w:t>
      </w:r>
      <w:r>
        <w:t xml:space="preserve"> </w:t>
      </w:r>
      <w:r>
        <w:t xml:space="preserve">in</w:t>
      </w:r>
      <w:r>
        <w:t xml:space="preserve"> </w:t>
      </w:r>
      <w:r>
        <w:rPr>
          <w:rStyle w:val="VerbatimChar"/>
        </w:rPr>
        <w:t xml:space="preserve">run_config.json</w:t>
      </w:r>
      <w:r>
        <w:t xml:space="preserve">. B4 Conservative Hybrid Mode is implemented in</w:t>
      </w:r>
      <w:r>
        <w:t xml:space="preserve"> </w:t>
      </w:r>
      <w:r>
        <w:rPr>
          <w:rStyle w:val="VerbatimChar"/>
        </w:rPr>
        <w:t xml:space="preserve">src/policy_copilot/service/conservative_hybrid.py</w:t>
      </w:r>
      <w:r>
        <w:t xml:space="preserve"> </w:t>
      </w:r>
      <w:r>
        <w:t xml:space="preserve">as a pure post-gate policy module. Real reproducible component ablations replace the prior Sprint-5 dev-split estimates: see</w:t>
      </w:r>
      <w:r>
        <w:t xml:space="preserve"> </w:t>
      </w:r>
      <w:r>
        <w:rPr>
          <w:rStyle w:val="VerbatimChar"/>
        </w:rPr>
        <w:t xml:space="preserve">results/tables/component_ablation_final.csv</w:t>
      </w:r>
      <w:r>
        <w:t xml:space="preserve"> </w:t>
      </w:r>
      <w:r>
        <w:t xml:space="preserve">and the per-row run directories under</w:t>
      </w:r>
      <w:r>
        <w:t xml:space="preserve"> </w:t>
      </w:r>
      <w:r>
        <w:rPr>
          <w:rStyle w:val="VerbatimChar"/>
        </w:rPr>
        <w:t xml:space="preserve">results/runs/ablation_*</w:t>
      </w:r>
      <w:r>
        <w:t xml:space="preserve">. The B4 evaluation in this submission is replay-based over the retained B3-Generative outputs (no live LLM calls were available); the replay outputs live at</w:t>
      </w:r>
      <w:r>
        <w:t xml:space="preserve"> </w:t>
      </w:r>
      <w:r>
        <w:rPr>
          <w:rStyle w:val="VerbatimChar"/>
        </w:rPr>
        <w:t xml:space="preserve">results/runs/b4_conservative_hybrid_replay_v2_final/</w:t>
      </w:r>
      <w:r>
        <w:t xml:space="preserve">. Bootstrap CIs over the corrected v2 denominators are in</w:t>
      </w:r>
      <w:r>
        <w:t xml:space="preserve"> </w:t>
      </w:r>
      <w:r>
        <w:rPr>
          <w:rStyle w:val="VerbatimChar"/>
        </w:rPr>
        <w:t xml:space="preserve">results/tables/statistical_confidence_v2.csv</w:t>
      </w:r>
      <w:r>
        <w:t xml:space="preserve">.</w:t>
      </w:r>
    </w:p>
    <w:p>
      <w:pPr>
        <w:jc w:val="both"/>
      </w:pPr>
      <w:r>
        <w:t xml:space="preserve">Commands to reproduce (offline, no API key):</w:t>
      </w:r>
    </w:p>
    <w:p>
      <w:pPr>
        <w:pStyle w:val="SourceCode"/>
      </w:pPr>
      <w:r>
        <w:rPr>
          <w:rStyle w:val="VerbatimChar"/>
          <w:rFonts w:ascii="Courier New" w:hAnsi="Courier New" w:cs="Courier New"/>
          <w:sz w:val="18"/>
        </w:rPr>
        <w:t xml:space="preserve">$ pip install -e ".[ml]"</w:t>
      </w:r>
      <w:r>
        <w:rPr>
          <w:rFonts w:ascii="Courier New" w:hAnsi="Courier New" w:cs="Courier New"/>
          <w:sz w:val="18"/>
        </w:rPr>
        <w:br/>
      </w:r>
      <w:r>
        <w:rPr>
          <w:rStyle w:val="VerbatimChar"/>
          <w:rFonts w:ascii="Courier New" w:hAnsi="Courier New" w:cs="Courier New"/>
          <w:sz w:val="18"/>
        </w:rPr>
        <w:t xml:space="preserve">$ python scripts/build_index.py</w:t>
      </w:r>
      <w:r>
        <w:rPr>
          <w:rFonts w:ascii="Courier New" w:hAnsi="Courier New" w:cs="Courier New"/>
          <w:sz w:val="18"/>
        </w:rPr>
        <w:br/>
      </w:r>
      <w:r>
        <w:rPr>
          <w:rStyle w:val="VerbatimChar"/>
          <w:rFonts w:ascii="Courier New" w:hAnsi="Courier New" w:cs="Courier New"/>
          <w:sz w:val="18"/>
        </w:rPr>
        <w:t xml:space="preserve">$ python scripts/audit_golden_set_labels.py</w:t>
      </w:r>
      <w:r>
        <w:rPr>
          <w:rFonts w:ascii="Courier New" w:hAnsi="Courier New" w:cs="Courier New"/>
          <w:sz w:val="18"/>
        </w:rPr>
        <w:br/>
      </w:r>
      <w:r>
        <w:rPr>
          <w:rStyle w:val="VerbatimChar"/>
          <w:rFonts w:ascii="Courier New" w:hAnsi="Courier New" w:cs="Courier New"/>
          <w:sz w:val="18"/>
        </w:rPr>
        <w:t xml:space="preserve">$ python scripts/replay_score_runs.py</w:t>
      </w:r>
      <w:r>
        <w:rPr>
          <w:rFonts w:ascii="Courier New" w:hAnsi="Courier New" w:cs="Courier New"/>
          <w:sz w:val="18"/>
        </w:rPr>
        <w:br/>
      </w:r>
      <w:r>
        <w:rPr>
          <w:rStyle w:val="VerbatimChar"/>
          <w:rFonts w:ascii="Courier New" w:hAnsi="Courier New" w:cs="Courier New"/>
          <w:sz w:val="18"/>
        </w:rPr>
        <w:t xml:space="preserve">$ python scripts/run_eval.py --baseline b3 --mode extractive --backend hybrid \</w:t>
      </w:r>
      <w:r>
        <w:rPr>
          <w:rFonts w:ascii="Courier New" w:hAnsi="Courier New" w:cs="Courier New"/>
          <w:sz w:val="18"/>
        </w:rPr>
        <w:br/>
      </w:r>
      <w:r>
        <w:rPr>
          <w:rStyle w:val="VerbatimChar"/>
          <w:rFonts w:ascii="Courier New" w:hAnsi="Courier New" w:cs="Courier New"/>
          <w:sz w:val="18"/>
        </w:rPr>
        <w:t xml:space="preserve">    --split all --golden_set eval/golden_set/golden_set_v2_corrected.csv \</w:t>
      </w:r>
      <w:r>
        <w:rPr>
          <w:rFonts w:ascii="Courier New" w:hAnsi="Courier New" w:cs="Courier New"/>
          <w:sz w:val="18"/>
        </w:rPr>
        <w:br/>
      </w:r>
      <w:r>
        <w:rPr>
          <w:rStyle w:val="VerbatimChar"/>
          <w:rFonts w:ascii="Courier New" w:hAnsi="Courier New" w:cs="Courier New"/>
          <w:sz w:val="18"/>
        </w:rPr>
        <w:t xml:space="preserve">    --run_name b3_extractive_hybrid_v2_final --force</w:t>
      </w:r>
      <w:r>
        <w:rPr>
          <w:rFonts w:ascii="Courier New" w:hAnsi="Courier New" w:cs="Courier New"/>
          <w:sz w:val="18"/>
        </w:rPr>
        <w:br/>
      </w:r>
      <w:r>
        <w:rPr>
          <w:rStyle w:val="VerbatimChar"/>
          <w:rFonts w:ascii="Courier New" w:hAnsi="Courier New" w:cs="Courier New"/>
          <w:sz w:val="18"/>
        </w:rPr>
        <w:t xml:space="preserve">$ python scripts/run_b4_replay.py</w:t>
      </w:r>
      <w:r>
        <w:rPr>
          <w:rFonts w:ascii="Courier New" w:hAnsi="Courier New" w:cs="Courier New"/>
          <w:sz w:val="18"/>
        </w:rPr>
        <w:br/>
      </w:r>
      <w:r>
        <w:rPr>
          <w:rStyle w:val="VerbatimChar"/>
          <w:rFonts w:ascii="Courier New" w:hAnsi="Courier New" w:cs="Courier New"/>
          <w:sz w:val="18"/>
        </w:rPr>
        <w:t xml:space="preserve">$ python scripts/run_component_ablations.py</w:t>
      </w:r>
      <w:r>
        <w:rPr>
          <w:rFonts w:ascii="Courier New" w:hAnsi="Courier New" w:cs="Courier New"/>
          <w:sz w:val="18"/>
        </w:rPr>
        <w:br/>
      </w:r>
      <w:r>
        <w:rPr>
          <w:rStyle w:val="VerbatimChar"/>
          <w:rFonts w:ascii="Courier New" w:hAnsi="Courier New" w:cs="Courier New"/>
          <w:sz w:val="18"/>
        </w:rPr>
        <w:t xml:space="preserve">$ python scripts/compute_bootstrap_ci_v2.py</w:t>
      </w:r>
      <w:r>
        <w:rPr>
          <w:rFonts w:ascii="Courier New" w:hAnsi="Courier New" w:cs="Courier New"/>
          <w:sz w:val="18"/>
        </w:rPr>
        <w:br/>
      </w:r>
      <w:r>
        <w:rPr>
          <w:rStyle w:val="VerbatimChar"/>
          <w:rFonts w:ascii="Courier New" w:hAnsi="Courier New" w:cs="Courier New"/>
          <w:sz w:val="18"/>
        </w:rPr>
        <w:t xml:space="preserve">$ python scripts/aggregate_v2_run_summary.py</w:t>
      </w:r>
    </w:p>
    <w:p>
      <w:pPr>
        <w:jc w:val="both"/>
      </w:pPr>
    </w:p>
    <w:p>
      <w:pPr>
        <w:jc w:val="both"/>
      </w:pPr>
      <w:r>
        <w:t xml:space="preserve">Figure B.5: Baseline comparison on the corrected v2 golden set with the hybrid (dense + BM25 RRF) backend, produced by</w:t>
      </w:r>
      <w:r>
        <w:t xml:space="preserve"> </w:t>
      </w:r>
      <w:r>
        <w:rPr>
          <w:rStyle w:val="VerbatimChar"/>
        </w:rPr>
        <w:t xml:space="preserve">scripts/aggregate_v2_run_summary.py</w:t>
      </w:r>
      <w:r>
        <w:t xml:space="preserve">. Bars are Answer Rate, Abstention Accuracy, Evidence Recall@5, and Citation Precision. B2-Ext is a permissive baseline (no abstention gate). B3-Ext and B4 are the two final reportable configurations on the corrected denominators.</w:t>
      </w:r>
    </w:p>
    <w:bookmarkEnd w:id="112"/>
    <w:bookmarkStart w:id="113" w:name="b.7.7-vertical-slice-case-study"/>
    <w:p>
      <w:pPr>
        <w:pStyle w:val="Heading3"/>
      </w:pPr>
      <w:r>
        <w:t xml:space="preserve">B.7.7 Vertical-slice case study</w:t>
      </w:r>
    </w:p>
    <w:p>
      <w:pPr>
        <w:jc w:val="both"/>
      </w:pPr>
      <w:r>
        <w:t xml:space="preserve">Three short traces from the corrected v2 run show how the system actually behaves end-to-end. Every value below is a verbatim excerpt from</w:t>
      </w:r>
      <w:r>
        <w:t xml:space="preserve"> </w:t>
      </w:r>
      <w:r>
        <w:rPr>
          <w:rStyle w:val="VerbatimChar"/>
        </w:rPr>
        <w:t xml:space="preserve">results/runs/b3_generative_v2/outputs.jsonl</w:t>
      </w:r>
      <w:r>
        <w:t xml:space="preserve">; no values are rounded or paraphrased. The full audit-export files at</w:t>
      </w:r>
      <w:r>
        <w:t xml:space="preserve"> </w:t>
      </w:r>
      <w:r>
        <w:rPr>
          <w:rStyle w:val="VerbatimChar"/>
        </w:rPr>
        <w:t xml:space="preserve">docs/evidence/verification/audit_export_*.md</w:t>
      </w:r>
      <w:r>
        <w:t xml:space="preserve"> </w:t>
      </w:r>
      <w:r>
        <w:t xml:space="preserve">carry the same records with the complete evidence and claim-verification trees.</w:t>
      </w:r>
    </w:p>
    <w:p>
      <w:pPr>
        <w:jc w:val="both"/>
      </w:pPr>
      <w:r>
        <w:rPr>
          <w:b/>
          <w:bCs/>
        </w:rPr>
        <w:t xml:space="preserve">Trace 1 — answerable (</w:t>
      </w:r>
      <w:r>
        <w:rPr>
          <w:rStyle w:val="VerbatimChar"/>
          <w:b/>
          <w:bCs/>
        </w:rPr>
        <w:t xml:space="preserve">q_018</w:t>
      </w:r>
      <w:r>
        <w:rPr>
          <w:b/>
          <w:bCs/>
        </w:rPr>
        <w:t xml:space="preserve">,</w:t>
      </w:r>
      <w:r>
        <w:rPr>
          <w:b/>
          <w:bCs/>
        </w:rPr>
        <w:t xml:space="preserve"> </w:t>
      </w:r>
      <w:r>
        <w:rPr>
          <w:b/>
          <w:bCs/>
        </w:rPr>
        <w:t xml:space="preserve">“What is the minimum password length?”</w:t>
      </w:r>
      <w:r>
        <w:rPr>
          <w:b/>
          <w:bCs/>
        </w:rPr>
        <w:t xml:space="preserve">).</w:t>
      </w:r>
      <w:r>
        <w:t xml:space="preserve"> </w:t>
      </w:r>
      <w:r>
        <w:t xml:space="preserve">Top retrieved paragraph:</w:t>
      </w:r>
      <w:r>
        <w:t xml:space="preserve"> </w:t>
      </w:r>
      <w:r>
        <w:rPr>
          <w:rStyle w:val="VerbatimChar"/>
        </w:rPr>
        <w:t xml:space="preserve">it_security_addendum_2025::p0003::i0000</w:t>
      </w:r>
      <w:r>
        <w:t xml:space="preserve"> </w:t>
      </w:r>
      <w:r>
        <w:t xml:space="preserve">(rerank 1.0). The generative answer cites that paragraph verbatim:</w:t>
      </w:r>
      <w:r>
        <w:t xml:space="preserve"> </w:t>
      </w:r>
      <w:r>
        <w:t xml:space="preserve">“The minimum password length is now 12 characters, which has been increased from the previous requirement of 8 characters.”</w:t>
      </w:r>
      <w:r>
        <w:t xml:space="preserve"> </w:t>
      </w:r>
      <w:r>
        <w:t xml:space="preserve">Claim verification reports</w:t>
      </w:r>
      <w:r>
        <w:t xml:space="preserve"> </w:t>
      </w:r>
      <w:r>
        <w:rPr>
          <w:rStyle w:val="VerbatimChar"/>
        </w:rPr>
        <w:t xml:space="preserve">support_rate = 1.0</w:t>
      </w:r>
      <w:r>
        <w:t xml:space="preserve"> </w:t>
      </w:r>
      <w:r>
        <w:t xml:space="preserve">(1 of 1 claim supported). The response surfaces; this is the clean path through B3-Generative.</w:t>
      </w:r>
    </w:p>
    <w:p>
      <w:pPr>
        <w:jc w:val="both"/>
      </w:pPr>
      <w:r>
        <w:rPr>
          <w:b/>
          <w:bCs/>
        </w:rPr>
        <w:t xml:space="preserve">Trace 2 — unanswerable (</w:t>
      </w:r>
      <w:r>
        <w:rPr>
          <w:rStyle w:val="VerbatimChar"/>
          <w:b/>
          <w:bCs/>
        </w:rPr>
        <w:t xml:space="preserve">q_005</w:t>
      </w:r>
      <w:r>
        <w:rPr>
          <w:b/>
          <w:bCs/>
        </w:rPr>
        <w:t xml:space="preserve">,</w:t>
      </w:r>
      <w:r>
        <w:rPr>
          <w:b/>
          <w:bCs/>
        </w:rPr>
        <w:t xml:space="preserve"> </w:t>
      </w:r>
      <w:r>
        <w:rPr>
          <w:b/>
          <w:bCs/>
        </w:rPr>
        <w:t xml:space="preserve">“What is the company holiday allowance?”</w:t>
      </w:r>
      <w:r>
        <w:rPr>
          <w:b/>
          <w:bCs/>
        </w:rPr>
        <w:t xml:space="preserve">).</w:t>
      </w:r>
      <w:r>
        <w:t xml:space="preserve"> </w:t>
      </w:r>
      <w:r>
        <w:t xml:space="preserve">The corpus does not specify a holiday allowance. The reranker still returns a top paragraph at rerank 1.0 (BM25 saturation), so the pre-LLM gate does not fire. The LLM is invoked, produces an answer attempt, but the post-LLM verifier flags no supported claims;</w:t>
      </w:r>
      <w:r>
        <w:t xml:space="preserve"> </w:t>
      </w:r>
      <w:r>
        <w:rPr>
          <w:rStyle w:val="VerbatimChar"/>
        </w:rPr>
        <w:t xml:space="preserve">claim_verification.support_rate</w:t>
      </w:r>
      <w:r>
        <w:t xml:space="preserve"> </w:t>
      </w:r>
      <w:r>
        <w:t xml:space="preserve">is null, the response is downgraded to</w:t>
      </w:r>
      <w:r>
        <w:t xml:space="preserve"> </w:t>
      </w:r>
      <w:r>
        <w:rPr>
          <w:rStyle w:val="VerbatimChar"/>
        </w:rPr>
        <w:t xml:space="preserve">INSUFFICIENT_EVIDENCE</w:t>
      </w:r>
      <w:r>
        <w:t xml:space="preserve">, and</w:t>
      </w:r>
      <w:r>
        <w:t xml:space="preserve"> </w:t>
      </w:r>
      <w:r>
        <w:rPr>
          <w:rStyle w:val="VerbatimChar"/>
        </w:rPr>
        <w:t xml:space="preserve">is_abstained = True</w:t>
      </w:r>
      <w:r>
        <w:t xml:space="preserve">. The user sees a refusal rather than a guessed answer. This is exactly the failure case the abstention gate exists for.</w:t>
      </w:r>
    </w:p>
    <w:p>
      <w:pPr>
        <w:jc w:val="both"/>
      </w:pPr>
      <w:r>
        <w:rPr>
          <w:b/>
          <w:bCs/>
        </w:rPr>
        <w:t xml:space="preserve">Trace 3 — contradiction (</w:t>
      </w:r>
      <w:r>
        <w:rPr>
          <w:rStyle w:val="VerbatimChar"/>
          <w:b/>
          <w:bCs/>
        </w:rPr>
        <w:t xml:space="preserve">q_057</w:t>
      </w:r>
      <w:r>
        <w:rPr>
          <w:b/>
          <w:bCs/>
        </w:rPr>
        <w:t xml:space="preserve">,</w:t>
      </w:r>
      <w:r>
        <w:rPr>
          <w:b/>
          <w:bCs/>
        </w:rPr>
        <w:t xml:space="preserve"> </w:t>
      </w:r>
      <w:r>
        <w:rPr>
          <w:b/>
          <w:bCs/>
        </w:rPr>
        <w:t xml:space="preserve">“Are visitors both allowed and not allowed in secure areas?”</w:t>
      </w:r>
      <w:r>
        <w:rPr>
          <w:b/>
          <w:bCs/>
        </w:rPr>
        <w:t xml:space="preserve">).</w:t>
      </w:r>
      <w:r>
        <w:t xml:space="preserve"> </w:t>
      </w:r>
      <w:r>
        <w:t xml:space="preserve">Top retrieved paragraphs include</w:t>
      </w:r>
      <w:r>
        <w:t xml:space="preserve"> </w:t>
      </w:r>
      <w:r>
        <w:rPr>
          <w:rStyle w:val="VerbatimChar"/>
        </w:rPr>
        <w:t xml:space="preserve">internal_policy_handbook_v2::p0010::i0001</w:t>
      </w:r>
      <w:r>
        <w:t xml:space="preserve"> </w:t>
      </w:r>
      <w:r>
        <w:t xml:space="preserve">(rerank 1.0) and</w:t>
      </w:r>
      <w:r>
        <w:t xml:space="preserve"> </w:t>
      </w:r>
      <w:r>
        <w:rPr>
          <w:rStyle w:val="VerbatimChar"/>
        </w:rPr>
        <w:t xml:space="preserve">it_security_addendum_2025::p0006::i0000</w:t>
      </w:r>
      <w:r>
        <w:t xml:space="preserve"> </w:t>
      </w:r>
      <w:r>
        <w:t xml:space="preserve">(rerank 0.87). The contradiction detector fires on five conflicting normative directives across the retrieved set (</w:t>
      </w:r>
      <w:r>
        <w:rPr>
          <w:rStyle w:val="VerbatimChar"/>
        </w:rPr>
        <w:t xml:space="preserve">must</w:t>
      </w:r>
      <w:r>
        <w:t xml:space="preserve"> </w:t>
      </w:r>
      <w:r>
        <w:t xml:space="preserve">vs</w:t>
      </w:r>
      <w:r>
        <w:t xml:space="preserve"> </w:t>
      </w:r>
      <w:r>
        <w:rPr>
          <w:rStyle w:val="VerbatimChar"/>
        </w:rPr>
        <w:t xml:space="preserve">must not</w:t>
      </w:r>
      <w:r>
        <w:t xml:space="preserve"> </w:t>
      </w:r>
      <w:r>
        <w:t xml:space="preserve">pairs). The system surfaces a synthesised answer that quotes both sides and appends a contradiction note:</w:t>
      </w:r>
      <w:r>
        <w:t xml:space="preserve"> </w:t>
      </w:r>
      <w:r>
        <w:t xml:space="preserve">“some evidence sources may conflict on this point”</w:t>
      </w:r>
      <w:r>
        <w:t xml:space="preserve">. Claim verification reports</w:t>
      </w:r>
      <w:r>
        <w:t xml:space="preserve"> </w:t>
      </w:r>
      <w:r>
        <w:rPr>
          <w:rStyle w:val="VerbatimChar"/>
        </w:rPr>
        <w:t xml:space="preserve">support_rate = 1.0</w:t>
      </w:r>
      <w:r>
        <w:t xml:space="preserve"> </w:t>
      </w:r>
      <w:r>
        <w:t xml:space="preserve">(3 of 3 claims supported). The user gets the answer and the warning together.</w:t>
      </w:r>
    </w:p>
    <w:bookmarkEnd w:id="113"/>
    <w:bookmarkStart w:id="114" w:name="b.7.8-b5-evidence-gated-hybrid"/>
    <w:p>
      <w:pPr>
        <w:pStyle w:val="Heading3"/>
      </w:pPr>
      <w:r>
        <w:t xml:space="preserve">B.7.8 B5 Evidence-Gated Hybrid</w:t>
      </w:r>
    </w:p>
    <w:p>
      <w:pPr>
        <w:jc w:val="both"/>
      </w:pPr>
      <w:r>
        <w:t xml:space="preserve">B5 is the project’s final headline mode for high-coverage audit use. It runs the same hybrid (dense + BM25 via RRF) retrieval and cross-encoder reranking as B3-Extractive, then applies a deterministic answerability gate over the top retrieved paragraph: (i) a rerank floor, (ii) a lexical-overlap floor, (iii) a</w:t>
      </w:r>
      <w:r>
        <w:t xml:space="preserve"> </w:t>
      </w:r>
      <w:r>
        <w:t xml:space="preserve">“high rerank + low overlap + question qualifier missing from paragraph”</w:t>
      </w:r>
      <w:r>
        <w:t xml:space="preserve"> </w:t>
      </w:r>
      <w:r>
        <w:t xml:space="preserve">anomaly filter using a static policy-domain qualifier dictionary, and (iv) a numeric-question evidence requirement (numeric-shape questions must retrieve a paragraph containing a digit). The gate calls no LLM. Citations are the retrieved paragraph IDs only. When a query has the lexical signature of a contradiction probe and two conflicting paragraphs are retrieved, B5 surfaces both with both citations.</w:t>
      </w:r>
    </w:p>
    <w:p>
      <w:pPr>
        <w:jc w:val="both"/>
      </w:pPr>
      <w:r>
        <w:t xml:space="preserve">The gate thresholds were tuned on the dev split of the corrected v2 golden set (</w:t>
      </w:r>
      <w:r>
        <w:rPr>
          <w:rStyle w:val="VerbatimChar"/>
        </w:rPr>
        <w:t xml:space="preserve">scripts/tune_answerability_gate.py</w:t>
      </w:r>
      <w:r>
        <w:t xml:space="preserve">). The dev split has n=4 unanswerable queries, so the safety threshold is coarse: 3/4 gives 75% and 4/4 gives 100%. I therefore used the dev split to reject clearly unsafe thresholds, then checked the selected setting against the full corrected set before reporting it (</w:t>
      </w:r>
      <w:r>
        <w:rPr>
          <w:rStyle w:val="VerbatimChar"/>
        </w:rPr>
        <w:t xml:space="preserve">results/tables/b5_threshold_sweep_dev.csv</w:t>
      </w:r>
      <w:r>
        <w:t xml:space="preserve">). Selected configuration:</w:t>
      </w:r>
      <w:r>
        <w:t xml:space="preserve"> </w:t>
      </w:r>
      <w:r>
        <w:rPr>
          <w:rStyle w:val="VerbatimChar"/>
        </w:rPr>
        <w:t xml:space="preserve">overlap_floor = 0.05</w:t>
      </w:r>
      <w:r>
        <w:t xml:space="preserve">,</w:t>
      </w:r>
      <w:r>
        <w:t xml:space="preserve"> </w:t>
      </w:r>
      <w:r>
        <w:rPr>
          <w:rStyle w:val="VerbatimChar"/>
        </w:rPr>
        <w:t xml:space="preserve">high_rerank = 0.90</w:t>
      </w:r>
      <w:r>
        <w:t xml:space="preserve">, qualifier filter on, numeric filter on.</w:t>
      </w:r>
    </w:p>
    <w:p>
      <w:pPr>
        <w:jc w:val="both"/>
      </w:pPr>
      <w:r>
        <w:t xml:space="preserve">On the full corrected v2 set, B5 reaches Answer Rate 90.0% (36/40 answerable surfaced), Abstention Accuracy 84.6% (11/13 unanswerable correctly abstained), Citation Precision 100%, surfaced Ungrounded Rate 0%. The two remaining unanswerable false positives (q_006</w:t>
      </w:r>
      <w:r>
        <w:t xml:space="preserve"> </w:t>
      </w:r>
      <w:r>
        <w:t xml:space="preserve">“non-sensitive”</w:t>
      </w:r>
      <w:r>
        <w:t xml:space="preserve"> </w:t>
      </w:r>
      <w:r>
        <w:t xml:space="preserve">encryption and q_017</w:t>
      </w:r>
      <w:r>
        <w:t xml:space="preserve"> </w:t>
      </w:r>
      <w:r>
        <w:t xml:space="preserve">“part-time”</w:t>
      </w:r>
      <w:r>
        <w:t xml:space="preserve"> </w:t>
      </w:r>
      <w:r>
        <w:t xml:space="preserve">remote work) and four answerable false negatives (q_020 retrieval failure, q_023, q_050, q_062 borderline overlap) are documented in</w:t>
      </w:r>
      <w:r>
        <w:t xml:space="preserve"> </w:t>
      </w:r>
      <w:r>
        <w:rPr>
          <w:rStyle w:val="VerbatimChar"/>
        </w:rPr>
        <w:t xml:space="preserve">docs/evidence/verification/b5_failure_analysis.md</w:t>
      </w:r>
      <w:r>
        <w:t xml:space="preserve">.</w:t>
      </w:r>
    </w:p>
    <w:p>
      <w:pPr>
        <w:jc w:val="both"/>
      </w:pPr>
      <w:r>
        <w:t xml:space="preserve">Artefacts (offline-reproducible, no API keys):</w:t>
      </w:r>
    </w:p>
    <w:p>
      <w:pPr>
        <w:numPr>
          <w:ilvl w:val="0"/>
          <w:numId w:val="1016"/>
        </w:numPr>
        <w:jc w:val="both"/>
      </w:pPr>
      <w:r>
        <w:rPr>
          <w:rStyle w:val="VerbatimChar"/>
        </w:rPr>
        <w:t xml:space="preserve">src/policy_copilot/service/evidence_gated_hybrid.py</w:t>
      </w:r>
      <w:r>
        <w:t xml:space="preserve"> </w:t>
      </w:r>
      <w:r>
        <w:t xml:space="preserve">— the gate module</w:t>
      </w:r>
    </w:p>
    <w:p>
      <w:pPr>
        <w:numPr>
          <w:ilvl w:val="0"/>
          <w:numId w:val="1016"/>
        </w:numPr>
        <w:jc w:val="both"/>
      </w:pPr>
      <w:r>
        <w:rPr>
          <w:rStyle w:val="VerbatimChar"/>
        </w:rPr>
        <w:t xml:space="preserve">scripts/run_b5_evidence_gated_hybrid.py</w:t>
      </w:r>
      <w:r>
        <w:t xml:space="preserve"> </w:t>
      </w:r>
      <w:r>
        <w:t xml:space="preserve">— runner</w:t>
      </w:r>
    </w:p>
    <w:p>
      <w:pPr>
        <w:numPr>
          <w:ilvl w:val="0"/>
          <w:numId w:val="1016"/>
        </w:numPr>
        <w:jc w:val="both"/>
      </w:pPr>
      <w:r>
        <w:rPr>
          <w:rStyle w:val="VerbatimChar"/>
        </w:rPr>
        <w:t xml:space="preserve">scripts/tune_answerability_gate.py</w:t>
      </w:r>
      <w:r>
        <w:t xml:space="preserve"> </w:t>
      </w:r>
      <w:r>
        <w:t xml:space="preserve">— dev-split threshold sweep</w:t>
      </w:r>
    </w:p>
    <w:p>
      <w:pPr>
        <w:numPr>
          <w:ilvl w:val="0"/>
          <w:numId w:val="1016"/>
        </w:numPr>
        <w:jc w:val="both"/>
      </w:pPr>
      <w:r>
        <w:rPr>
          <w:rStyle w:val="VerbatimChar"/>
        </w:rPr>
        <w:t xml:space="preserve">scripts/analyse_b5_failures.py</w:t>
      </w:r>
      <w:r>
        <w:t xml:space="preserve"> </w:t>
      </w:r>
      <w:r>
        <w:t xml:space="preserve">— failure analysis</w:t>
      </w:r>
    </w:p>
    <w:p>
      <w:pPr>
        <w:numPr>
          <w:ilvl w:val="0"/>
          <w:numId w:val="1016"/>
        </w:numPr>
        <w:jc w:val="both"/>
      </w:pPr>
      <w:r>
        <w:rPr>
          <w:rStyle w:val="VerbatimChar"/>
        </w:rPr>
        <w:t xml:space="preserve">results/runs/b5_evidence_gated_hybrid_v3_final/</w:t>
      </w:r>
      <w:r>
        <w:t xml:space="preserve"> </w:t>
      </w:r>
      <w:r>
        <w:t xml:space="preserve">— the final B5 run</w:t>
      </w:r>
    </w:p>
    <w:p>
      <w:pPr>
        <w:numPr>
          <w:ilvl w:val="0"/>
          <w:numId w:val="1016"/>
        </w:numPr>
        <w:jc w:val="both"/>
      </w:pPr>
      <w:r>
        <w:rPr>
          <w:rStyle w:val="VerbatimChar"/>
        </w:rPr>
        <w:t xml:space="preserve">results/tables/b5_threshold_sweep_dev.csv</w:t>
      </w:r>
      <w:r>
        <w:t xml:space="preserve"> </w:t>
      </w:r>
      <w:r>
        <w:t xml:space="preserve">— sweep evidence</w:t>
      </w:r>
    </w:p>
    <w:p>
      <w:pPr>
        <w:numPr>
          <w:ilvl w:val="0"/>
          <w:numId w:val="1016"/>
        </w:numPr>
        <w:jc w:val="both"/>
      </w:pPr>
      <w:r>
        <w:rPr>
          <w:rStyle w:val="VerbatimChar"/>
        </w:rPr>
        <w:t xml:space="preserve">results/tables/b5_failure_analysis.csv</w:t>
      </w:r>
      <w:r>
        <w:t xml:space="preserve"> </w:t>
      </w:r>
      <w:r>
        <w:t xml:space="preserve">and</w:t>
      </w:r>
      <w:r>
        <w:t xml:space="preserve"> </w:t>
      </w:r>
      <w:r>
        <w:rPr>
          <w:rStyle w:val="VerbatimChar"/>
        </w:rPr>
        <w:t xml:space="preserve">docs/evidence/verification/b5_failure_analysis.md</w:t>
      </w:r>
    </w:p>
    <w:p>
      <w:pPr>
        <w:numPr>
          <w:ilvl w:val="0"/>
          <w:numId w:val="1016"/>
        </w:numPr>
        <w:jc w:val="both"/>
      </w:pPr>
      <w:r>
        <w:rPr>
          <w:rStyle w:val="VerbatimChar"/>
        </w:rPr>
        <w:t xml:space="preserve">tests/test_b5_evidence_gated_hybrid.py</w:t>
      </w:r>
      <w:r>
        <w:t xml:space="preserve"> </w:t>
      </w:r>
      <w:r>
        <w:t xml:space="preserve">— fifteen unit tests covering the gate rules and the no-gold-label-leakage guard</w:t>
      </w:r>
    </w:p>
    <w:bookmarkEnd w:id="114"/>
    <w:bookmarkEnd w:id="115"/>
    <w:bookmarkStart w:id="116" w:name="Xc3be17a6feaf50557485e1a44d8c28c1b4a5841"/>
    <w:p>
      <w:pPr>
        <w:pStyle w:val="Heading2"/>
      </w:pPr>
      <w:r>
        <w:t xml:space="preserve">B.8 Comparative Analysis Table (referenced from §1.10)</w:t>
      </w:r>
    </w:p>
    <w:p>
      <w:pPr>
        <w:jc w:val="both"/>
      </w:pPr>
    </w:p>
    <w:p>
      <w:pPr>
        <w:jc w:val="both"/>
      </w:pPr>
      <w:r>
        <w:rPr>
          <w:b/>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Standard RAG (Lewis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DPR (Karpukhin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Attributed QA (Bohnet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RARR (Gao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Self-RAG (Asai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ASPIRE (Chen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FreshLLMs (Vu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ColBERT (Khattab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LegalBench (Guha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Policy Copilot (This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6"/>
    <w:bookmarkStart w:id="117" w:name="Xf0c58931cf1f4f9947cff1d32ed89fe21673d20"/>
    <w:p>
      <w:pPr>
        <w:pStyle w:val="Heading2"/>
      </w:pPr>
      <w:r>
        <w:t xml:space="preserve">B.9 Test Suite Matrix (referenced from §3.9)</w:t>
      </w:r>
    </w:p>
    <w:p>
      <w:pPr>
        <w:jc w:val="both"/>
      </w:pPr>
    </w:p>
    <w:p>
      <w:pPr>
        <w:jc w:val="both"/>
      </w:pPr>
      <w:r>
        <w:rPr>
          <w:b/>
          <w:sz w:val="21"/>
        </w:rPr>
        <w:t xml:space="preserve">Table B.2: Representative testing and validation matrix. The 60 test files collect 346 pytest cases under the documented evaluator command (344 passed, 2 conditionally skipped); the 19 files listed below are representative files cited from the report body, while the remaining files cover additional edge cases and infrastructure checks (including the B5 evidence-gated gate and full-run integrity tests).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7"/>
    <w:bookmarkStart w:id="118"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t xml:space="preserve">Anonymisation statement. 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t xml:space="preserve">Rubric. 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t xml:space="preserve">Participant information and consent. 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t xml:space="preserve">Per-category breakdown. 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t xml:space="preserve">Thematic coding of comments. 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t xml:space="preserve">Round 2: Per-Query Collection and Inter-Rater Agreement. 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t xml:space="preserve">Limitations of this evaluation. 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8"/>
    <w:bookmarkStart w:id="119"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the synthetic HR Procedures Manual discipline content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9"/>
    <w:bookmarkStart w:id="120" w:name="X5532cf3a175e2089dfac91e42eccb777b60a359"/>
    <w:p>
      <w:pPr>
        <w:pStyle w:val="Heading2"/>
      </w:pPr>
      <w:r>
        <w:t xml:space="preserve">B.12 Adversarial and Audit Export Evidence (referenced from L5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(discussed under Limitation L5) and a small set of verbatim audit-export examples from the B3-Generative final run.</w:t>
      </w:r>
    </w:p>
    <w:p>
      <w:pPr>
        <w:jc w:val="both"/>
      </w:pPr>
      <w:r>
        <w:t xml:space="preserve">Adversarial probe. 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 safe response is either an</w:t>
      </w:r>
      <w:r>
        <w:t xml:space="preserve"> </w:t>
      </w:r>
      <w:r>
        <w:rPr>
          <w:rStyle w:val="VerbatimChar"/>
        </w:rPr>
        <w:t xml:space="preserve">INSUFFICIENT_EVIDENCE</w:t>
      </w:r>
      <w:r>
        <w:t xml:space="preserve"> </w:t>
      </w:r>
      <w:r>
        <w:t xml:space="preserve">abstention or a grounded answer whose citations all map to real paragraph IDs in the corpus index; fabricated citation and unsupported answer 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a dedicated LLM red-teaming framework and is listed as future work in §5.3.</w:t>
      </w:r>
    </w:p>
    <w:p>
      <w:pPr>
        <w:jc w:val="both"/>
      </w:pPr>
      <w:r>
        <w:t xml:space="preserve">Audit export examples. 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t xml:space="preserve">Public-transfer failure taxonomy (cross-reference). 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20"/>
    <w:bookmarkStart w:id="121" w:name="Xfa64450973ec02010b41142dcebae655aafd61a"/>
    <w:p>
      <w:pPr>
        <w:pStyle w:val="Heading2"/>
      </w:pPr>
      <w:r>
        <w:t xml:space="preserve">B.13 Threats to Validity Summary (referenced from §5.2)</w:t>
      </w:r>
    </w:p>
    <w:p>
      <w:pPr>
        <w:jc w:val="both"/>
      </w:pPr>
      <w:r>
        <w:t xml:space="preserve">This appendix compiles the residual threats to validity for the project alongside the mitigation actually taken and the remaining weakness for each. It is referenced from §5.2 and is provided so that a reader can scan the threats in one place without leaving the limitations narrative.</w:t>
      </w:r>
    </w:p>
    <w:p>
      <w:pPr>
        <w:jc w:val="both"/>
      </w:pPr>
    </w:p>
    <w:p>
      <w:pPr>
        <w:jc w:val="both"/>
      </w:pPr>
      <w:r>
        <w:rPr>
          <w:b/>
          <w:bCs/>
          <w:sz w:val="21"/>
        </w:rPr>
        <w:t xml:space="preserve">Table B.7: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Mixed backend provenance across generative replay and hybrid extractive/B5 runs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B3-Generative is replayed from retained BM25-source outputs while B3-Extractive and B5 use the reproducible hybrid dense+BM25 backend; a reader could misinterpret all rows as using the same backend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Each</w:t>
            </w:r>
            <w:r>
              <w:rPr>
                <w:rFonts w:ascii="Times New Roman" w:hAnsi="Times New Roman"/>
                <w:color w:val="000000"/>
                <w:sz w:val="18"/>
              </w:rPr>
              <w:t xml:space="preserve"> </w:t>
            </w:r>
            <w:r>
              <w:rPr>
                <w:rStyle w:val="VerbatimChar"/>
                <w:rFonts w:ascii="Times New Roman" w:hAnsi="Times New Roman"/>
                <w:color w:val="000000"/>
                <w:sz w:val="18"/>
              </w:rPr>
              <w:t>run_​config.json</w:t>
            </w:r>
            <w:r>
              <w:rPr>
                <w:rFonts w:ascii="Times New Roman" w:hAnsi="Times New Roman"/>
                <w:color w:val="000000"/>
                <w:sz w:val="18"/>
              </w:rPr>
              <w:t xml:space="preserve"> </w:t>
            </w:r>
            <w:r>
              <w:rPr>
                <w:rFonts w:ascii="Times New Roman" w:hAnsi="Times New Roman"/>
                <w:color w:val="000000"/>
                <w:sz w:val="18"/>
              </w:rPr>
              <w:t xml:space="preserve">records</w:t>
            </w:r>
            <w:r>
              <w:rPr>
                <w:rFonts w:ascii="Times New Roman" w:hAnsi="Times New Roman"/>
                <w:color w:val="000000"/>
                <w:sz w:val="18"/>
              </w:rPr>
              <w:t xml:space="preserve"> </w:t>
            </w:r>
            <w:r>
              <w:rPr>
                <w:rStyle w:val="VerbatimChar"/>
                <w:rFonts w:ascii="Times New Roman" w:hAnsi="Times New Roman"/>
                <w:color w:val="000000"/>
                <w:sz w:val="18"/>
              </w:rPr>
              <w:t xml:space="preserve">backend_requested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backend_used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replay_source_run</w:t>
            </w:r>
            <w:r>
              <w:rPr>
                <w:rFonts w:ascii="Times New Roman" w:hAnsi="Times New Roman"/>
                <w:color w:val="000000"/>
                <w:sz w:val="18"/>
              </w:rPr>
              <w:t xml:space="preserve"> </w:t>
            </w:r>
            <w:r>
              <w:rPr>
                <w:rFonts w:ascii="Times New Roman" w:hAnsi="Times New Roman"/>
                <w:color w:val="000000"/>
                <w:sz w:val="18"/>
              </w:rPr>
              <w:t xml:space="preserve">where applicable, and</w:t>
            </w:r>
            <w:r>
              <w:rPr>
                <w:rFonts w:ascii="Times New Roman" w:hAnsi="Times New Roman"/>
                <w:color w:val="000000"/>
                <w:sz w:val="18"/>
              </w:rPr>
              <w:t xml:space="preserve"> </w:t>
            </w:r>
            <w:r>
              <w:rPr>
                <w:rStyle w:val="VerbatimChar"/>
                <w:rFonts w:ascii="Times New Roman" w:hAnsi="Times New Roman"/>
                <w:color w:val="000000"/>
                <w:sz w:val="18"/>
              </w:rPr>
              <w:t xml:space="preserve">dense_index_sha</w:t>
            </w:r>
            <w:r>
              <w:rPr>
                <w:rFonts w:ascii="Times New Roman" w:hAnsi="Times New Roman"/>
                <w:color w:val="000000"/>
                <w:sz w:val="18"/>
              </w:rPr>
              <w:t xml:space="preserve"> </w:t>
            </w:r>
            <w:r>
              <w:rPr>
                <w:rFonts w:ascii="Times New Roman" w:hAnsi="Times New Roman"/>
                <w:color w:val="000000"/>
                <w:sz w:val="18"/>
              </w:rPr>
              <w:t xml:space="preserve">where relevant. Tables 4.2 and 4.3 state backend provenance explicitly, and</w:t>
            </w:r>
            <w:r>
              <w:rPr>
                <w:rFonts w:ascii="Times New Roman" w:hAnsi="Times New Roman"/>
                <w:color w:val="000000"/>
                <w:sz w:val="18"/>
              </w:rPr>
              <w:t xml:space="preserve"> </w:t>
            </w:r>
            <w:r>
              <w:rPr>
                <w:rStyle w:val="VerbatimChar"/>
                <w:rFonts w:ascii="Times New Roman" w:hAnsi="Times New Roman"/>
                <w:color w:val="000000"/>
                <w:sz w:val="18"/>
              </w:rPr>
              <w:t>verify_​artifacts.py</w:t>
            </w:r>
            <w:r>
              <w:rPr>
                <w:rFonts w:ascii="Times New Roman" w:hAnsi="Times New Roman"/>
                <w:color w:val="000000"/>
                <w:sz w:val="18"/>
              </w:rPr>
              <w:t xml:space="preserve"> </w:t>
            </w:r>
            <w:r>
              <w:rPr>
                <w:rFonts w:ascii="Times New Roman" w:hAnsi="Times New Roman"/>
                <w:color w:val="000000"/>
                <w:sz w:val="18"/>
              </w:rPr>
              <w:t xml:space="preserve">treats expected replay provenance as an expected notice rather than silent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generative configuration was not re-run live on the hybrid backend because no API key / quota was available at final packaging time. B5 provides the high-coverage audit mode; B3-Generative remains the strict low-coverage generative frontier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121"/>
    <w:bookmarkEnd w:id="122"/>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7" Type="http://schemas.openxmlformats.org/officeDocument/2006/relationships/hyperlink" Target="https://github.com/NathS04/policy_copilot_submission.git" TargetMode="External"/><Relationship Id="rId13" Type="http://schemas.openxmlformats.org/officeDocument/2006/relationships/image" Target="media/image13.png"/></Relationships>
</file>

<file path=word/_rels/footnotes.xml.rels><?xml version='1.0' encoding='UTF-8' standalone='yes'?>
<Relationships xmlns="http://schemas.openxmlformats.org/package/2006/relationships"><Relationship Id="rId97"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2026-05-14T12:48:14Z</dcterms:created>
  <dcterms:modified xsi:type="dcterms:W3CDTF">2026-05-14T12:48:14Z</dcterms:modified>
</cp:coreProperties>
</file>

<file path=docProps/custom.xml><?xml version="1.0" encoding="utf-8"?>
<Properties xmlns="http://schemas.openxmlformats.org/officeDocument/2006/custom-properties" xmlns:vt="http://schemas.openxmlformats.org/officeDocument/2006/docPropsVTypes"/>
</file>