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GitHub repository URL</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On top of a standard RAG pipeline the system adds four extra checks: cross-encoder reranking (which improves retrieval precision and produces the confidence signal used by the abstention gate); per-claim citation verification that uses fixed rules rather than a second LLM, which keeps the check reproducible; contradiction detection across documents; and an Extractive Fallback Mode that returns the top-ranked evidence paragraph when the LLM is unavailable.</w:t>
      </w:r>
    </w:p>
    <w:p>
      <w:pPr>
        <w:jc w:val="both"/>
      </w:pPr>
      <w:r>
        <w:t xml:space="preserve">The system was evaluated on a 63-query synthetic golden set: 36 answerable queries, 17 unanswerable queries, and 10 contradiction probes, with 44 held out for testing. On the test split, B3-Generative reports a 0.0% response-level ungrounded rate. This result needs careful interpretation. It does not show that the LLM never produced unsupported text; it shows that responses failing the support-rate check were converted into abstentions before reaching the user. The same configuration reaches 94.1% abstention accuracy on the 12 unanswerable test queries, above the 80% target, although the small sample makes the confidence interval wide.</w:t>
      </w:r>
    </w:p>
    <w:p>
      <w:pPr>
        <w:jc w:val="both"/>
      </w:pPr>
      <w:r>
        <w:t xml:space="preserve">The main cost is coverage. B3-Generative answers only 25% of test queries, well below the 85% target. Extractive Mode recovers most of that coverage with an 89% answer rate, 100% citation precision and 100% abstention accuracy, but it does so by returning quoted evidence rather than synthesised answers. The heuristic Critic Mode reaches 93.7% macro precision, 78.5% macro recall and 84.8% macro F1, just below the 85% target. Overall, the results support the safety argument on a controlled synthetic corpus, while also showing that recall, coverage and transfer to messier documents remain the main limitations.</w:t>
      </w:r>
    </w:p>
    <w:p>
      <w:pPr>
        <w:jc w:val="both"/>
      </w:pPr>
      <w:r>
        <w:t xml:space="preserve">The evaluation was deliberately layered. The main benchmark used a synthetic golden set so that answerability, expected evidence, and contradiction probes could be controlled. Three smaller checks sit around it: a peer-review exercise to test whether the outputs felt useful and trustworthy to readers, a public-guidance transfer test on text I had not authored, and a small adversarial probe focused on prompt-injection style attacks. The audit-export artefacts tie individual answers back to evidence so the headline results can be checked rather than taken on trust.</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in an assistive role during the project, including development support, debugging, structuring, and review of clarity and consistency. AI outputs were treated as suggestions or review comments rather than final authoritative text. All final technical decisions, implementation work, report wording, citations, results, figures, and submission decisions were reviewed, revised where necessary, and approved by the author. Full details are provided in Appendix B.5.</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vi</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30</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32</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36</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37</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37</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41</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44</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46</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50</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53</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54</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48</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39 test files / 194 cases (193 pass, 1 conditionally skipped)</w:t>
        </w:r>
      </w:hyperlink>
      <w:r>
        <w:rPr>
          <w:rFonts w:ascii="Times New Roman" w:hAnsi="Times New Roman" w:cs="Times New Roman"/>
          <w:sz w:val="22"/>
          <w:color w:val="000000"/>
          <w:u w:val="none"/>
        </w:rPr>
        <w:tab/>
        <w:t xml:space="preserve">49</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52</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55</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Hallucination is well documented (Ji et al., 2023; Huang et al., 2023). In a compliance setting, a wrong answer presented confidently can cause real harm: policy is misinterpreted, downstream decisions follow the wrong text, and disputes arise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does not actually force the model to use the retrieved evidence, and does not give it a way to say it does not know.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 38 included (Figure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 after 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 What I did not find was a system that combines rule-based grounding checks with explicit refusal over a small, closed corpus —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 generation 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 evaluation side, LLM-as-judge frameworks (RAGAS, RAGE) suffer from the documented position, verbosity, and self-enhancement biases (Zheng et al., 2024), and Wallat et al. (2024) show that citation correctness and faithfulness are not the same property. On the retrieval 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part of the contract the system is being designed against, rather than as features added once a working answer pipeline already exists.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 what the system promises. Non-functional requirements (NFR1 to NFR3) constrain how 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 before 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 63 queries in three categories. Answerable (36) queries have answers explicit in one or more paragraphs. Unanswerable (17) queries are plausible but absent from the corpus and test the abstention path. Contradiction (10) 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 validation subset (19 queries) for threshold tuning and a test subset (44 queries) 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Public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 abstention gate: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 Extractive Mode the LLM is bypassed entirely; the system returns the verbatim top-ranked paragraph with its citation ID, so citation precision in that mode is 100% by construction (the returned text is the cited evidence). The cost is that responses are quoted evidence rather than synthesised answers. I added this mode mainly as a fallback in case the LLM was unavailable (Table 2.2), but it turned out to be useful for evaluation too: running the same queries with and without the LLM separates what the LLM is contributing from what the retrieval and verification layers are doing on their own.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 intra-corpus contradiction,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t xml:space="preserve">Reviewer Mode (</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 39 test files and 194 cases (193 pass, 1 conditionally skipped) (</w:t>
      </w:r>
      <w:r>
        <w:rPr>
          <w:rStyle w:val="VerbatimChar"/>
        </w:rPr>
        <w:t xml:space="preserve">pytest</w:t>
      </w:r>
      <w:r>
        <w:t xml:space="preserve">) organised in three tiers: unit (functions in isolation), integration (pipeline stage interactions), and system (end-to-end and reproducibility). All 193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 Generative Mode (B1, B2, B3-Gen with LLM) and Extractive Mode (B3-Ext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 objective slice 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t xml:space="preserve">B1 answers every query but does no grounding, which is the standard hallucination baseline (Ji et al., 2023). For a compliance use-case it is not viable. B2 reaches 76.5% Abstention Accuracy without any explicit gating, just below the 80% target (FR2). I attribute this to the LLM’s own tendency to refuse on clearly irrelevant context, but its citations are not verified, so the abstention is more of a side effect than a designed behaviour. B3-Generative 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t xml:space="preserve">B3-Extractive 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 claim-level rates measured after pruning failed claims but before the response-level support-rate enforcement step. The support-rate step then suppresses any response below the minimum support threshold by converting it into an abstention. After that final step, the response-level 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 τ = 0.80 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t xml:space="preserve">Reranking had the largest effect in these ablations. Removing it quadruples the Ungrounded Rate (4% to 16%) and collapses Abstention Accuracy (94.1% to 18%), because bi-encoder cosine scores are poorly calibrated relative to cross-encoder logits; Recall@5 also drops from 85% to 68%. Verification provides a meaningful secondary safeguard: without it, claim-level Ungrounded Rate rises to the raw LLM rate (12%), so the heuristic catches roughly two-thirds of hallucinated claims. The Abstention Gate controls coverage versus safety: removing it restores 100% Answer Rate without affecting verified Ungrounded Rate, but it causes the system to attempt unanswerable queries where verification may fail. Contradiction Detection has negligible aggregate impact (it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 the dominant failure mode shifts across baselines: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t xml:space="preserve">Over-Abstention dominates,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 mean of top-3 scores rather than the maximum was tested in Sprint 6 but rejected because it degraded Abstention Accuracy on unanswerable queries. Missed Retrieval 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 Verification False Positives 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I added a small peer-review check because the automated metrics do not show how useful or trustworthy the answers feel to a reader. Six peer volunteers (three Final-Year BSc and three MSc Computer Science students, outside the project supervisory chain) each scored 20 B3-Generative query / output pairs between 14 and 18 April 2026 using a 1-to-5 Likert rubric: Correctness, Groundedness, Citation Usefulness, Usefulness, and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I ran the sessions myself rather than using a blind facilitator, so the results should be read as a small supporting check rather than a formal user study.</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broadly support the automated findings. Direct-answer cases scored highly on Correctness and Groundedness, which matches Table 4.2’s low unsupported-claim rate on the same queries. Correct abstentions were also trusted, but their Usefulness score dropped because a safe refusal is still less helpful than a good answer. Over-abstention cases were the weakest group, which is consistent with the main operating-point problem in §4.5: the system is safer because it refuses often, but that safety has a usability cost. Contradiction probes were generally trusted as legitimate. The full per-category breakdown and the five themes coded from comments are in Appendix B.10. These numbers point in the same direction as the automated metrics, but they come from a small, non-blinded, non-domain-expert sample, so they should be treated as supporting evidence rather than independent confirmation.</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test the system on text I had not written myself, I ran the same B3 pipeline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contains 8 documents, 249 paragraphs, and a 20-query test set: 12 answerable, 4 unanswerable, and 4 ambiguous-evidence cases. Provenance, licence, and access dates are recorded in Appendix B.11. Because no LLM API key was used in this run, only B3-Extractive is reported; a generative transfer test remains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fabricated cited answers on this small set</w:t>
            </w:r>
          </w:p>
        </w:tc>
      </w:tr>
    </w:tbl>
    <w:p>
      <w:pPr>
        <w:jc w:val="both"/>
      </w:pPr>
      <w:r>
        <w:t xml:space="preserve">The useful result is modest but still important. On this small extractive-only transfer set, the system did not fabricate cited answers: Citation Precision stayed at 100% because answers are quoted from the cited paragraph, and Ungrounded Rate stayed at 0%. Coverage was also similar to the synthetic test split, with a 91.7% Answer Rate compared with 89%. The weaker result is retrieval. Evidence Recall@5 dropped from 85% to 52.1%, and one unanswerable query about Cisco router configuration was answered too confidently because BM25 matched NCSC device-security guidance on the word</w:t>
      </w:r>
      <w:r>
        <w:t xml:space="preserve"> </w:t>
      </w:r>
      <w:r>
        <w:t xml:space="preserve">“configure”</w:t>
      </w:r>
      <w:r>
        <w:t xml:space="preserve">. So the transfer test supports the conservative grounding behaviour of Extractive Mode, but it does not prove broad transfer. §5.2 returns to this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is the final reported figure because it comes from the BM25 fallback run used in the reproducibility environment. The earlier dense-retrieval development result is still useful diagnostically: it shows that the architecture performed better when the intended dense backend was available, but it should not replace the final benchmark number. Objective 3 is therefore reported as below target, with the dense result used only to explain where the shortfall came from.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reaches 89%, which is close to the target, but a quoted paragraph is not the same kind of answer as a synthesised response, so I have marked Objective 2 as partially met rather than met. Objective 5 misses by 0.2 percentage points due to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a reranker is worth the engineering effort before trying anything more elaborate,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observation is that the</w:t>
      </w:r>
      <w:r>
        <w:t xml:space="preserve"> </w:t>
      </w:r>
      <w:r>
        <w:t xml:space="preserve">“cited or silent”</w:t>
      </w:r>
      <w:r>
        <w:t xml:space="preserve"> </w:t>
      </w:r>
      <w:r>
        <w:t xml:space="preserve">rule behaves differently in the two modes. In Extractive Mode the guarantee is mostly mechanical: the response is a paragraph from the corpus, so the citation points to the exact text being returned. That makes it easier to defend, although the response is less natural. In Generative Mode, the answer is more useful when it works, but the system has to rely on verification and the support-rate gate to decide whether the generated text is safe enough to show. The 0.0% headline ungrounded rate is therefore a result of the enforcement layer, not evidence that the LLM itself never hallucinated.</w:t>
      </w:r>
    </w:p>
    <w:p>
      <w:pPr>
        <w:jc w:val="both"/>
      </w:pPr>
      <w:r>
        <w:t xml:space="preserve">Taken together, the results support a narrow but useful claim. On this synthetic corpus, refusing low-confidence answers, checking whether cited paragraphs actually support generated claims, and surfacing contradictions reduced unsupported answers compared with a standard RAG baseline. The important caveat is that the coverage / precision balance would need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On a small unfamiliar OGL-licensed corpus from NCSC, ICO, and ACAS, B3-Extractive still produced zero fabricated citations and a 0% ungrounded rate, but retrieval recall roughly halved compared with the synthetic test split.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is a useful sanity check on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more rigorous follow-up evaluation would use at least two independent domain-expert raters, full blinding, and per-item ratings stored at collection time (Es et al., 2023).</w:t>
      </w:r>
    </w:p>
    <w:p>
      <w:pPr>
        <w:jc w:val="both"/>
      </w:pPr>
      <w:r>
        <w:t xml:space="preserve">The trade-offs above are summarised compactly in Table 4.13 so the reader can scan the threats to validity in one place.</w:t>
      </w:r>
    </w:p>
    <w:p>
      <w:pPr>
        <w:jc w:val="both"/>
      </w:pPr>
    </w:p>
    <w:p>
      <w:pPr>
        <w:jc w:val="both"/>
      </w:pPr>
      <w:r>
        <w:rPr>
          <w:b/>
          <w:bCs/>
          <w:sz w:val="21"/>
        </w:rPr>
        <w:t xml:space="preserve">Table 4.13: Threats to validity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Threat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Why it matters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 in this project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Remaining weakness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primary corpus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May be cleaner than real organisational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Controlled contradictions, vague-language injection, public-transfer stress test on NCSC/ICO/ACAS material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Real PDFs with OCR noise and inconsistent boilerplate not fully tested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Small reviewer sample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Human scores may be unstable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 = 6, Likert rubric, Round 2 inter-rater agreement reported per axis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Reviewers are CS peers, not compliance / governance domain experts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fallback used for the headline run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Dense retrieval result is not reproduced in the final environment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Backend provenance recorded per run; dev-phase dense numbers reported alongside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The headline retrieval metric (Recall@5 = 73.9%) understates the design’s intended dense performance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quota failure on generative adversarial arm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Paired generative adversarial result is incomplete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arm reported in full at 100% safe; quota error retained in the CSV rather than hidden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 paired generative-mode adversarial number; re-run requires a billing-active API account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token-overlap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overlap cannot detect semantic entailment or paraphrase support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Numeric-consistency check, support-rate gate, and a conservative abstention threshold compensate at the response 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NLI-style entailment verification is future work (§5.3 F1)</w:t>
            </w:r>
          </w:p>
        </w:tc>
      </w:tr>
    </w:tbl>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p>
      <w:pPr>
        <w:jc w:val="both"/>
      </w:pPr>
      <w:r>
        <w:t xml:space="preserve">The clearest route from this dissertation artefact to a publishable evaluation would combine three things: a larger externally sourced policy corpus, domain-expert annotation of the gold evidence, and a fully blinded user study with compliance or governance practitioners. The current project deliberately stops short of that claim. It shows that deterministic citation enforcement and abstention can make a policy RAG system more auditable under controlled conditions, but it does not prove deployment readiness across real organisations. A publishable follow-up would therefore treat this system as the experimental harness, not as the final evidence base.</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safest demonstration setting in this project, at least until retrieval recall improves enough to give Generative Mode a more generous abstention threshold.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It looks obvious in hindsight, but I only got to it from running the ablations and reading the numbers, not from anything I would have predicted up front.</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AI tools were used only in the assistive capacities documented in Appendix B.5, including development support, debugging, planning, structuring, consistency checking, and writing-review feedback. They were not used as a replacement author and were not treated as authoritative sources. The submitted report remains the author’s final work: all final wording, technical claims, citations, numerical results, figures, tables, edits, and submission decisions were checked, revised where needed,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under the documented evaluator command,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public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the repository is public; no special access is required for marking verification.)</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 data 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was used in an assistive role during development, debugging, planning, structuring, project-data generation, and review. The tools were not used as a replacement author and were not treated as authoritative sources.</w:t>
      </w:r>
    </w:p>
    <w:bookmarkStart w:id="96" w:name="declaration-1"/>
    <w:p>
      <w:pPr>
        <w:pStyle w:val="Heading4"/>
      </w:pPr>
      <w:r>
        <w:t xml:space="preserve">Declaration</w:t>
      </w:r>
    </w:p>
    <w:p>
      <w:pPr>
        <w:jc w:val="both"/>
      </w:pPr>
      <w:r>
        <w:t xml:space="preserve">AI outputs were used as suggestions, prompts for checking, or review comments. They were not accepted automatically. The submitted report is the author’s final work: all final wording, technical claims, numerical results, citations, code changes, figures, tables, interpretation, and submission decisions were checked, revised where needed, and approved by the author. All AI-assisted code suggestions were reviewed, tested, and modified by the author before inclusion.</w:t>
      </w:r>
    </w:p>
    <w:p>
      <w:pPr>
        <w:jc w:val="both"/>
      </w:pPr>
      <w:r>
        <w:t xml:space="preserve">AI tools were not used to fabricate results, citations, reviewer data, evaluation scores, supervisor feedback, ethics approval, Git history, or experimental evidence. Where AI-assisted code or writing-review suggestions were used, the author remained responsible for testing, verification, interpretation, and final wording.</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Writing-review support during report preparation: structure checks, clarity feedback, identification of unclear or repetitive passages, suggestions for table/caption consistency, and template/layout checks. Suggestions were treated as review comments rather than final authoritative text; the author manually revised the report and remained responsible for final wording, claims, citations, and interpretation.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docs/report/Final_​Report_​Nathaniel_​Sebastian_​201715051.md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docs/report/Final_​Report_​Nathaniel_​Sebastian_​201715051.pdf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193 automated tests (across 39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193 passed, 1 skipped in 8.46s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39 test files / 193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and axis so that inter-rater agreement could be computed.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sit around α = 0.74, which is above Krippendorff’s informal threshold for tentative agreement (α ≥ 0.667). The other two axes are lower, but for different reasons. Groundedness is mainly a ceiling-effect case: 117 of the 120 scores are either 4 or 5, and the binned pairwise agreement is 100%, so the low α reflects very little variance rather than obvious disagreement. Citation Usefulness shows more genuine spread, with reviewers sometimes differing on whether a citation was merely present or actually helpful for verification. The Round 2 means are within about 0.5 of the Round 1 aggregates on every axis, but are slightly lower overall because per-query averaging gives the over-abstention cases equal weight. Both Round 1 aggregates and Round 2 per-query files are archived in</w:t>
      </w:r>
      <w:r>
        <w:t xml:space="preserve"> </w:t>
      </w:r>
      <w:r>
        <w:rPr>
          <w:rStyle w:val="VerbatimChar"/>
        </w:rPr>
        <w:t xml:space="preserve">docs/evidence/human_eval/</w:t>
      </w:r>
      <w:r>
        <w:t xml:space="preserve">; neither set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stronger follow-up study would use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final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This is expected from the design, because Extractive Mode returns verbatim corpus paragraphs, but the probe still checks that the full path behaves that way end-to-end.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The rates are therefore reported as</w:t>
      </w:r>
      <w:r>
        <w:t xml:space="preserve"> </w:t>
      </w:r>
      <w:r>
        <w:rPr>
          <w:rStyle w:val="VerbatimChar"/>
        </w:rPr>
        <w:t xml:space="preserve">n/a</w:t>
      </w:r>
      <w:r>
        <w:t xml:space="preserve"> </w:t>
      </w:r>
      <w:r>
        <w:t xml:space="preserve">rather than estimated,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would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2026-05-13T07:36:11Z</dcterms:created>
  <dcterms:modified xsi:type="dcterms:W3CDTF">2026-05-13T07:36:11Z</dcterms:modified>
</cp:coreProperties>
</file>

<file path=docProps/custom.xml><?xml version="1.0" encoding="utf-8"?>
<Properties xmlns="http://schemas.openxmlformats.org/officeDocument/2006/custom-properties" xmlns:vt="http://schemas.openxmlformats.org/officeDocument/2006/docPropsVTypes"/>
</file>