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r>
        <w:t xml:space="preserve"> </w:t>
      </w: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Items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Format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Recipient(s) and Date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Uploaded to Minerva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Documentation pack and evaluation results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r>
        <w:t xml:space="preserve">The candidate confirms that the work submitted is their own and that appropriate credit has been given where reference has been made to the work of others.</w:t>
      </w:r>
    </w:p>
    <w:p>
      <w:pPr/>
      <w:r>
        <w:t xml:space="preserve">I understand that failure to attribute material which is obtained from another source may be considered as plagiarism.</w:t>
      </w:r>
    </w:p>
    <w:p>
      <w:pPr/>
      <w:r>
        <w:t xml:space="preserve">The use of Generative AI tools during this project complies with the University of Leeds Generative AI policy (Amber category for COMP3931/COMP3932) and is fully disclosed in Appendix B.5.</w:t>
      </w:r>
    </w:p>
    <w:p>
      <w:pPr/>
      <w:r>
        <w:t xml:space="preserve">(Signature of student)</w:t>
      </w:r>
      <w:r>
        <w:t xml:space="preserve"> </w:t>
      </w:r>
      <w:r>
        <w:rPr>
          <w:i/>
          <w:iCs/>
        </w:rPr>
        <w:t xml:space="preserve">Nathaniel Sebastian</w:t>
      </w:r>
      <w:r>
        <w:t xml:space="preserve"> </w:t>
      </w:r>
      <w:r>
        <w:t xml:space="preserve">………………………………………………</w:t>
      </w:r>
    </w:p>
    <w:p>
      <w:pPr/>
      <w:r>
        <w:t xml:space="preserve">(Date)</w:t>
      </w:r>
      <w:r>
        <w:t xml:space="preserve"> </w:t>
      </w:r>
      <w:r>
        <w:rPr>
          <w:i/>
          <w:iCs/>
        </w:rPr>
        <w:t xml:space="preserve">30 April 2026</w:t>
      </w:r>
      <w:r>
        <w:t xml:space="preserve"> </w:t>
      </w:r>
      <w:r>
        <w:t xml:space="preserve">…………………………………………………</w:t>
      </w:r>
    </w:p>
    <w:p>
      <w:r>
        <w:pict>
          <v:rect style="width:0;height:1.5pt" o:hralign="center" o:hrstd="t" o:hr="t"/>
        </w:pict>
      </w:r>
    </w:p>
    <w:bookmarkEnd w:id="24"/>
    <w:bookmarkStart w:id="25" w:name="summary"/>
    <w:p>
      <w:pPr>
        <w:pStyle w:val="Heading1"/>
        <w:pageBreakBefore/>
      </w:pPr>
      <w:r>
        <w:t xml:space="preserve">Summary</w:t>
      </w:r>
    </w:p>
    <w:p>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r>
        <w:pict>
          <v:rect style="width:0;height:1.5pt" o:hralign="center" o:hrstd="t" o:hr="t"/>
        </w:pict>
      </w:r>
    </w:p>
    <w:bookmarkEnd w:id="25"/>
    <w:bookmarkStart w:id="26" w:name="acknowledgements"/>
    <w:p>
      <w:pPr>
        <w:pStyle w:val="Heading1"/>
        <w:pageBreakBefore/>
      </w:pPr>
      <w:r>
        <w:t xml:space="preserve">Acknowledgements</w:t>
      </w:r>
    </w:p>
    <w:p>
      <w:pPr/>
      <w:r>
        <w:t xml:space="preserve">I would like to thank my supervisor for their guidance and feedback throughout this project, and the COMP3931 module coordinators for clear expectations and resources.</w:t>
      </w:r>
    </w:p>
    <w:p>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11</w:t>
      </w:r>
    </w:p>
    <w:p>
      <w:pPr>
        <w:spacing w:line="288" w:lineRule="auto" w:before="0" w:after="40"/>
        <w:ind w:left="640"/>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13</w:t>
      </w:r>
    </w:p>
    <w:p>
      <w:pPr>
        <w:spacing w:line="288" w:lineRule="auto" w:before="0" w:after="40"/>
        <w:ind w:left="640"/>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18</w:t>
      </w:r>
    </w:p>
    <w:p>
      <w:pPr>
        <w:spacing w:line="288" w:lineRule="auto" w:before="0" w:after="40"/>
        <w:ind w:left="640"/>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19</w:t>
      </w:r>
    </w:p>
    <w:p>
      <w:pPr>
        <w:spacing w:line="288" w:lineRule="auto" w:before="0" w:after="40"/>
        <w:ind w:left="640"/>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20</w:t>
      </w:r>
    </w:p>
    <w:p>
      <w:pPr>
        <w:spacing w:line="288" w:lineRule="auto" w:before="0" w:after="40"/>
        <w:ind w:left="640"/>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22</w:t>
      </w:r>
    </w:p>
    <w:p>
      <w:pPr>
        <w:spacing w:line="288" w:lineRule="auto" w:before="0" w:after="40"/>
        <w:ind w:left="640"/>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author-administered-qualitative-review">
        <w:r>
          <w:rPr>
            <w:rFonts w:ascii="Times New Roman" w:hAnsi="Times New Roman" w:cs="Times New Roman"/>
            <w:sz w:val="22"/>
            <w:color w:val="000000"/>
            <w:u w:val="none"/>
          </w:rPr>
          <w:t xml:space="preserve">4.10 Author-administered Qualitative Review</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statistical-confidence">
        <w:r>
          <w:rPr>
            <w:rFonts w:ascii="Times New Roman" w:hAnsi="Times New Roman" w:cs="Times New Roman"/>
            <w:sz w:val="22"/>
            <w:color w:val="000000"/>
            <w:u w:val="none"/>
          </w:rPr>
          <w:t xml:space="preserve">4.11 Statistical Confidence</w:t>
        </w:r>
      </w:hyperlink>
      <w:r>
        <w:rPr>
          <w:rFonts w:ascii="Times New Roman" w:hAnsi="Times New Roman" w:cs="Times New Roman"/>
          <w:sz w:val="22"/>
          <w:color w:val="000000"/>
          <w:u w:val="none"/>
        </w:rPr>
        <w:tab/>
        <w:t xml:space="preserve">24</w:t>
      </w:r>
    </w:p>
    <w:p>
      <w:pPr>
        <w:spacing w:line="288" w:lineRule="auto" w:before="0" w:after="40"/>
        <w:ind w:left="640"/>
        <w:tabs>
          <w:tab w:val="right" w:leader="dot" w:pos="8060"/>
        </w:tabs>
      </w:pPr>
      <w:hyperlink w:anchor="X907d96f76408268db22d62c403fd779ba79c660">
        <w:r>
          <w:rPr>
            <w:rFonts w:ascii="Times New Roman" w:hAnsi="Times New Roman" w:cs="Times New Roman"/>
            <w:sz w:val="22"/>
            <w:color w:val="000000"/>
            <w:u w:val="none"/>
          </w:rPr>
          <w:t xml:space="preserve">4.12 Discussion: Achievement Against Objectives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25</w:t>
      </w:r>
    </w:p>
    <w:p>
      <w:pPr>
        <w:spacing w:line="288" w:lineRule="auto" w:before="0" w:after="40"/>
        <w:ind w:left="640"/>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25</w:t>
      </w:r>
    </w:p>
    <w:p>
      <w:pPr>
        <w:spacing w:line="288" w:lineRule="auto" w:before="0" w:after="40"/>
        <w:ind w:left="640"/>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26</w:t>
      </w:r>
    </w:p>
    <w:p>
      <w:pPr>
        <w:spacing w:line="288" w:lineRule="auto" w:before="0" w:after="40"/>
        <w:ind w:left="640"/>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27</w:t>
      </w:r>
    </w:p>
    <w:p>
      <w:pPr>
        <w:spacing w:line="288" w:lineRule="auto" w:before="0" w:after="40"/>
        <w:ind w:left="640"/>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27</w:t>
      </w:r>
    </w:p>
    <w:p>
      <w:pPr>
        <w:spacing w:line="288" w:lineRule="auto" w:before="0" w:after="40"/>
        <w:ind w:left="280"/>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29</w:t>
      </w:r>
    </w:p>
    <w:p>
      <w:pPr>
        <w:spacing w:line="288" w:lineRule="auto" w:before="0" w:after="40"/>
        <w:ind w:left="280"/>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33</w:t>
      </w:r>
    </w:p>
    <w:p>
      <w:pPr>
        <w:spacing w:line="288" w:lineRule="auto" w:before="0" w:after="40"/>
        <w:ind w:left="640"/>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33</w:t>
      </w:r>
    </w:p>
    <w:p>
      <w:pPr>
        <w:spacing w:line="288" w:lineRule="auto" w:before="0" w:after="40"/>
        <w:ind w:left="640"/>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33</w:t>
      </w:r>
    </w:p>
    <w:p>
      <w:pPr>
        <w:spacing w:line="288" w:lineRule="auto" w:before="0" w:after="40"/>
        <w:ind w:left="640"/>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34</w:t>
      </w:r>
    </w:p>
    <w:p>
      <w:pPr>
        <w:spacing w:line="288" w:lineRule="auto" w:before="0" w:after="40"/>
        <w:ind w:left="280"/>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38</w:t>
      </w:r>
    </w:p>
    <w:p>
      <w:pPr>
        <w:spacing w:line="288" w:lineRule="auto" w:before="0" w:after="40"/>
        <w:ind w:left="640"/>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40</w:t>
      </w:r>
    </w:p>
    <w:p>
      <w:pPr>
        <w:spacing w:line="288" w:lineRule="auto" w:before="0" w:after="40"/>
        <w:ind w:left="640"/>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42</w:t>
      </w:r>
    </w:p>
    <w:p>
      <w:pPr>
        <w:spacing w:line="288" w:lineRule="auto" w:before="0" w:after="40"/>
        <w:ind w:left="640"/>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44</w:t>
      </w:r>
    </w:p>
    <w:p>
      <w:pPr>
        <w:spacing w:line="288" w:lineRule="auto" w:before="0" w:after="40"/>
        <w:ind w:left="640"/>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45</w:t>
      </w:r>
    </w:p>
    <w:bookmarkEnd w:id="27"/>
    <w:bookmarkStart w:id="28" w:name="list-of-figures"/>
    <w:p>
      <w:pPr>
        <w:pStyle w:val="Heading1"/>
        <w:pageBreakBefore/>
      </w:pPr>
      <w:r>
        <w:t xml:space="preserve">List of Figures</w:t>
      </w:r>
    </w:p>
    <w:p>
      <w:pPr>
        <w:spacing w:line="288" w:lineRule="auto" w:before="0" w:after="40"/>
        <w:ind w:left="280"/>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3</w:t>
      </w:r>
    </w:p>
    <w:p>
      <w:pPr>
        <w:spacing w:line="288" w:lineRule="auto" w:before="0" w:after="40"/>
        <w:ind w:left="280"/>
        <w:tabs>
          <w:tab w:val="right" w:leader="dot" w:pos="8420"/>
        </w:tabs>
      </w:pPr>
      <w:hyperlink w:anchor="fig-2-0">
        <w:r>
          <w:rPr>
            <w:rFonts w:ascii="Times New Roman" w:hAnsi="Times New Roman" w:cs="Times New Roman"/>
            <w:sz w:val="22"/>
            <w:color w:val="000000"/>
            <w:u w:val="none"/>
          </w:rPr>
          <w:t xml:space="preserve">Figure 2.0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fig-2-1">
        <w:r>
          <w:rPr>
            <w:rFonts w:ascii="Times New Roman" w:hAnsi="Times New Roman" w:cs="Times New Roman"/>
            <w:sz w:val="22"/>
            <w:color w:val="000000"/>
            <w:u w:val="none"/>
          </w:rPr>
          <w:t xml:space="preserve">Figure 2.1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20</w:t>
      </w:r>
    </w:p>
    <w:p>
      <w:pPr>
        <w:spacing w:line="288" w:lineRule="auto" w:before="0" w:after="40"/>
        <w:ind w:left="280"/>
        <w:tabs>
          <w:tab w:val="right" w:leader="dot" w:pos="8420"/>
        </w:tabs>
      </w:pPr>
      <w:hyperlink w:anchor="fig-4-4">
        <w:r>
          <w:rPr>
            <w:rFonts w:ascii="Times New Roman" w:hAnsi="Times New Roman" w:cs="Times New Roman"/>
            <w:sz w:val="22"/>
            <w:color w:val="000000"/>
            <w:u w:val="none"/>
          </w:rPr>
          <w:t xml:space="preserve">Figure 4.4 Coverage / groundedness operating points for B2 and B3 baselines</w:t>
        </w:r>
      </w:hyperlink>
      <w:r>
        <w:rPr>
          <w:rFonts w:ascii="Times New Roman" w:hAnsi="Times New Roman" w:cs="Times New Roman"/>
          <w:sz w:val="22"/>
          <w:color w:val="000000"/>
          <w:u w:val="none"/>
        </w:rPr>
        <w:tab/>
        <w:t xml:space="preserve">20</w:t>
      </w:r>
    </w:p>
    <w:p>
      <w:pPr>
        <w:spacing w:line="288" w:lineRule="auto" w:before="0" w:after="40"/>
        <w:ind w:left="280"/>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42</w:t>
      </w:r>
    </w:p>
    <w:p>
      <w:pPr>
        <w:spacing w:line="288" w:lineRule="auto" w:before="0" w:after="40"/>
        <w:ind w:left="280"/>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43</w:t>
      </w:r>
    </w:p>
    <w:p>
      <w:pPr>
        <w:spacing w:line="288" w:lineRule="auto" w:before="0" w:after="40"/>
        <w:ind w:left="280"/>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43</w:t>
      </w:r>
    </w:p>
    <w:bookmarkEnd w:id="28"/>
    <w:bookmarkStart w:id="29" w:name="list-of-tables"/>
    <w:p>
      <w:pPr>
        <w:pStyle w:val="Heading1"/>
        <w:pageBreakBefore/>
      </w:pPr>
      <w:r>
        <w:t xml:space="preserve">List of Tables</w:t>
      </w:r>
    </w:p>
    <w:p>
      <w:pPr>
        <w:spacing w:line="288" w:lineRule="auto" w:before="0" w:after="40"/>
        <w:ind w:left="280"/>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18</w:t>
      </w:r>
    </w:p>
    <w:p>
      <w:pPr>
        <w:spacing w:line="288" w:lineRule="auto" w:before="0" w:after="40"/>
        <w:ind w:left="280"/>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21</w:t>
      </w:r>
    </w:p>
    <w:p>
      <w:pPr>
        <w:spacing w:line="288" w:lineRule="auto" w:before="0" w:after="40"/>
        <w:ind w:left="280"/>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22</w:t>
      </w:r>
    </w:p>
    <w:p>
      <w:pPr>
        <w:spacing w:line="288" w:lineRule="auto" w:before="0" w:after="40"/>
        <w:ind w:left="280"/>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22</w:t>
      </w:r>
    </w:p>
    <w:p>
      <w:pPr>
        <w:spacing w:line="288" w:lineRule="auto" w:before="0" w:after="40"/>
        <w:ind w:left="280"/>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9">
        <w:r>
          <w:rPr>
            <w:rFonts w:ascii="Times New Roman" w:hAnsi="Times New Roman" w:cs="Times New Roman"/>
            <w:sz w:val="22"/>
            <w:color w:val="000000"/>
            <w:u w:val="none"/>
          </w:rPr>
          <w:t xml:space="preserve">Table 4.9 Author-administered qualitative review (20 queries)</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10">
        <w:r>
          <w:rPr>
            <w:rFonts w:ascii="Times New Roman" w:hAnsi="Times New Roman" w:cs="Times New Roman"/>
            <w:sz w:val="22"/>
            <w:color w:val="000000"/>
            <w:u w:val="none"/>
          </w:rPr>
          <w:t xml:space="preserve">Table 4.10 Bootstrapped 95% confidence intervals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4-11">
        <w:r>
          <w:rPr>
            <w:rFonts w:ascii="Times New Roman" w:hAnsi="Times New Roman" w:cs="Times New Roman"/>
            <w:sz w:val="22"/>
            <w:color w:val="000000"/>
            <w:u w:val="none"/>
          </w:rPr>
          <w:t xml:space="preserve">Table 4.11 Objective achievement summary (Chapter 4 §4.12)</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44</w:t>
      </w:r>
    </w:p>
    <w:p>
      <w:pPr>
        <w:spacing w:line="288" w:lineRule="auto" w:before="0" w:after="40"/>
        <w:ind w:left="280"/>
        <w:tabs>
          <w:tab w:val="right" w:leader="dot" w:pos="8420"/>
        </w:tabs>
        <w:sectPr>
          <w:pgSz w:w="11906" w:h="16838"/>
          <w:pgMar w:top="1417" w:right="1417" w:bottom="1417" w:left="1417" w:header="708" w:footer="708" w:gutter="0"/>
          <w:pgNumType w:fmt="lowerRoman" w:start="1"/>
          <w:type w:val="nextPage"/>
        </w:sectPr>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r>
        <w:t xml:space="preserve">Internal policy documents (employee handbooks, IT security addenda, data-protection guidelines) are something most employees in a large organisation interact with regularly. The usual workflow is awkward: an employee needs to check a specific rule (a remote-work entitlement, a password-rotation period, a visitor-access procedure) and has to scan through long PDFs to find the relevant paragraph. Large Language Models look like an obvious fit for this kind of question-answering, but the problem is that an LLM will often produce a confident-sounding answer without any way to check whether the answer is actually grounded in a specific source. This is the well-documented hallucination problem (Ji et al., 2023; Huang et al., 2023). In a compliance context, a wrong answer presented confidently can lead to real harm: incorrect interpretations of the policy, downstream errors in operational decisions, and disputes that could have been avoided if the source had been read directly. Industry surveys such as the Deloitte AI Institute (2024) report that organisations are concerned about exactly this failure mode, although such reports rely on self-reported executive surveys rather than direct measurement of hallucination rates.</w:t>
      </w:r>
    </w:p>
    <w:p>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Criterion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Inclusion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1019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1019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r>
        <w:t xml:space="preserve">Lewis et al. (2020) formalised RAG as coupling a non-parametric retrieval memory with a parametric generative model. A dense passage retriever (DPR; Karpukhin et al., 2020) identifies relevant documents from a corpus, and these are concatenated into the input context of a sequence-to-sequence model. Johnson, Douze and Jégou (2019) provided FAISS, the infrastructure for billion-scale approximate nearest-neighbour search that makes such retrieval tractable.</w:t>
      </w:r>
    </w:p>
    <w:p>
      <w:pPr/>
      <w:r>
        <w:t xml:space="preserve">The appeal of RAG is substantial: it avoids fine-tuning expense, lets the knowledge base be updated without retraining, and provides (in principle) a traceable link between answer and source. In practice that link is fragile. Gao et al. (2023) observe that models frequently ignore retrieved context when it conflicts with parametric beliefs, a</w:t>
      </w:r>
      <w:r>
        <w:t xml:space="preserve"> </w:t>
      </w:r>
      <w:r>
        <w:t xml:space="preserve">“faithfulness gap.”</w:t>
      </w:r>
      <w:r>
        <w:t xml:space="preserve"> </w:t>
      </w:r>
      <w:r>
        <w:t xml:space="preserve">Cuconasu et al. (2024) demonstrate that injecting irrelevant noise can paradoxically improve answer quality, suggesting the retrieval / generation relationship is more complex than early work assumed. RAG offers the architectural skeleton (retrieve, then generate), but without additional verification and confidence-gating it provides no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identifying it as the primary barrier to deploying generative models in high-stakes contexts. Huang et al. (2023) extend this to LLMs and argue that scale amplifies rather than resolves the problem: larger models hallucinate with greater confidence and fluency.</w:t>
      </w:r>
    </w:p>
    <w:p>
      <w:pPr/>
      <w:r>
        <w:t xml:space="preserve">Three mitigation strategies have emerged.</w:t>
      </w:r>
      <w:r>
        <w:t xml:space="preserve"> </w:t>
      </w:r>
      <w:r>
        <w:rPr>
          <w:b/>
          <w:bCs/>
        </w:rPr>
        <w:t xml:space="preserve">Training-based attribution</w:t>
      </w:r>
      <w:r>
        <w:t xml:space="preserve"> </w:t>
      </w:r>
      <w:r>
        <w:t xml:space="preserve">(Bohnet et al., 2022) trains the model to produce inline citations, but it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sharply distinguish citation</w:t>
      </w:r>
      <w:r>
        <w:t xml:space="preserve"> </w:t>
      </w:r>
      <w:r>
        <w:rPr>
          <w:i/>
          <w:iCs/>
        </w:rPr>
        <w:t xml:space="preserve">correctness</w:t>
      </w:r>
      <w:r>
        <w:t xml:space="preserve"> </w:t>
      </w:r>
      <w:r>
        <w:t xml:space="preserve">(does the cited source contain relevant information?) from citation</w:t>
      </w:r>
      <w:r>
        <w:t xml:space="preserve"> </w:t>
      </w:r>
      <w:r>
        <w:rPr>
          <w:i/>
          <w:iCs/>
        </w:rPr>
        <w:t xml:space="preserve">faithfulness</w:t>
      </w:r>
      <w:r>
        <w:t xml:space="preserve"> </w:t>
      </w:r>
      <w:r>
        <w:t xml:space="preserve">(did the model actually derive its claim from that source?), a distinction that matters for audit-critical environments.</w:t>
      </w:r>
      <w:r>
        <w:t xml:space="preserve"> </w:t>
      </w:r>
      <w:r>
        <w:rPr>
          <w:b/>
          <w:bCs/>
        </w:rPr>
        <w:t xml:space="preserve">Post-hoc editing</w:t>
      </w:r>
      <w:r>
        <w:t xml:space="preserve"> </w:t>
      </w:r>
      <w:r>
        <w:t xml:space="preserve">(Gao et al., 2023, RARR) revises unsupported claims via additional LLM passes, but at high computational cost and with its own hallucination risk; Yue et al. (2023) note that LLM-judge evaluation introduces circularity since judge and generator may share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tied to a specific architecture.</w:t>
      </w:r>
    </w:p>
    <w:p>
      <w:pPr/>
      <w:r>
        <w:t xml:space="preserve">None of these paradigms satisfies the requirements of a deterministic, auditable compliance tool. The approach taken here is a lightweight, heuristic verification layer applied</w:t>
      </w:r>
      <w:r>
        <w:t xml:space="preserve"> </w:t>
      </w:r>
      <w:r>
        <w:rPr>
          <w:i/>
          <w:iCs/>
        </w:rPr>
        <w:t xml:space="preserve">after</w:t>
      </w:r>
      <w:r>
        <w:t xml:space="preserve"> </w:t>
      </w:r>
      <w:r>
        <w:t xml:space="preserve">generation, using token-overlap rather than learned models. That design choice is revisited in Section 4.7.</w:t>
      </w:r>
    </w:p>
    <w:bookmarkEnd w:id="34"/>
    <w:bookmarkStart w:id="35" w:name="Xc7caeabd380139febf70e34f46b6bbe65817dda"/>
    <w:p>
      <w:pPr>
        <w:pStyle w:val="Heading2"/>
      </w:pPr>
      <w:r>
        <w:t xml:space="preserve">1.6 Information Retrieval: Dense Retrieval and Cross-Encoder Reranking</w:t>
      </w:r>
    </w:p>
    <w:p>
      <w:pPr/>
      <w:r>
        <w:t xml:space="preserve">Retrieval quality bounds RAG quality: if the correct paragraph is not retrieved, no generation step can produce a grounded answer. Barnett et al. (2024) identify retrieval failure as the most common production-RAG failure mode.</w:t>
      </w:r>
      <w:r>
        <w:t xml:space="preserve"> </w:t>
      </w:r>
      <w:r>
        <w:rPr>
          <w:b/>
          <w:bCs/>
        </w:rPr>
        <w:t xml:space="preserve">Bi-encoders</w:t>
      </w:r>
      <w:r>
        <w:t xml:space="preserve"> </w:t>
      </w:r>
      <w:r>
        <w:t xml:space="preserve">(Karpukhin et al., 2020) independently encode queries and documents into a shared vector space, enabling fast nearest-neighbour search via FAISS.</w:t>
      </w:r>
      <w:r>
        <w:t xml:space="preserve"> </w:t>
      </w:r>
      <w:r>
        <w:rPr>
          <w:b/>
          <w:bCs/>
        </w:rPr>
        <w:t xml:space="preserve">Cross-encoders</w:t>
      </w:r>
      <w:r>
        <w:t xml:space="preserve"> </w:t>
      </w:r>
      <w:r>
        <w:t xml:space="preserve">(Nogueira and Cho, 2019) encode the query and document jointly and produce more precise relevance scores at the cost of higher latency; Lin et al. (2021) confirm that cross-encoders consistently outperform bi-encoders on precision-critical tasks.</w:t>
      </w:r>
    </w:p>
    <w:p>
      <w:pPr/>
      <w:r>
        <w:t xml:space="preserve">The standard resolution, and the one I adopted,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r>
        <w:t xml:space="preserve">Table B.1 (Appendix B.8) situates Policy Copilot within the landscape of retrieval-augmented and grounded generation systems across domain focus, grounding mechanism, abstention handling, key limitation, and relevance. Three observations emerge from that analysis. First, the majority of systems target open-domain corpora where recall is paramount and tolerance for imprecision is high (Standard RAG, DPR, FreshLLMs). Second, systems that incorporate abstention (Self-RAG, ASPIRE) rely on non-deterministic learned mechanisms that are expensive to deploy. Third,</w:t>
      </w:r>
      <w:r>
        <w:t xml:space="preserve"> </w:t>
      </w:r>
      <w:r>
        <w:rPr>
          <w:b/>
          <w:bCs/>
        </w:rPr>
        <w:t xml:space="preserve">no surveyed system combines deterministic grounding verification with explicit abstention over a closed, bounded corpus</w:t>
      </w:r>
      <w:r>
        <w:t xml:space="preserve">, which is the setup this project was targeting.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04685"/>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04685"/>
                    </a:xfrm>
                    <a:prstGeom prst="rect"/>
                  </pic:spPr>
                </pic:pic>
              </a:graphicData>
            </a:graphic>
          </wp:inline>
        </w:drawing>
      </w:r>
    </w:p>
    <w:p>
      <w:pPr>
        <w:spacing w:before="0" w:after="80"/>
        <w:jc w:val="center"/>
      </w:pPr>
      <w:r>
        <w:rPr>
          <w:i/>
          <w:iCs/>
          <w:sz w:val="20"/>
        </w:rPr>
        <w:t xml:space="preserve">Figure 2.0: Gantt chart of the six-sprint development timeline (Weeks 1 to 22, October 2024 to February 2025). Report writing, documentation hardening, and evaluation refinement continued through the 2025/26 submission period.</w:t>
      </w:r>
    </w:p>
    <w:p>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r>
        <w:t xml:space="preserve">Requirements were derived from the research objectives (Section 1.2) and the gap analysis (Section 1.11). I formulated each as a testable contract with explicit acceptance criteria.</w:t>
      </w:r>
    </w:p>
    <w:p>
      <w:pPr/>
    </w:p>
    <w:p>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ID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Requirement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Description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Acceptance Criterion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Priority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r>
        <w:t xml:space="preserve">The system follows a modular</w:t>
      </w:r>
      <w:r>
        <w:t xml:space="preserve"> </w:t>
      </w:r>
      <w:r>
        <w:rPr>
          <w:b/>
          <w:bCs/>
        </w:rPr>
        <w:t xml:space="preserve">Retrieve-and-Rerank-then-Generate-and-Verify</w:t>
      </w:r>
      <w:r>
        <w:t xml:space="preserve"> </w:t>
      </w:r>
      <w:r>
        <w:t xml:space="preserve">pipeline (Figure 2.1) in which each stage can be independently tested, toggled, and replaced.</w:t>
      </w:r>
    </w:p>
    <w:p>
      <w:pPr>
        <w:spacing w:before="40" w:after="0"/>
        <w:jc w:val="center"/>
      </w:pPr>
      <w:r>
        <w:drawing>
          <wp:inline>
            <wp:extent cx="4114800" cy="2655070"/>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2655070"/>
                    </a:xfrm>
                    <a:prstGeom prst="rect"/>
                  </pic:spPr>
                </pic:pic>
              </a:graphicData>
            </a:graphic>
          </wp:inline>
        </w:drawing>
      </w:r>
    </w:p>
    <w:p>
      <w:pPr>
        <w:spacing w:before="0" w:after="80"/>
        <w:jc w:val="center"/>
      </w:pPr>
      <w:r>
        <w:rPr>
          <w:i/>
          <w:iCs/>
          <w:sz w:val="20"/>
        </w:rPr>
        <w:t xml:space="preserve">Figure 2.1: End-to-end pipeline from PDF ingestion through retrieval, reranking, abstention, generation, and verification.</w:t>
      </w:r>
    </w:p>
    <w:p>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p>
    <w:p>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Risk</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Likelihood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Impact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transfer to OCR documents is future work (§4.12.4)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Definition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§4.12.3.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r>
        <w:t xml:space="preserve">The system is implemented in Python 3.10+. Table 3.1 summarises the key dependencies and their roles.</w:t>
      </w:r>
    </w:p>
    <w:p>
      <w:pPr/>
    </w:p>
    <w:p>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Component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Library / Tool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Version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Role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r>
        <w:t xml:space="preserve">The verification subsystem (</w:t>
      </w:r>
      <w:r>
        <w:rPr>
          <w:rStyle w:val="VerbatimChar"/>
        </w:rPr>
        <w:t xml:space="preserve">src/policy_copilot/verify/</w:t>
      </w:r>
      <w:r>
        <w:t xml:space="preserve">) is the architectural centrepiece. It comprises four sub-modules.</w:t>
      </w:r>
    </w:p>
    <w:p>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r>
        <w:pict>
          <v:rect style="width:0;height:1.5pt" o:hralign="center" o:hrstd="t" o:hr="t"/>
        </w:pict>
      </w:r>
    </w:p>
    <w:bookmarkEnd w:id="58"/>
    <w:bookmarkEnd w:id="59"/>
    <w:bookmarkStart w:id="72" w:name="X46dc8ea9a406e02ce081e30da563d6bddb23eba"/>
    <w:p>
      <w:pPr>
        <w:pStyle w:val="Heading1"/>
      </w:pPr>
      <w:r>
        <w:t xml:space="preserve">Chapter 4 Results, Evaluation and Discussion</w:t>
      </w:r>
    </w:p>
    <w:p>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p>
    <w:p>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Total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Test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Dev</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p>
    <w:p>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Baseline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Mode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Answer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Abstention Accuracy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Ungrounded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spacing w:before="40" w:after="0"/>
        <w:jc w:val="center"/>
      </w:pPr>
      <w:r>
        <w:drawing>
          <wp:inline>
            <wp:extent cx="3657600" cy="205740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Ungrounded Rate, and Evidence Recall@5.</w:t>
      </w:r>
    </w:p>
    <w:p>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which I attribute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4.12 returns to the trade-off.</w:t>
      </w:r>
    </w:p>
    <w:bookmarkEnd w:id="61"/>
    <w:bookmarkStart w:id="62" w:name="retrieval-performance"/>
    <w:p>
      <w:pPr>
        <w:pStyle w:val="Heading2"/>
      </w:pPr>
      <w:r>
        <w:t xml:space="preserve">4.3 Retrieval Performance</w:t>
      </w:r>
    </w:p>
    <w:p>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p>
    <w:p>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B2 (Bi-encoder only)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05740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p>
    <w:p>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Before Verification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057400"/>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r>
        <w:t xml:space="preserve">Verification reduces the claim-level Ungrounded Rate from 12% to 4% (roughly a two-thirds reduction) and pushes Citation Precision from 78% to 94%. The fact that precision improves while average claims per response only drops from 3.2 to 2.8 suggests that pruning is mostly hitting the weaker claims rather than removing material at random, although on this sample size that pattern should be read as suggestive rather than conclusive.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§4.12.</w:t>
      </w:r>
    </w:p>
    <w:bookmarkEnd w:id="63"/>
    <w:bookmarkStart w:id="64" w:name="abstention-threshold-sensitivity"/>
    <w:p>
      <w:pPr>
        <w:pStyle w:val="Heading2"/>
      </w:pPr>
      <w:r>
        <w:t xml:space="preserve">4.5 Abstention Threshold Sensitivity</w:t>
      </w:r>
    </w:p>
    <w:p>
      <w:pPr>
        <w:spacing w:before="40" w:after="0"/>
        <w:jc w:val="center"/>
      </w:pPr>
      <w:r>
        <w:drawing>
          <wp:inline>
            <wp:extent cx="3200400" cy="2332854"/>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200400" cy="2332854"/>
                    </a:xfrm>
                    <a:prstGeom prst="rect"/>
                  </pic:spPr>
                </pic:pic>
              </a:graphicData>
            </a:graphic>
          </wp:inline>
        </w:drawing>
      </w:r>
    </w:p>
    <w:p>
      <w:pPr>
        <w:spacing w:before="0" w:after="80"/>
        <w:jc w:val="center"/>
      </w:pPr>
      <w:r>
        <w:rPr>
          <w:i/>
          <w:iCs/>
          <w:sz w:val="20"/>
        </w:rPr>
        <w:t xml:space="preserve">Figure 4.4: Coverage / groundedness operating points for the B2 and B3 baselines on the test split. Points in the upper-right corner indicate desirable behaviour (high coverage, high groundedness). Section 4.5 discusses the threshold sensitivity that drives B3 toward the upper edge of this space.</w:t>
      </w:r>
    </w:p>
    <w:p>
      <w:pPr/>
      <w:r>
        <w:t xml:space="preserve">At threshold 0.0 the system behaves as B2 (100% Answer Rate, 0% Abstention Accuracy). As the threshold rises, Abstention Accuracy increases monotonically while Answer Rate falls: answerable queries with borderline reranker scores are also refused. The selected operating point of</w:t>
      </w:r>
      <w:r>
        <w:t xml:space="preserve"> </w:t>
      </w:r>
      <w:r>
        <w:rPr>
          <w:b/>
          <w:bCs/>
        </w:rPr>
        <w:t xml:space="preserve">0.30</w:t>
      </w:r>
      <w:r>
        <w:t xml:space="preserve"> </w:t>
      </w:r>
      <w:r>
        <w:t xml:space="preserve">(tuned on the dev split) yields a test-split Answer Rate of 25.0% and Abstention Accuracy of 94.1% in Generative Mode (100% in Extractive). The low Answer Rate reflects deliberate conservatism. A production deployment would calibrate this threshold based on organisational risk tolerance.</w:t>
      </w:r>
    </w:p>
    <w:bookmarkEnd w:id="64"/>
    <w:bookmarkStart w:id="65" w:name="ablation-studies"/>
    <w:p>
      <w:pPr>
        <w:pStyle w:val="Heading2"/>
      </w:pPr>
      <w:r>
        <w:t xml:space="preserve">4.6 Ablation Studies</w:t>
      </w:r>
    </w:p>
    <w:p>
      <w:pPr/>
      <w:r>
        <w:t xml:space="preserve">Four ablations isolate the contribution of each reliability component.</w:t>
      </w:r>
    </w:p>
    <w:p>
      <w:pPr/>
    </w:p>
    <w:p>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Configuration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Answer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Abstention Acc.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Ungrounded Rate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p>
    <w:p>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Label 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Precision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Recall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p>
    <w:p>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Error Type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Count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(§4.12.4).</w:t>
      </w:r>
    </w:p>
    <w:bookmarkEnd w:id="67"/>
    <w:bookmarkStart w:id="68" w:name="latency-performance"/>
    <w:p>
      <w:pPr>
        <w:pStyle w:val="Heading2"/>
      </w:pPr>
      <w:r>
        <w:t xml:space="preserve">4.9 Latency Performance</w:t>
      </w:r>
    </w:p>
    <w:p>
      <w:pPr/>
      <w:r>
        <w:t xml:space="preserve">NFR1 specified P95 latency under 10s on standard hardware.</w:t>
      </w:r>
    </w:p>
    <w:p>
      <w:pPr/>
    </w:p>
    <w:p>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Baseline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P50</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P95</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author-administered-qualitative-review"/>
    <w:p>
      <w:pPr>
        <w:pStyle w:val="Heading2"/>
      </w:pPr>
      <w:r>
        <w:t xml:space="preserve">4.10 Author-administered Qualitative Review</w:t>
      </w:r>
    </w:p>
    <w:p>
      <w:pPr/>
      <w:r>
        <w:t xml:space="preserve">A small author-administered qualitative review was conducted on 20 queries from B3-Generative: all 12 substantively answered queries plus 8 random abstention cases (4 correct abstentions and 4 over-abstentions). It is supplementary to the automated metrics, not an independent human evaluation: I was the sole rater. Each query / response pair was rated on a 5-point Likert scale across</w:t>
      </w:r>
      <w:r>
        <w:t xml:space="preserve"> </w:t>
      </w:r>
      <w:r>
        <w:rPr>
          <w:b/>
          <w:bCs/>
        </w:rPr>
        <w:t xml:space="preserve">Correctness</w:t>
      </w:r>
      <w:r>
        <w:t xml:space="preserve">,</w:t>
      </w:r>
      <w:r>
        <w:t xml:space="preserve"> </w:t>
      </w:r>
      <w:r>
        <w:rPr>
          <w:b/>
          <w:bCs/>
        </w:rPr>
        <w:t xml:space="preserve">Groundedness</w:t>
      </w:r>
      <w:r>
        <w:t xml:space="preserve">, and</w:t>
      </w:r>
      <w:r>
        <w:t xml:space="preserve"> </w:t>
      </w:r>
      <w:r>
        <w:rPr>
          <w:b/>
          <w:bCs/>
        </w:rPr>
        <w:t xml:space="preserve">Usefulness</w:t>
      </w:r>
      <w:r>
        <w:t xml:space="preserve">. For abstentions, Correctness was scored 5 (appropriate refusal) or 1 (incorrect refusal); Groundedness was 5 (no claims possible); Usefulness was 3 for correct refusals and 1 for incorrect.</w:t>
      </w:r>
    </w:p>
    <w:p>
      <w:pPr/>
    </w:p>
    <w:p>
      <w:pPr/>
      <w:r>
        <w:rPr>
          <w:b/>
          <w:bCs/>
          <w:sz w:val="21"/>
        </w:rPr>
        <w:t xml:space="preserve">Table 4.9: Author-administered qualitative review (self-rated, 20 queries).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Category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Correctness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Groundedness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Usefulness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Overall mean</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3.1</w:t>
            </w:r>
          </w:p>
        </w:tc>
      </w:tr>
    </w:tbl>
    <w:p>
      <w:pPr/>
      <w:r>
        <w:t xml:space="preserve">The most revealing pattern is the contrast between answered-and-answerable queries (high across all dimensions) and over-abstention cases (1.0 on Correctness and Usefulness). When B3 answers, it answers well; when it refuses, it refuses with certainty. The two answered-but-unanswerable cases, where the LLM produced plausible responses from tangentially relevant evidence, were caught by their low Groundedness scores. Single-rater design is a limitation; a production evaluation would use independent raters with formal adjudication (Es et al., 2023).</w:t>
      </w:r>
    </w:p>
    <w:bookmarkEnd w:id="69"/>
    <w:bookmarkStart w:id="70" w:name="statistical-confidence"/>
    <w:p>
      <w:pPr>
        <w:pStyle w:val="Heading2"/>
      </w:pPr>
      <w:r>
        <w:t xml:space="preserve">4.11 Statistical Confidence</w:t>
      </w:r>
    </w:p>
    <w:p>
      <w:pPr/>
      <w:r>
        <w:t xml:space="preserve">Bootstrapped 95% confidence intervals (2,000 resamples, seed = 42) were computed given the modest n = 63.</w:t>
      </w:r>
    </w:p>
    <w:p>
      <w:pPr/>
    </w:p>
    <w:p>
      <w:pPr/>
      <w:r>
        <w:rPr>
          <w:b/>
          <w:bCs/>
          <w:sz w:val="21"/>
        </w:rPr>
        <w:t xml:space="preserve">Table 4.10: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Metric</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Point Estimate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r>
        <w:t xml:space="preserve">The wide Answer Rate CI reflects the small number of answered queries; Abstention Accuracy’s upper bound at 100% indicates a ceiling effect. Abstention Accuracy in particular is computed on only 12 unanswerable test queries, so each query is worth roughly 8 percentage points and the 94.1% point estimate should be read as directionally meaningful but statistically fragile. With n = 63, all point estimates are indicative rather than definitive. An n = 200+ stratified evaluation is recommended for follow-up.</w:t>
      </w:r>
    </w:p>
    <w:bookmarkEnd w:id="70"/>
    <w:bookmarkStart w:id="71" w:name="X907d96f76408268db22d62c403fd779ba79c660"/>
    <w:p>
      <w:pPr>
        <w:pStyle w:val="Heading2"/>
      </w:pPr>
      <w:r>
        <w:t xml:space="preserve">4.12 Discussion: Achievement Against Objectives</w:t>
      </w:r>
    </w:p>
    <w:p>
      <w:pPr/>
    </w:p>
    <w:p>
      <w:pPr/>
      <w:r>
        <w:rPr>
          <w:b/>
          <w:bCs/>
          <w:sz w:val="21"/>
        </w:rPr>
        <w:t xml:space="preserve">Table 4.11: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Objective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Target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Achieved</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1"/>
    <w:bookmarkEnd w:id="72"/>
    <w:bookmarkStart w:id="77" w:name="chapter-5-conclusions-and-reflection"/>
    <w:p>
      <w:pPr>
        <w:pStyle w:val="Heading1"/>
      </w:pPr>
      <w:r>
        <w:t xml:space="preserve">Chapter 5 Conclusions and Reflection</w:t>
      </w:r>
    </w:p>
    <w:p>
      <w:pPr/>
      <w:r>
        <w:t xml:space="preserve">This chapter pulls together the project-level conclusions from Chapter 4, examines the principal limitations, and identifies the most useful directions for future work.</w:t>
      </w:r>
    </w:p>
    <w:bookmarkStart w:id="73" w:name="conclusions"/>
    <w:p>
      <w:pPr>
        <w:pStyle w:val="Heading2"/>
      </w:pPr>
      <w:r>
        <w:t xml:space="preserve">5.1 Conclusions</w:t>
      </w:r>
    </w:p>
    <w:p>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3"/>
    <w:bookmarkStart w:id="74" w:name="limitations"/>
    <w:p>
      <w:pPr>
        <w:pStyle w:val="Heading2"/>
      </w:pPr>
      <w:r>
        <w:t xml:space="preserve">5.2 Limitations</w:t>
      </w:r>
    </w:p>
    <w:p>
      <w:pPr/>
      <w:r>
        <w:t xml:space="preserve">An honest assessment of the project’s limitations is essential to interpret the results in their proper scope.</w:t>
      </w:r>
    </w:p>
    <w:p>
      <w:pPr/>
      <w:r>
        <w:rPr>
          <w:b/>
          <w:bCs/>
        </w:rPr>
        <w:t xml:space="preserve">L1: Synthetic Corpus.</w:t>
      </w:r>
      <w:r>
        <w:t xml:space="preserve"> </w:t>
      </w:r>
      <w:r>
        <w:t xml:space="preserve">The evaluation corpus was authored specifically for this project. While this enabled controlled injection of test cases (deliberate contradictions, vague language), the results may not transfer directly to real-world scanned PDFs with OCR noise, complex tables, headers, footers, and multi-language content. The synthetic paragraphs are unusually clean and well-structured, a best-case scenario for the ingestion pipeline.</w:t>
      </w:r>
    </w:p>
    <w:p>
      <w:pPr/>
      <w:r>
        <w:rPr>
          <w:b/>
          <w:bCs/>
        </w:rPr>
        <w:t xml:space="preserve">L2: Golden Set Size.</w:t>
      </w:r>
      <w:r>
        <w:t xml:space="preserve"> </w:t>
      </w:r>
      <w:r>
        <w:t xml:space="preserve">At 63 queries (44 test, 19 dev), the golden set provides directional evidence but limited statistical power. Bootstrap confidence intervals (§4.11) are wide, particularly for Answer Rate, and a five-percentage-point shift in any headline metric would be within sampling variability. A production evaluation would require several hundred annotated queries for statistically robust conclusions.</w:t>
      </w:r>
    </w:p>
    <w:p>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r>
        <w:rPr>
          <w:b/>
          <w:bCs/>
        </w:rPr>
        <w:t xml:space="preserve">L5: No Independent Human Evaluation.</w:t>
      </w:r>
      <w:r>
        <w:t xml:space="preserve"> </w:t>
      </w:r>
      <w:r>
        <w:t xml:space="preserve">A small author-administered qualitative review was conducted (§4.10) but a formal study with recruited, independent participants was not. The absence of inter-rater agreement metrics (Cohen’s kappa) limits the credibility of the human-side scores. A production-quality evaluation would employ at least two independent raters with a formal adjudication protocol, as recommended by Es et al. (2023).</w:t>
      </w:r>
    </w:p>
    <w:bookmarkEnd w:id="74"/>
    <w:bookmarkStart w:id="75" w:name="future-work"/>
    <w:p>
      <w:pPr>
        <w:pStyle w:val="Heading2"/>
      </w:pPr>
      <w:r>
        <w:t xml:space="preserve">5.3 Future Work</w:t>
      </w:r>
    </w:p>
    <w:p>
      <w:pPr/>
      <w:r>
        <w:t xml:space="preserve">The limitations above suggest several research directions, ordered by expected impact on system reliability.</w:t>
      </w:r>
    </w:p>
    <w:p>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5"/>
    <w:bookmarkStart w:id="76" w:name="reflection"/>
    <w:p>
      <w:pPr>
        <w:pStyle w:val="Heading2"/>
      </w:pPr>
      <w:r>
        <w:t xml:space="preserve">5.4 Reflection</w:t>
      </w:r>
    </w:p>
    <w:p>
      <w:pPr/>
      <w:r>
        <w:t xml:space="preserve">Two things stood out when I look back at the project rather than at the specific results.</w:t>
      </w:r>
    </w:p>
    <w:p>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6"/>
    <w:bookmarkEnd w:id="77"/>
    <w:bookmarkStart w:id="80" w:name="list-of-references"/>
    <w:p>
      <w:pPr>
        <w:pStyle w:val="Heading1"/>
        <w:pageBreakBefore/>
      </w:pPr>
      <w:r>
        <w:t xml:space="preserve">List of References</w:t>
      </w:r>
    </w:p>
    <w:p>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8">
        <w:r>
          <w:rPr>
            <w:rStyle w:val="Hyperlink"/>
          </w:rPr>
          <w:t xml:space="preserve">https://www.deloitte.com/global/en/our-thinking/institute/state-of-gen-ai-enterprise.html</w:t>
        </w:r>
      </w:hyperlink>
      <w:r>
        <w:t xml:space="preserve"> </w:t>
      </w:r>
      <w:r>
        <w:t xml:space="preserve">(Accessed: 15 January 2026).</w:t>
      </w:r>
    </w:p>
    <w:p>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79">
        <w:r>
          <w:rPr>
            <w:rStyle w:val="Hyperlink"/>
          </w:rPr>
          <w:t xml:space="preserve">https://www.pinecone.io/learn/chunking-strategies/</w:t>
        </w:r>
      </w:hyperlink>
      <w:r>
        <w:t xml:space="preserve"> </w:t>
      </w:r>
      <w:r>
        <w:t xml:space="preserve">(Accessed: 20 January 2026).</w:t>
      </w:r>
    </w:p>
    <w:p>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r>
        <w:pict>
          <v:rect style="width:0;height:1.5pt" o:hralign="center" o:hrstd="t" o:hr="t"/>
        </w:pict>
      </w:r>
    </w:p>
    <w:bookmarkEnd w:id="80"/>
    <w:bookmarkStart w:id="88" w:name="appendix-a-self-appraisal"/>
    <w:p>
      <w:pPr>
        <w:pStyle w:val="Heading1"/>
        <w:pageBreakBefore/>
      </w:pPr>
      <w:r>
        <w:t xml:space="preserve">Appendix A Self-appraisal</w:t>
      </w:r>
    </w:p>
    <w:bookmarkStart w:id="81" w:name="a.1-critical-self-evaluation"/>
    <w:p>
      <w:pPr>
        <w:pStyle w:val="Heading2"/>
      </w:pPr>
      <w:r>
        <w:t xml:space="preserve">A.1 Critical self-evaluation</w:t>
      </w:r>
    </w:p>
    <w:p>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1"/>
    <w:bookmarkStart w:id="82" w:name="X5f5e5c43fdaef655737eee246f9aac728acdc99"/>
    <w:p>
      <w:pPr>
        <w:pStyle w:val="Heading2"/>
      </w:pPr>
      <w:r>
        <w:t xml:space="preserve">A.2 Personal reflection and lessons learned</w:t>
      </w:r>
    </w:p>
    <w:p>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r>
        <w:t xml:space="preserve">Three skills developed substantially during the project:</w:t>
      </w:r>
    </w:p>
    <w:p>
      <w:pPr>
        <w:numPr>
          <w:ilvl w:val="0"/>
          <w:numId w:val="1012"/>
        </w:numPr>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2"/>
    <w:bookmarkStart w:id="87" w:name="X254a187480e93182affc27418a40d738584021a"/>
    <w:p>
      <w:pPr>
        <w:pStyle w:val="Heading2"/>
      </w:pPr>
      <w:r>
        <w:t xml:space="preserve">A.3 Legal, social, ethical and professional issues</w:t>
      </w:r>
    </w:p>
    <w:p>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3" w:name="a.3.1-legal-issues"/>
    <w:p>
      <w:pPr>
        <w:pStyle w:val="Heading3"/>
      </w:pPr>
      <w:r>
        <w:t xml:space="preserve">A.3.1 Legal issues</w:t>
      </w:r>
    </w:p>
    <w:p>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3"/>
    <w:bookmarkStart w:id="84" w:name="a.3.2-social-issues"/>
    <w:p>
      <w:pPr>
        <w:pStyle w:val="Heading3"/>
      </w:pPr>
      <w:r>
        <w:t xml:space="preserve">A.3.2 Social issues</w:t>
      </w:r>
    </w:p>
    <w:p>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4"/>
    <w:bookmarkStart w:id="85" w:name="a.3.3-ethical-issues"/>
    <w:p>
      <w:pPr>
        <w:pStyle w:val="Heading3"/>
      </w:pPr>
      <w:r>
        <w:t xml:space="preserve">A.3.3 Ethical issues</w:t>
      </w:r>
    </w:p>
    <w:p>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bookmarkEnd w:id="85"/>
    <w:bookmarkStart w:id="86" w:name="a.3.4-professional-issues"/>
    <w:p>
      <w:pPr>
        <w:pStyle w:val="Heading3"/>
      </w:pPr>
      <w:r>
        <w:t xml:space="preserve">A.3.4 Professional issues</w:t>
      </w:r>
    </w:p>
    <w:p>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4.12 and 5.2) rather than hidden; and any AI-assisted parts of the development workflow are disclosed in Appendix B.5 in line with the university’s Generative AI policy.</w:t>
      </w:r>
    </w:p>
    <w:p>
      <w:r>
        <w:pict>
          <v:rect style="width:0;height:1.5pt" o:hralign="center" o:hrstd="t" o:hr="t"/>
        </w:pict>
      </w:r>
    </w:p>
    <w:bookmarkEnd w:id="86"/>
    <w:bookmarkEnd w:id="87"/>
    <w:bookmarkEnd w:id="88"/>
    <w:bookmarkStart w:id="105" w:name="appendix-b-external-materials"/>
    <w:p>
      <w:pPr>
        <w:pStyle w:val="Heading1"/>
        <w:pageBreakBefore/>
      </w:pPr>
      <w:r>
        <w:t xml:space="preserve">Appendix B External Materials</w:t>
      </w:r>
    </w:p>
    <w:bookmarkStart w:id="90" w:name="repository-and-access"/>
    <w:p>
      <w:pPr>
        <w:pStyle w:val="Heading3"/>
      </w:pPr>
      <w:r>
        <w:t xml:space="preserve">Repository and Access</w:t>
      </w:r>
    </w:p>
    <w:p>
      <w:pPr/>
      <w:r>
        <w:t xml:space="preserve">The complete source code, evaluation datasets, and full history of development commits for this project are hosted in a private GitHub repository.</w:t>
      </w:r>
    </w:p>
    <w:p>
      <w:pPr/>
      <w:r>
        <w:rPr>
          <w:b/>
          <w:bCs/>
        </w:rPr>
        <w:t xml:space="preserve">Repository URL:</w:t>
      </w:r>
      <w:r>
        <w:t xml:space="preserve"> </w:t>
      </w:r>
      <w:hyperlink r:id="rId89">
        <w:r>
          <w:rPr>
            <w:rStyle w:val="Hyperlink"/>
          </w:rPr>
          <w:t xml:space="preserve">https://github.com/NathS04/policy_copilot_submission.git</w:t>
        </w:r>
      </w:hyperlink>
    </w:p>
    <w:p>
      <w:pPr/>
      <w:r>
        <w:rPr>
          <w:i/>
          <w:iCs/>
        </w:rPr>
        <w:t xml:space="preserve">(Note for examiners: If access to the private repository is required for marking verification, please contact the author via university email to be granted read access.)</w:t>
      </w:r>
    </w:p>
    <w:bookmarkEnd w:id="90"/>
    <w:bookmarkStart w:id="91" w:name="b.1-third-party-libraries"/>
    <w:p>
      <w:pPr>
        <w:pStyle w:val="Heading2"/>
      </w:pPr>
      <w:r>
        <w:t xml:space="preserve">B.1 Third-Party Libraries</w:t>
      </w:r>
    </w:p>
    <w:p>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Library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Version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License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1"/>
    <w:bookmarkStart w:id="92" w:name="b.2-licensing"/>
    <w:p>
      <w:pPr>
        <w:pStyle w:val="Heading2"/>
      </w:pPr>
      <w:r>
        <w:t xml:space="preserve">B.2 Licensing</w:t>
      </w:r>
    </w:p>
    <w:p>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2"/>
    <w:bookmarkStart w:id="93" w:name="b.3-external-datasets"/>
    <w:p>
      <w:pPr>
        <w:pStyle w:val="Heading2"/>
      </w:pPr>
      <w:r>
        <w:t xml:space="preserve">B.3 External Datasets</w:t>
      </w:r>
    </w:p>
    <w:p>
      <w:pPr/>
      <w:r>
        <w:t xml:space="preserve">No external datasets were used in this project. All data used for training, testing, and evaluation was synthetically generated to ensure privacy compliance and reproducibility.</w:t>
      </w:r>
    </w:p>
    <w:p>
      <w:pPr>
        <w:numPr>
          <w:ilvl w:val="0"/>
          <w:numId w:val="1013"/>
        </w:numPr>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pPr>
      <w:r>
        <w:rPr>
          <w:b/>
          <w:bCs/>
        </w:rPr>
        <w:t xml:space="preserve">Golden Set</w:t>
      </w:r>
      <w:r>
        <w:t xml:space="preserve">: 63 queries manually crafted and auto-labelled against the synthetic corpus.</w:t>
      </w:r>
    </w:p>
    <w:bookmarkEnd w:id="93"/>
    <w:bookmarkStart w:id="94" w:name="b.4-development-tools"/>
    <w:p>
      <w:pPr>
        <w:pStyle w:val="Heading2"/>
      </w:pPr>
      <w:r>
        <w:t xml:space="preserve">B.4 Development Tools</w:t>
      </w:r>
    </w:p>
    <w:p>
      <w:pPr>
        <w:numPr>
          <w:ilvl w:val="0"/>
          <w:numId w:val="1014"/>
        </w:numPr>
      </w:pPr>
      <w:r>
        <w:rPr>
          <w:b/>
          <w:bCs/>
        </w:rPr>
        <w:t xml:space="preserve">VS Code</w:t>
      </w:r>
      <w:r>
        <w:t xml:space="preserve">: Integrated Development Environment.</w:t>
      </w:r>
    </w:p>
    <w:p>
      <w:pPr>
        <w:numPr>
          <w:ilvl w:val="0"/>
          <w:numId w:val="1014"/>
        </w:numPr>
      </w:pPr>
      <w:r>
        <w:rPr>
          <w:b/>
          <w:bCs/>
        </w:rPr>
        <w:t xml:space="preserve">Git</w:t>
      </w:r>
      <w:r>
        <w:t xml:space="preserve">: Version control system.</w:t>
      </w:r>
    </w:p>
    <w:p>
      <w:pPr>
        <w:numPr>
          <w:ilvl w:val="0"/>
          <w:numId w:val="1014"/>
        </w:numPr>
      </w:pPr>
      <w:r>
        <w:rPr>
          <w:b/>
          <w:bCs/>
        </w:rPr>
        <w:t xml:space="preserve">Poetry / Pip</w:t>
      </w:r>
      <w:r>
        <w:t xml:space="preserve">: Dependency management.</w:t>
      </w:r>
    </w:p>
    <w:p>
      <w:pPr>
        <w:numPr>
          <w:ilvl w:val="0"/>
          <w:numId w:val="1014"/>
        </w:numPr>
      </w:pPr>
      <w:r>
        <w:rPr>
          <w:b/>
          <w:bCs/>
        </w:rPr>
        <w:t xml:space="preserve">Black / Ruff</w:t>
      </w:r>
      <w:r>
        <w:t xml:space="preserve">: Code formatting and linting.</w:t>
      </w:r>
    </w:p>
    <w:p>
      <w:r>
        <w:pict>
          <v:rect style="width:0;height:1.5pt" o:hralign="center" o:hrstd="t" o:hr="t"/>
        </w:pict>
      </w:r>
    </w:p>
    <w:bookmarkEnd w:id="94"/>
    <w:bookmarkStart w:id="97" w:name="X59823d81a2493546db9de6a5549c34343051cfe"/>
    <w:p>
      <w:pPr>
        <w:pStyle w:val="Heading2"/>
      </w:pPr>
      <w:r>
        <w:t xml:space="preserve">B.5 Generative AI Usage Declaration and Log</w:t>
      </w:r>
    </w:p>
    <w:p>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5" w:name="declaration-1"/>
    <w:p>
      <w:pPr>
        <w:pStyle w:val="Heading4"/>
      </w:pPr>
      <w:r>
        <w:t xml:space="preserve">Declaration</w:t>
      </w:r>
    </w:p>
    <w:p>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5"/>
    <w:bookmarkStart w:id="96"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Date Range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Tool</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Purpose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r>
        <w:pict>
          <v:rect style="width:0;height:1.5pt" o:hralign="center" o:hrstd="t" o:hr="t"/>
        </w:pict>
      </w:r>
    </w:p>
    <w:bookmarkEnd w:id="96"/>
    <w:bookmarkEnd w:id="97"/>
    <w:bookmarkStart w:id="98" w:name="b.6-ethics-checklist"/>
    <w:p>
      <w:pPr>
        <w:pStyle w:val="Heading2"/>
      </w:pPr>
      <w:r>
        <w:t xml:space="preserve">B.6 Ethics Checklist</w:t>
      </w:r>
    </w:p>
    <w:p>
      <w:pPr/>
      <w:r>
        <w:t xml:space="preserve">The following self-assessment addresses the ethical dimensions of this research, in accordance with the School of Computing’s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Question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No human subjects were recruited, surveyed, or tested. The primary evaluation uses automated metrics against a synthetic golden set. A small author-administered qualitative review (Section 4.10) was conducted by the author on 20 queries; no external participants were involved.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r>
        <w:pict>
          <v:rect style="width:0;height:1.5pt" o:hralign="center" o:hrstd="t" o:hr="t"/>
        </w:pict>
      </w:r>
    </w:p>
    <w:bookmarkEnd w:id="98"/>
    <w:bookmarkStart w:id="102" w:name="b.7-evidence-of-testing-and-operation"/>
    <w:p>
      <w:pPr>
        <w:pStyle w:val="Heading2"/>
      </w:pPr>
      <w:r>
        <w:t xml:space="preserve">B.7 Evidence of Testing and Operation</w:t>
      </w:r>
    </w:p>
    <w:bookmarkStart w:id="99" w:name="b.7.1-automated-test-suite"/>
    <w:p>
      <w:pPr>
        <w:pStyle w:val="Heading3"/>
      </w:pPr>
      <w:r>
        <w:t xml:space="preserve">B.7.1 Automated Test Suite</w:t>
      </w:r>
    </w:p>
    <w:p>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99"/>
    <w:bookmarkStart w:id="100"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0"/>
    <w:bookmarkStart w:id="101" w:name="b.7.3-streamlit-application-screenshots"/>
    <w:p>
      <w:pPr>
        <w:pStyle w:val="Heading3"/>
      </w:pPr>
      <w:r>
        <w:t xml:space="preserve">B.7.3 Streamlit Application Screenshots</w:t>
      </w:r>
    </w:p>
    <w:p>
      <w:pPr/>
      <w:r>
        <w:t xml:space="preserve">The following screenshots demonstrate the application’s behaviour across three representative query categories:</w:t>
      </w:r>
    </w:p>
    <w:p>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1"/>
    <w:bookmarkEnd w:id="102"/>
    <w:bookmarkStart w:id="103" w:name="Xc3be17a6feaf50557485e1a44d8c28c1b4a5841"/>
    <w:p>
      <w:pPr>
        <w:pStyle w:val="Heading2"/>
      </w:pPr>
      <w:r>
        <w:t xml:space="preserve">B.8 Comparative Analysis Table (referenced from §1.10)</w:t>
      </w:r>
    </w:p>
    <w:p>
      <w:pPr/>
    </w:p>
    <w:p>
      <w:pPr/>
      <w:r>
        <w:rPr>
          <w:b/>
          <w:bCs/>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System / Paper</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Domain Focus</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Grounding Mechanism</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Abstention / Uncertainty</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Key Limitation</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3"/>
    <w:bookmarkStart w:id="104" w:name="Xf0c58931cf1f4f9947cff1d32ed89fe21673d20"/>
    <w:p>
      <w:pPr>
        <w:pStyle w:val="Heading2"/>
      </w:pPr>
      <w:r>
        <w:t xml:space="preserve">B.9 Test Suite Matrix (referenced from §3.9)</w:t>
      </w:r>
    </w:p>
    <w:p>
      <w:pPr/>
    </w:p>
    <w:p>
      <w:pPr/>
      <w:r>
        <w:rPr>
          <w:b/>
          <w:bCs/>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0"/>
        <w:gridCol w:w="0"/>
        <w:gridCol w:w="0"/>
        <w:gridCol w:w="0"/>
      </w:tblGrid>
      <w:tr>
        <w:trPr>
          <w:tblHeader w:val="on"/>
        </w:trPr>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Test File</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Tier</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Component</w:t>
            </w:r>
          </w:p>
        </w:tc>
        <w:tc>
          <w:tcPr>
            <w:shd w:val="clear" w:color="auto" w:fill="2C3E50"/>
            <w:tcMar>
              <w:top w:w="60" w:type="dxa"/>
              <w:bottom w:w="60" w:type="dxa"/>
              <w:left w:w="100" w:type="dxa"/>
              <w:right w:w="100" w:type="dxa"/>
            </w:tcMar>
          </w:tcPr>
          <w:p>
            <w:pPr>
              <w:spacing w:line="276" w:lineRule="auto" w:before="0" w:after="0"/>
              <w:jc w:val="left"/>
            </w:pPr>
            <w:r>
              <w:rPr>
                <w:rFonts w:ascii="Times New Roman" w:hAnsi="Times New Roman"/>
                <w:b/>
                <w:color w:val="FFFFFF"/>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Author-administered qualitative review schema validation</w:t>
            </w:r>
          </w:p>
        </w:tc>
      </w:tr>
    </w:tbl>
    <w:p>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4"/>
    <w:bookmarkEnd w:id="105"/>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0" w:line="360" w:lineRule="auto" w:before="0"/>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2026-04-30T19:48:43Z</dcterms:created>
  <dcterms:modified xsi:type="dcterms:W3CDTF">2026-04-30T19:48:43Z</dcterms:modified>
</cp:coreProperties>
</file>

<file path=docProps/custom.xml><?xml version="1.0" encoding="utf-8"?>
<Properties xmlns="http://schemas.openxmlformats.org/officeDocument/2006/custom-properties" xmlns:vt="http://schemas.openxmlformats.org/officeDocument/2006/docPropsVTypes"/>
</file>