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Four reliability layers sit on top of standard RAG: cross-encoder reranking (which improves retrieval precision and produces the confidence signal used by the abstention gate); per-claim citation verification using token-overlap and numeric checks (deterministic and reproducible, no second LLM); contradiction detection across documents; and an Extractive Fallback Mode that returns the top-ranked evidence paragraph when the LLM is unavailable.</w:t>
      </w:r>
    </w:p>
    <w:p>
      <w:pPr>
        <w:jc w:val="both"/>
      </w:pPr>
      <w:r>
        <w:t xml:space="preserve">The system was evaluated on a 63-query synthetic golden set (36 answerable, 17 unanswerable, 10 contradiction; 44 held-out test queries). On the test split, B3-Generative reports a</w:t>
      </w:r>
      <w:r>
        <w:t xml:space="preserve"> </w:t>
      </w:r>
      <w:r>
        <w:rPr>
          <w:b/>
          <w:bCs/>
        </w:rPr>
        <w:t xml:space="preserve">0.0% headline ungrounded rate</w:t>
      </w:r>
      <w:r>
        <w:t xml:space="preserve">. This number should be read carefully: any response that fails the support-rate check is converted into an abstention, so 0.0% is partly a property of that gate and not a claim that the LLM never produced unsupported text. The same configuration reaches</w:t>
      </w:r>
      <w:r>
        <w:t xml:space="preserve"> </w:t>
      </w:r>
      <w:r>
        <w:rPr>
          <w:b/>
          <w:bCs/>
        </w:rPr>
        <w:t xml:space="preserve">94.1% abstention accuracy</w:t>
      </w:r>
      <w:r>
        <w:t xml:space="preserve"> </w:t>
      </w:r>
      <w:r>
        <w:t xml:space="preserve">on the 12 test-split unanswerable queries, above the 80% target, although n=12 makes the bootstrap interval wide. The visible cost is a</w:t>
      </w:r>
      <w:r>
        <w:t xml:space="preserve"> </w:t>
      </w:r>
      <w:r>
        <w:rPr>
          <w:b/>
          <w:bCs/>
        </w:rPr>
        <w:t xml:space="preserve">25% answer rate</w:t>
      </w:r>
      <w:r>
        <w:t xml:space="preserve"> </w:t>
      </w:r>
      <w:r>
        <w:t xml:space="preserve">in generative mode, well below the 85% target.</w:t>
      </w:r>
      <w:r>
        <w:t xml:space="preserve"> </w:t>
      </w:r>
      <w:r>
        <w:rPr>
          <w:b/>
          <w:bCs/>
        </w:rPr>
        <w:t xml:space="preserve">Extractive Mode</w:t>
      </w:r>
      <w:r>
        <w:t xml:space="preserve"> </w:t>
      </w:r>
      <w:r>
        <w:t xml:space="preserve">recovers most of the coverage with an</w:t>
      </w:r>
      <w:r>
        <w:t xml:space="preserve"> </w:t>
      </w:r>
      <w:r>
        <w:rPr>
          <w:b/>
          <w:bCs/>
        </w:rPr>
        <w:t xml:space="preserve">89% answer rate</w:t>
      </w:r>
      <w:r>
        <w:t xml:space="preserve">,</w:t>
      </w:r>
      <w:r>
        <w:t xml:space="preserve"> </w:t>
      </w:r>
      <w:r>
        <w:rPr>
          <w:b/>
          <w:bCs/>
        </w:rPr>
        <w:t xml:space="preserve">100% citation precision</w:t>
      </w:r>
      <w:r>
        <w:t xml:space="preserve"> </w:t>
      </w:r>
      <w:r>
        <w:t xml:space="preserve">(true by construction since the answer is the cited paragraph) and</w:t>
      </w:r>
      <w:r>
        <w:t xml:space="preserve"> </w:t>
      </w:r>
      <w:r>
        <w:rPr>
          <w:b/>
          <w:bCs/>
        </w:rPr>
        <w:t xml:space="preserve">100% abstention accuracy</w:t>
      </w:r>
      <w:r>
        <w:t xml:space="preserve">,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w:t>
      </w:r>
      <w:r>
        <w:t xml:space="preserve"> </w:t>
      </w:r>
      <w:r>
        <w:rPr>
          <w:b/>
          <w:bCs/>
        </w:rPr>
        <w:t xml:space="preserve">93.7% macro precision</w:t>
      </w:r>
      <w:r>
        <w:t xml:space="preserve"> </w:t>
      </w:r>
      <w:r>
        <w:t xml:space="preserve">(78.5% macro recall, 84.8% macro F1), just below the 85% F1 target. All numbers apply to a synthetic, fairly clean corpus; transfer to noisier real-world documents is a stated limitation (§5.2 L1).</w:t>
      </w:r>
    </w:p>
    <w:p>
      <w:pPr>
        <w:jc w:val="both"/>
      </w:pPr>
      <w:r>
        <w:t xml:space="preserve">Overall the project supports a fairly narrow claim. Adding three rule-based safety checks on top of a standard RAG pipeline — refusing when the reranker is not confident, dropping claims whose cited paragraph does not actually support them, and surfacing contradictions across documents — cut the unsupported-claim rate sharply for a policy-compliance use-case in this synthetic setting, at the cost of a smaller answer rate that would need its thresholds retuned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30</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45</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47</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49</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53</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47</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38 test files / 188 cases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50</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54</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This hallucination behaviour is well documented (Ji et al., 2023; Huang et al., 2023) and, in a compliance setting, a wrong answer presented confidently can cause real harm: incorrect interpretation of policy, downstream operational errors, and disputes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October 2024 and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w:t>
      </w:r>
      <w:r>
        <w:t xml:space="preserve"> </w:t>
      </w:r>
      <w:r>
        <w:rPr>
          <w:b/>
          <w:bCs/>
        </w:rPr>
        <w:t xml:space="preserve">38 included</w:t>
      </w:r>
      <w:r>
        <w:t xml:space="preserve"> </w:t>
      </w:r>
      <w:r>
        <w:t xml:space="preserve">(Figure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w:t>
      </w:r>
      <w:r>
        <w:t xml:space="preserve"> </w:t>
      </w:r>
      <w:r>
        <w:rPr>
          <w:i/>
          <w:iCs/>
        </w:rPr>
        <w:t xml:space="preserve">after</w:t>
      </w:r>
      <w:r>
        <w:t xml:space="preserve"> </w:t>
      </w:r>
      <w:r>
        <w:t xml:space="preserve">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in Appendix B.8 puts Policy Copilot side-by-side with the main retrieval-augmented and grounded-generation systems I read about, on five dimensions: domain, grounding mechanism, abstention handling, key limitation, and relevance. Two patterns came out of the comparison. Most systems target open-domain corpora where the priority is answering as many questions as possible, even when answers are sometimes wrong (Standard RAG, DPR, FreshLLMs); the systems that do refuse when evidence is weak (Self-RAG, ASPIRE) decide when to refuse using a learned model, which is expensive to retrain for a new corpus.</w:t>
      </w:r>
      <w:r>
        <w:t xml:space="preserve"> </w:t>
      </w:r>
      <w:r>
        <w:rPr>
          <w:b/>
          <w:bCs/>
        </w:rPr>
        <w:t xml:space="preserve">What I did not find was a system that combines rule-based grounding checks with explicit refusal over a small, closed corpus</w:t>
      </w:r>
      <w:r>
        <w:t xml:space="preserve"> </w:t>
      </w:r>
      <w:r>
        <w:t xml:space="preserve">— the configuration this project targets. Policy Copilot fills that gap by pairing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points to a clear gap. On the</w:t>
      </w:r>
      <w:r>
        <w:t xml:space="preserve"> </w:t>
      </w:r>
      <w:r>
        <w:rPr>
          <w:i/>
          <w:iCs/>
        </w:rPr>
        <w:t xml:space="preserve">generation</w:t>
      </w:r>
      <w:r>
        <w:t xml:space="preserve"> </w:t>
      </w:r>
      <w:r>
        <w:t xml:space="preserve">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w:t>
      </w:r>
      <w:r>
        <w:t xml:space="preserve"> </w:t>
      </w:r>
      <w:r>
        <w:rPr>
          <w:i/>
          <w:iCs/>
        </w:rPr>
        <w:t xml:space="preserve">evaluation</w:t>
      </w:r>
      <w:r>
        <w:t xml:space="preserve"> </w:t>
      </w:r>
      <w:r>
        <w:t xml:space="preserve">side, LLM-as-judge frameworks (RAGAS, RAGE) suffer from the documented position, verbosity, and self-enhancement biases (Zheng et al., 2024), and Wallat et al. (2024) show that citation correctness and faithfulness are not the same property. On the</w:t>
      </w:r>
      <w:r>
        <w:t xml:space="preserve"> </w:t>
      </w:r>
      <w:r>
        <w:rPr>
          <w:i/>
          <w:iCs/>
        </w:rPr>
        <w:t xml:space="preserve">retrieval</w:t>
      </w:r>
      <w:r>
        <w:t xml:space="preserve"> </w:t>
      </w:r>
      <w:r>
        <w:t xml:space="preserve">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policy documents (Qu, Bao and Tu, 2024).</w:t>
      </w:r>
    </w:p>
    <w:p>
      <w:pPr>
        <w:jc w:val="both"/>
      </w:pPr>
      <w:r>
        <w:t xml:space="preserve">Taken together these observations point to a less-explored combination: a closed-domain RAG system that uses rule-based grounding checks and refuses by default, optimised for precision over recall. Policy Copilot is built into that combination. It abstains before generation when reranker confidence is too low, and removes any claim whose citation fails token-overlap verification. The</w:t>
      </w:r>
      <w:r>
        <w:t xml:space="preserve"> </w:t>
      </w:r>
      <w:r>
        <w:t xml:space="preserve">“cited or silent”</w:t>
      </w:r>
      <w:r>
        <w:t xml:space="preserve"> </w:t>
      </w:r>
      <w:r>
        <w:t xml:space="preserve">rule that results was, across the literature I reviewed, not empirically evaluated on a bounded enterprise policy corpus in this exact configuration. The contribution is therefore not RAG itself, nor an evaluation framework in the LangSmith or RAGAS sense, but the end-to-end system design that treats grounding, abstention, citation verification, and audit traceability as core requirements rather than optional add-ons.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October 2024 to February 2025). Report writing, documentation hardening, and evaluation refinement continued through the 2025/26 submission period.</w:t>
      </w:r>
    </w:p>
    <w:p>
      <w:pPr>
        <w:jc w:val="both"/>
      </w:pPr>
      <w:r>
        <w:t xml:space="preserve">Version control used a private GitHub repository with a branch-per-sprint strategy. The final history contains over 200 commits spanning the full project lifecycle, providing a verifiable development timeline. The six implementation sprints (S1 to 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w:t>
      </w:r>
      <w:r>
        <w:t xml:space="preserve"> </w:t>
      </w:r>
      <w:r>
        <w:rPr>
          <w:i/>
          <w:iCs/>
        </w:rPr>
        <w:t xml:space="preserve">what</w:t>
      </w:r>
      <w:r>
        <w:t xml:space="preserve"> </w:t>
      </w:r>
      <w:r>
        <w:t xml:space="preserve">the system promises. Non-functional requirements (NFR1 to NFR3) constrain</w:t>
      </w:r>
      <w:r>
        <w:t xml:space="preserve"> </w:t>
      </w:r>
      <w:r>
        <w:rPr>
          <w:i/>
          <w:iCs/>
        </w:rPr>
        <w:t xml:space="preserve">how</w:t>
      </w:r>
      <w:r>
        <w:t xml:space="preserve"> </w:t>
      </w:r>
      <w:r>
        <w:t xml:space="preserve">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w:t>
      </w:r>
      <w:r>
        <w:t xml:space="preserve"> </w:t>
      </w:r>
      <w:r>
        <w:rPr>
          <w:i/>
          <w:iCs/>
        </w:rPr>
        <w:t xml:space="preserve">before</w:t>
      </w:r>
      <w:r>
        <w:t xml:space="preserve"> </w:t>
      </w:r>
      <w:r>
        <w:t xml:space="preserve">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queries have answers explicit in one or more paragraphs.</w:t>
      </w:r>
      <w:r>
        <w:t xml:space="preserve"> </w:t>
      </w:r>
      <w:r>
        <w:rPr>
          <w:b/>
          <w:bCs/>
        </w:rPr>
        <w:t xml:space="preserve">Unanswerable (17)</w:t>
      </w:r>
      <w:r>
        <w:t xml:space="preserve"> </w:t>
      </w:r>
      <w:r>
        <w:t xml:space="preserve">queries are plausible but absent from the corpus and test the abstention path.</w:t>
      </w:r>
      <w:r>
        <w:t xml:space="preserve"> </w:t>
      </w:r>
      <w:r>
        <w:rPr>
          <w:b/>
          <w:bCs/>
        </w:rPr>
        <w:t xml:space="preserve">Contradiction (10)</w:t>
      </w:r>
      <w:r>
        <w:t xml:space="preserve"> </w:t>
      </w:r>
      <w:r>
        <w:t xml:space="preserve">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Private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w:t>
      </w:r>
      <w:r>
        <w:t xml:space="preserve"> </w:t>
      </w:r>
      <w:r>
        <w:rPr>
          <w:b/>
          <w:bCs/>
        </w:rPr>
        <w:t xml:space="preserve">Extractive Mode</w:t>
      </w:r>
      <w:r>
        <w:t xml:space="preserve"> </w:t>
      </w:r>
      <w:r>
        <w:t xml:space="preserve">the LLM is bypassed entirely; the system returns the verbatim top-ranked paragraph with its citation ID, so citation precision in that mode is 100% by construction (the returned text</w:t>
      </w:r>
      <w:r>
        <w:t xml:space="preserve"> </w:t>
      </w:r>
      <w:r>
        <w:rPr>
          <w:i/>
          <w:iCs/>
        </w:rPr>
        <w:t xml:space="preserve">is</w:t>
      </w:r>
      <w:r>
        <w:t xml:space="preserve"> </w:t>
      </w:r>
      <w:r>
        <w:t xml:space="preserve">the cited evidence). The cost is that responses are quoted evidence rather than synthesised answers. I implemented this mode primarily as risk mitigation (Table 2.2), but it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w:t>
      </w:r>
      <w:r>
        <w:t xml:space="preserve"> </w:t>
      </w:r>
      <w:r>
        <w:rPr>
          <w:b/>
          <w:bCs/>
        </w:rPr>
        <w:t xml:space="preserve">intra-corpus contradiction</w:t>
      </w:r>
      <w:r>
        <w:t xml:space="preserve">,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unit (functions in isolation), integration (pipeline stage interactions), and system (end-to-end and reproducibility). All 188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w:t>
      </w:r>
      <w:r>
        <w:t xml:space="preserve"> </w:t>
      </w:r>
      <w:r>
        <w:rPr>
          <w:b/>
          <w:bCs/>
        </w:rPr>
        <w:t xml:space="preserve">objective slice</w:t>
      </w:r>
      <w:r>
        <w:t xml:space="preserve"> </w:t>
      </w:r>
      <w:r>
        <w:t xml:space="preserve">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rPr>
          <w:b/>
          <w:bCs/>
        </w:rPr>
        <w:t xml:space="preserve">B1</w:t>
      </w:r>
      <w:r>
        <w:t xml:space="preserve"> </w:t>
      </w:r>
      <w:r>
        <w:t xml:space="preserve">answers every query but does no grounding, which is the standard hallucination baseline (Ji et al., 2023). For a compliance use-case it is not viable.</w:t>
      </w:r>
      <w:r>
        <w:t xml:space="preserve"> </w:t>
      </w:r>
      <w:r>
        <w:rPr>
          <w:b/>
          <w:bCs/>
        </w:rPr>
        <w:t xml:space="preserve">B2</w:t>
      </w:r>
      <w:r>
        <w:t xml:space="preserve"> </w:t>
      </w:r>
      <w:r>
        <w:t xml:space="preserve">reaches 76.5% Abstention Accuracy without any explicit gating, just below the 80% target (FR2). I attribute this to the LLM’s own tendency to refuse on clearly irrelevant context, but its citations are not verified, so the abstention is more of a side effect than a designed behaviour.</w:t>
      </w:r>
      <w:r>
        <w:t xml:space="preserve"> </w:t>
      </w:r>
      <w:r>
        <w:rPr>
          <w:b/>
          <w:bCs/>
        </w:rPr>
        <w:t xml:space="preserve">B3-Generative</w:t>
      </w:r>
      <w:r>
        <w:t xml:space="preserve"> </w:t>
      </w:r>
      <w:r>
        <w:t xml:space="preserve">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rPr>
          <w:b/>
          <w:bCs/>
        </w:rPr>
        <w:t xml:space="preserve">B3-Extractive</w:t>
      </w:r>
      <w:r>
        <w:t xml:space="preserve"> </w:t>
      </w:r>
      <w:r>
        <w:t xml:space="preserve">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w:t>
      </w:r>
      <w:r>
        <w:rPr>
          <w:i/>
          <w:iCs/>
        </w:rPr>
        <w:t xml:space="preserve"> </w:t>
      </w:r>
      <w:r>
        <w:rPr>
          <w:b/>
          <w:bCs/>
          <w:i/>
          <w:iCs/>
        </w:rPr>
        <w:t xml:space="preserve">claim-level</w:t>
      </w:r>
      <w:r>
        <w:rPr>
          <w:i/>
          <w:iCs/>
        </w:rPr>
        <w:t xml:space="preserve"> </w:t>
      </w:r>
      <w:r>
        <w:rPr>
          <w:i/>
          <w:iCs/>
        </w:rPr>
        <w:t xml:space="preserve">rates measured after pruning failed claims but before the response-level support-rate enforcement step. The support-rate step then suppresses any response below the minimum support threshold by converting it into an abstention. After that final step, the</w:t>
      </w:r>
      <w:r>
        <w:rPr>
          <w:i/>
          <w:iCs/>
        </w:rPr>
        <w:t xml:space="preserve"> </w:t>
      </w:r>
      <w:r>
        <w:rPr>
          <w:b/>
          <w:bCs/>
          <w:i/>
          <w:iCs/>
        </w:rPr>
        <w:t xml:space="preserve">response-level</w:t>
      </w:r>
      <w:r>
        <w:rPr>
          <w:i/>
          <w:iCs/>
        </w:rPr>
        <w:t xml:space="preserve"> </w:t>
      </w:r>
      <w:r>
        <w:rPr>
          <w:i/>
          <w:iCs/>
        </w:rPr>
        <w:t xml:space="preserve">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w:t>
      </w:r>
      <w:r>
        <w:t xml:space="preserve"> </w:t>
      </w:r>
      <w:r>
        <w:rPr>
          <w:b/>
          <w:bCs/>
        </w:rPr>
        <w:t xml:space="preserve">τ = 0.80</w:t>
      </w:r>
      <w:r>
        <w:t xml:space="preserve"> </w:t>
      </w:r>
      <w:r>
        <w:t xml:space="preserve">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rPr>
          <w:b/>
          <w:bCs/>
        </w:rPr>
        <w:t xml:space="preserve">Reranking had the largest effect in these ablations.</w:t>
      </w:r>
      <w:r>
        <w:t xml:space="preserve"> </w:t>
      </w:r>
      <w:r>
        <w:t xml:space="preserve">Removing it quadruples the Ungrounded Rate (4% to 16%) and collapses Abstention Accuracy (94.1% to 18%), because bi-encoder cosine scores are poorly calibrated relative to cross-encoder logits; Recall@5 also drops from 85% to 68%.</w:t>
      </w:r>
      <w:r>
        <w:t xml:space="preserve"> </w:t>
      </w:r>
      <w:r>
        <w:rPr>
          <w:b/>
          <w:bCs/>
        </w:rPr>
        <w:t xml:space="preserve">Verification provides a meaningful secondary safeguard.</w:t>
      </w:r>
      <w:r>
        <w:t xml:space="preserve"> </w:t>
      </w:r>
      <w:r>
        <w:t xml:space="preserve">Without it, claim-level Ungrounded Rate rises to the raw LLM rate (12%); the heuristic catches roughly two-thirds of hallucinated claims.</w:t>
      </w:r>
      <w:r>
        <w:t xml:space="preserve"> </w:t>
      </w:r>
      <w:r>
        <w:rPr>
          <w:b/>
          <w:bCs/>
        </w:rPr>
        <w:t xml:space="preserve">The Abstention Gate controls coverage / safety.</w:t>
      </w:r>
      <w:r>
        <w:t xml:space="preserve"> </w:t>
      </w:r>
      <w:r>
        <w:t xml:space="preserve">Removing it restores 100% Answer Rate without affecting verified Ungrounded Rate, but it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w:t>
      </w:r>
      <w:r>
        <w:t xml:space="preserve"> </w:t>
      </w:r>
      <w:r>
        <w:rPr>
          <w:b/>
          <w:bCs/>
        </w:rPr>
        <w:t xml:space="preserve">the dominant failure mode shifts across baselines</w:t>
      </w:r>
      <w:r>
        <w:t xml:space="preserve">: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rPr>
          <w:b/>
          <w:bCs/>
        </w:rPr>
        <w:t xml:space="preserve">Over-Abstention dominates</w:t>
      </w:r>
      <w:r>
        <w:t xml:space="preserve">,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To triangulate the automated metrics with human judgement, six peer volunteers (three Final-Year BSc and three MSc Computer Science students, outside the project supervisory chain) each scored 20 B3-Generative query / output pairs between 14 and 18 April 2026 against a 1-to-5 Likert rubric (Correctness, Groundedness, Citation Usefulness, Usefulness,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The evaluation is</w:t>
      </w:r>
      <w:r>
        <w:t xml:space="preserve"> </w:t>
      </w:r>
      <w:r>
        <w:rPr>
          <w:b/>
          <w:bCs/>
        </w:rPr>
        <w:t xml:space="preserve">author-facilitated</w:t>
      </w:r>
      <w:r>
        <w:t xml:space="preserve"> </w:t>
      </w:r>
      <w:r>
        <w:t xml:space="preserve">rather than blinded; results are triangulation, not definitive validation.</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line up with the automated findings. Direct-answer cases scored 4.8 / 4.9 on Correctness and Groundedness, which matches Table 4.2’s low unsupported-claim rate on the same queries. Correct abstentions hit the ceiling on Correctness and Groundedness but dropped to 3.0 on Usefulness — the same trade-off §4.5 surfaces analytically. Over-abstention cases collapsed to 3.2 / 3.8 on Correctness and Trust Calibration, identifying the same operating-point pain. Contradiction probes scored 4.6 / 4.2 / 4.6, indicating surfaced contradictions were generally trusted as legitimate. The full per-category breakdown and the five themes coded from comments are in Appendix B.10. Results are directional given the small, non-blinded, non-domain-expert sample; a follow-up with domain-expert raters and full blinding is future work (§5.3).</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probe whether the system’s safety properties survive on a corpus I did not author, I ran the same B3 system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has 8 documents, 249 paragraphs, and a 20-query test set (12 answerable, 4 unanswerable, 4 ambiguous-evidence cases), with provenance, licence, and access dates recorded in Appendix B.11. Because no LLM API key was used in this run, only B3-Extractive is reported; a generative transfer test is listed as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Safety property survives</w:t>
            </w:r>
          </w:p>
        </w:tc>
      </w:tr>
    </w:tbl>
    <w:p>
      <w:pPr>
        <w:jc w:val="both"/>
      </w:pPr>
      <w:r>
        <w:t xml:space="preserve">The headline observation is that on this small public-corpus stress test the safety property held up: Citation Precision stayed at 100% (true by construction in Extractive Mode) and Ungrounded Rate stayed at 0%, so on the 20-query set the system did not produce an answer that conflicted with its cited evidence on the unfamiliar text. Coverage is broadly preserved (91.7% Answer Rate vs 89% on synthetic). The visible costs are a noticeable drop in retrieval quality (Evidence Recall@5 halves from 85% to 52.1%) and one over-confident answer on an unanswerable query (q_t16 about Cisco router configuration), where BM25 keyword overlap on the word</w:t>
      </w:r>
      <w:r>
        <w:t xml:space="preserve"> </w:t>
      </w:r>
      <w:r>
        <w:t xml:space="preserve">“configure”</w:t>
      </w:r>
      <w:r>
        <w:t xml:space="preserve"> </w:t>
      </w:r>
      <w:r>
        <w:t xml:space="preserve">matched NCSC device-security guidance. The broader pattern is consistent with §4.8: when the system fails on unfamiliar data, it fails by being</w:t>
      </w:r>
      <w:r>
        <w:t xml:space="preserve"> </w:t>
      </w:r>
      <w:r>
        <w:rPr>
          <w:b/>
          <w:bCs/>
        </w:rPr>
        <w:t xml:space="preserve">too confident on a borderline query</w:t>
      </w:r>
      <w:r>
        <w:t xml:space="preserve"> </w:t>
      </w:r>
      <w:r>
        <w:t xml:space="preserve">rather than by hallucinating new content. This is the conservative-failure-mode result that the design was aimed at, and §5.2 returns to it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meets the target’s spirit (89%), but a quoted-paragraph response is not the same product as a synthesised generative answer, so the partial-met framing is the honest one. Objective 5 misses by 0.2 pp due to inherent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it is worth investing in a reranker before reaching for more elaborate techniques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jc w:val="both"/>
      </w:pPr>
      <w:r>
        <w:t xml:space="preserve">Taken together, the results support a fairly narrow claim: combining confidence-gated abstention with per-claim verification on top of cross-encoder reranking can substantially reduce unsupported claims for a policy-compliance use-case in this synthetic setting, with the important caveat that the coverage / precision balance has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by running B3-Extractive against an unfamiliar OGL-licensed corpus authored by NCSC, ICO, and ACAS; the safety properties (citation precision and ungrounded rate) survived that test, but retrieval recall halved on the unfamiliar text.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provides triangulation against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w:t>
      </w:r>
      <w:r>
        <w:t xml:space="preserve"> </w:t>
      </w:r>
      <w:r>
        <w:rPr>
          <w:rStyle w:val="VerbatimChar"/>
        </w:rPr>
        <w:t xml:space="preserve">n/a</w:t>
      </w:r>
      <w:r>
        <w:t xml:space="preserve"> </w:t>
      </w:r>
      <w:r>
        <w:t xml:space="preserve">after</w:t>
      </w:r>
      <w:r>
        <w:t xml:space="preserve"> </w:t>
      </w:r>
      <w:r>
        <w:rPr>
          <w:rStyle w:val="VerbatimChar"/>
        </w:rPr>
        <w:t xml:space="preserve">insufficient_quota</w:t>
      </w:r>
      <w:r>
        <w:t xml:space="preserve"> </w:t>
      </w:r>
      <w:r>
        <w:t xml:space="preserve">errors on the OpenAI account) is landed alongside. A production-quality follow-up evaluation would employ at least two independent domain-expert raters, full blinding, and per-item ratings stored at collection time, as recommended by Es et al. (2023).</w:t>
      </w:r>
    </w:p>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Looking back this seems obvious, but I only got to it from running the ablations and looking at the numbers rather than from architectural intuition.</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private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If access to the private repository is required for marking verification, please contact the author via university email to be granted read access.)</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rPr>
          <w:b/>
          <w:bCs/>
        </w:rPr>
        <w:t xml:space="preserve">Policy Corpus</w:t>
      </w:r>
      <w:r>
        <w:t xml:space="preserve"> </w:t>
      </w:r>
      <w:r>
        <w:t xml:space="preserve">(synthetic, project data, not report prose): three synthetic policy PDFs were generated using GPT-4o with detailed prompts specifying structure, contradictions, and coverage requirements. This corpus is project</w:t>
      </w:r>
      <w:r>
        <w:t xml:space="preserve"> </w:t>
      </w:r>
      <w:r>
        <w:rPr>
          <w:i/>
          <w:iCs/>
        </w:rPr>
        <w:t xml:space="preserve">data</w:t>
      </w:r>
      <w:r>
        <w:t xml:space="preserve"> </w:t>
      </w:r>
      <w:r>
        <w:t xml:space="preserve">used as input to the system, not text that appears as authored prose in this report.</w:t>
      </w:r>
    </w:p>
    <w:p>
      <w:pPr>
        <w:numPr>
          <w:ilvl w:val="0"/>
          <w:numId w:val="1013"/>
        </w:numPr>
        <w:jc w:val="both"/>
      </w:pPr>
      <w:r>
        <w:rPr>
          <w:b/>
          <w:bCs/>
        </w:rPr>
        <w:t xml:space="preserve">Golden Set</w:t>
      </w:r>
      <w:r>
        <w:t xml:space="preserve"> </w:t>
      </w:r>
      <w:r>
        <w:t xml:space="preserve">(synthetic): 63 queries manually crafted and auto-labelled against the synthetic corpus.</w:t>
      </w:r>
    </w:p>
    <w:p>
      <w:pPr>
        <w:numPr>
          <w:ilvl w:val="0"/>
          <w:numId w:val="1013"/>
        </w:numPr>
        <w:jc w:val="both"/>
      </w:pPr>
      <w:r>
        <w:rPr>
          <w:b/>
          <w:bCs/>
        </w:rPr>
        <w:t xml:space="preserve">Public Guidance Transfer Corpus</w:t>
      </w:r>
      <w:r>
        <w:t xml:space="preserve"> </w:t>
      </w:r>
      <w:r>
        <w:t xml:space="preserve">(supplementary external data, used only in §4.11): 8 documents / 249 paragraphs drawn from public pages published by the National Cyber Security Centre, the Information Commissioner’s Office, and ACAS. Every source is published under the Open Government Licence v3.0 and contains no personal data.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6" w:name="declaration-1"/>
    <w:p>
      <w:pPr>
        <w:pStyle w:val="Heading4"/>
      </w:pPr>
      <w:r>
        <w:t xml:space="preserve">Declaration</w:t>
      </w:r>
    </w:p>
    <w:p>
      <w:pPr>
        <w:jc w:val="both"/>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6"/>
    <w:bookmarkStart w:id="97" w:name="usage-log"/>
    <w:p>
      <w:pPr>
        <w:pStyle w:val="Heading4"/>
      </w:pPr>
      <w:r>
        <w:t xml:space="preserve">Usage Log</w:t>
      </w:r>
    </w:p>
    <w:p>
      <w:pPr>
        <w:jc w:val="both"/>
      </w:pPr>
      <w:r>
        <w:t xml:space="preserve">The earliest entries below (Oct 2024 – Feb 2025) are from a self-directed exploratory phase that pre-dated my formal COMP3931 enrolment in the 2025/26 academic year. I kept the log running across that whole period so that nothing about the project’s actual development history is hidden. The formal report-writing phase (the Apr 2026 row) is the only entry that involved AI assistance with the report itself rather than the codebase.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Oct-Nov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docs/report/Final_​Report_​Draft.md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docs/report/Final_​Report_​Draft.pdf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 for the formal Faculty ethics route.</w:t>
            </w:r>
            <w:r>
              <w:rPr>
                <w:rFonts w:ascii="Times New Roman" w:hAnsi="Times New Roman"/>
                <w:color w:val="000000"/>
                <w:sz w:val="20"/>
              </w:rPr>
              <w:t xml:space="preserve"> </w:t>
            </w:r>
            <w:r>
              <w:rPr>
                <w:rFonts w:ascii="Times New Roman" w:hAnsi="Times New Roman"/>
                <w:color w:val="000000"/>
                <w:sz w:val="20"/>
              </w:rPr>
              <w:t xml:space="preserve">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188 passed, 1 skipped in 7.93s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representative coverage across 38 test files / 188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I ran a second round of the evaluation, this time recording one Likert score per (reviewer, query, axis) so that I could actually compute an inter-rater agreement number.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end up around α = 0.74, which by Krippendorff’s informal cut-off (α ≥ 0.667) is in the</w:t>
      </w:r>
      <w:r>
        <w:t xml:space="preserve"> </w:t>
      </w:r>
      <w:r>
        <w:t xml:space="preserve">“tentative agreement”</w:t>
      </w:r>
      <w:r>
        <w:t xml:space="preserve"> </w:t>
      </w:r>
      <w:r>
        <w:t xml:space="preserve">band. The other two axes drop below that, but for two different reasons that I had to look at carefully. Groundedness is a textbook</w:t>
      </w:r>
      <w:r>
        <w:t xml:space="preserve"> </w:t>
      </w:r>
      <w:r>
        <w:rPr>
          <w:b/>
          <w:bCs/>
        </w:rPr>
        <w:t xml:space="preserve">ceiling-effect</w:t>
      </w:r>
      <w:r>
        <w:t xml:space="preserve"> </w:t>
      </w:r>
      <w:r>
        <w:t xml:space="preserve">case: 117 of the 120 Likert scores are either 4 or 5, and the binned pairwise agreement is 100%; the Krippendorff value comes out low not because reviewers disagreed but because there was so little variance for the metric to work with. Citation Usefulness has more genuine spread — reviewers sometimes disagreed by a point or two on whether a citation was</w:t>
      </w:r>
      <w:r>
        <w:t xml:space="preserve"> </w:t>
      </w:r>
      <w:r>
        <w:rPr>
          <w:i/>
          <w:iCs/>
        </w:rPr>
        <w:t xml:space="preserve">useful for verification</w:t>
      </w:r>
      <w:r>
        <w:t xml:space="preserve"> </w:t>
      </w:r>
      <w:r>
        <w:t xml:space="preserve">or just</w:t>
      </w:r>
      <w:r>
        <w:t xml:space="preserve"> </w:t>
      </w:r>
      <w:r>
        <w:rPr>
          <w:i/>
          <w:iCs/>
        </w:rPr>
        <w:t xml:space="preserve">present</w:t>
      </w:r>
      <w:r>
        <w:t xml:space="preserve">. The Round 2 means come out within about 0.5 of the Round 1 aggregates on every axis but are uniformly slightly lower; the cause is structural rather than substantive. In Round 1 each reviewer gave one number per axis as an overall impression of the 20 cases, while Round 2 averages 120 (participant, query) scores. Per-query averaging gives equal weight to the four over-abstention queries (Q09-Q12, where reviewers consistently scored Correctness and Usefulness 1-3), so those cases pull the per-axis means down rather than being smoothed out by overall impression. The Round 1 aggregate (Table B.3) and the Round 2 per-query CSV (</w:t>
      </w:r>
      <w:r>
        <w:rPr>
          <w:rStyle w:val="VerbatimChar"/>
        </w:rPr>
        <w:t xml:space="preserve">anonymised_scores.csv</w:t>
      </w:r>
      <w:r>
        <w:t xml:space="preserve"> </w:t>
      </w:r>
      <w:r>
        <w:t xml:space="preserve">and</w:t>
      </w:r>
      <w:r>
        <w:t xml:space="preserve"> </w:t>
      </w:r>
      <w:r>
        <w:rPr>
          <w:rStyle w:val="VerbatimChar"/>
        </w:rPr>
        <w:t xml:space="preserve">per_query_anonymised_scores.csv</w:t>
      </w:r>
      <w:r>
        <w:t xml:space="preserve"> </w:t>
      </w:r>
      <w:r>
        <w:t xml:space="preserve">under</w:t>
      </w:r>
      <w:r>
        <w:t xml:space="preserve"> </w:t>
      </w:r>
      <w:r>
        <w:rPr>
          <w:rStyle w:val="VerbatimChar"/>
        </w:rPr>
        <w:t xml:space="preserve">docs/evidence/human_eval/</w:t>
      </w:r>
      <w:r>
        <w:t xml:space="preserve">) are both archived; neither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production-quality follow-up would employ at least two independent domain-expert raters, full blinding, and per-item ratings throughout.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production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the safety property of returning verbatim corpus paragraphs is confirmed empirically.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rates are reported as</w:t>
      </w:r>
      <w:r>
        <w:t xml:space="preserve"> </w:t>
      </w:r>
      <w:r>
        <w:rPr>
          <w:rStyle w:val="VerbatimChar"/>
        </w:rPr>
        <w:t xml:space="preserve">n/a</w:t>
      </w:r>
      <w:r>
        <w:t xml:space="preserve"> </w:t>
      </w:r>
      <w:r>
        <w:t xml:space="preserve">rather than fabricated,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will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2026-05-07T02:52:25Z</dcterms:created>
  <dcterms:modified xsi:type="dcterms:W3CDTF">2026-05-07T02:52:25Z</dcterms:modified>
</cp:coreProperties>
</file>

<file path=docProps/custom.xml><?xml version="1.0" encoding="utf-8"?>
<Properties xmlns="http://schemas.openxmlformats.org/officeDocument/2006/custom-properties" xmlns:vt="http://schemas.openxmlformats.org/officeDocument/2006/docPropsVTypes"/>
</file>