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p>
    <w:p>
      <w:pPr>
        <w:jc w:val="center"/>
      </w:pPr>
      <w:r>
        <w:rPr>
          <w:b/>
          <w:bCs/>
        </w:rPr>
        <w:t xml:space="preserve">Final Report</w:t>
      </w:r>
    </w:p>
    <w:p>
      <w:pPr>
        <w:jc w:val="center"/>
      </w:pP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w:t>
      </w:r>
      <w:r>
        <w:t xml:space="preserve"> </w:t>
      </w:r>
      <w:r>
        <w:rPr>
          <w:i/>
          <w:iCs/>
        </w:rPr>
        <w:t xml:space="preserve">Nathaniel Sebastian</w:t>
      </w:r>
      <w:r>
        <w:t xml:space="preserve"> </w:t>
      </w:r>
      <w:r>
        <w:t xml:space="preserve">………………………………………………</w:t>
      </w:r>
    </w:p>
    <w:p>
      <w:pPr>
        <w:jc w:val="both"/>
      </w:pPr>
      <w:r>
        <w:t xml:space="preserve">(Date)</w:t>
      </w:r>
      <w:r>
        <w:t xml:space="preserve"> </w:t>
      </w:r>
      <w:r>
        <w:rPr>
          <w:i/>
          <w:iCs/>
        </w:rPr>
        <w:t xml:space="preserve">30 April 2026</w:t>
      </w:r>
      <w:r>
        <w:t xml:space="preserve"> </w:t>
      </w:r>
      <w:r>
        <w:t xml:space="preserve">…………………………………………………</w:t>
      </w:r>
    </w:p>
    <w:p>
      <w:pPr>
        <w:jc w:val="both"/>
      </w:pPr>
      <w:r>
        <w:pict>
          <v:rect style="width:0;height:1.5pt" o:hralign="center" o:hrstd="t" o:hr="t"/>
        </w:pict>
      </w:r>
    </w:p>
    <w:bookmarkEnd w:id="24"/>
    <w:bookmarkStart w:id="25" w:name="summary"/>
    <w:p>
      <w:pPr>
        <w:pStyle w:val="Heading1"/>
        <w:pageBreakBefore/>
      </w:pPr>
      <w:r>
        <w:t xml:space="preserve">Summary</w:t>
      </w:r>
    </w:p>
    <w:p>
      <w:pPr>
        <w:jc w:val="both"/>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jc w:val="both"/>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Four reliability layers sit on top of standard RAG: cross-encoder reranking (which improves retrieval precision and produces the confidence signal used by the abstention gate); per-claim citation verification using token-overlap and numeric checks (deterministic and reproducible, no second LLM); contradiction detection across documents; and an Extractive Fallback Mode that returns the top-ranked evidence paragraph when the LLM is unavailable.</w:t>
      </w:r>
    </w:p>
    <w:p>
      <w:pPr>
        <w:jc w:val="both"/>
      </w:pPr>
      <w:r>
        <w:t xml:space="preserve">The system was evaluated on a 63-query synthetic golden set (36 answerable, 17 unanswerable, 10 contradiction; 44 held-out test queries). On the test split, B3-Generative reports a</w:t>
      </w:r>
      <w:r>
        <w:t xml:space="preserve"> </w:t>
      </w:r>
      <w:r>
        <w:rPr>
          <w:b/>
          <w:bCs/>
        </w:rPr>
        <w:t xml:space="preserve">0.0% headline ungrounded rate</w:t>
      </w:r>
      <w:r>
        <w:t xml:space="preserve">. This number should be read carefully: any response that fails the support-rate check is converted into an abstention, so 0.0% is partly a property of that gate and not a claim that the LLM never produced unsupported text. The same configuration reaches</w:t>
      </w:r>
      <w:r>
        <w:t xml:space="preserve"> </w:t>
      </w:r>
      <w:r>
        <w:rPr>
          <w:b/>
          <w:bCs/>
        </w:rPr>
        <w:t xml:space="preserve">94.1% abstention accuracy</w:t>
      </w:r>
      <w:r>
        <w:t xml:space="preserve"> </w:t>
      </w:r>
      <w:r>
        <w:t xml:space="preserve">on the 12 test-split unanswerable queries, above the 80% target, although n=12 makes the bootstrap interval wide. The visible cost is a</w:t>
      </w:r>
      <w:r>
        <w:t xml:space="preserve"> </w:t>
      </w:r>
      <w:r>
        <w:rPr>
          <w:b/>
          <w:bCs/>
        </w:rPr>
        <w:t xml:space="preserve">25% answer rate</w:t>
      </w:r>
      <w:r>
        <w:t xml:space="preserve"> </w:t>
      </w:r>
      <w:r>
        <w:t xml:space="preserve">in generative mode, well below the 85% target.</w:t>
      </w:r>
      <w:r>
        <w:t xml:space="preserve"> </w:t>
      </w:r>
      <w:r>
        <w:rPr>
          <w:b/>
          <w:bCs/>
        </w:rPr>
        <w:t xml:space="preserve">Extractive Mode</w:t>
      </w:r>
      <w:r>
        <w:t xml:space="preserve"> </w:t>
      </w:r>
      <w:r>
        <w:t xml:space="preserve">recovers most of the coverage with an</w:t>
      </w:r>
      <w:r>
        <w:t xml:space="preserve"> </w:t>
      </w:r>
      <w:r>
        <w:rPr>
          <w:b/>
          <w:bCs/>
        </w:rPr>
        <w:t xml:space="preserve">89% answer rate</w:t>
      </w:r>
      <w:r>
        <w:t xml:space="preserve">,</w:t>
      </w:r>
      <w:r>
        <w:t xml:space="preserve"> </w:t>
      </w:r>
      <w:r>
        <w:rPr>
          <w:b/>
          <w:bCs/>
        </w:rPr>
        <w:t xml:space="preserve">100% citation precision</w:t>
      </w:r>
      <w:r>
        <w:t xml:space="preserve"> </w:t>
      </w:r>
      <w:r>
        <w:t xml:space="preserve">(true by construction since the answer is the cited paragraph) and</w:t>
      </w:r>
      <w:r>
        <w:t xml:space="preserve"> </w:t>
      </w:r>
      <w:r>
        <w:rPr>
          <w:b/>
          <w:bCs/>
        </w:rPr>
        <w:t xml:space="preserve">100% abstention accuracy</w:t>
      </w:r>
      <w:r>
        <w:t xml:space="preserve">, but the cost is that responses are quoted evidence rather than synthesised answers. Ablation results suggest that cross-encoder reranking is the largest single contributor of the four layers. A separate heuristic</w:t>
      </w:r>
      <w:r>
        <w:t xml:space="preserve"> </w:t>
      </w:r>
      <w:r>
        <w:rPr>
          <w:b/>
          <w:bCs/>
        </w:rPr>
        <w:t xml:space="preserve">Critic Mode</w:t>
      </w:r>
      <w:r>
        <w:t xml:space="preserve"> </w:t>
      </w:r>
      <w:r>
        <w:t xml:space="preserve">reaches</w:t>
      </w:r>
      <w:r>
        <w:t xml:space="preserve"> </w:t>
      </w:r>
      <w:r>
        <w:rPr>
          <w:b/>
          <w:bCs/>
        </w:rPr>
        <w:t xml:space="preserve">93.7% macro precision</w:t>
      </w:r>
      <w:r>
        <w:t xml:space="preserve"> </w:t>
      </w:r>
      <w:r>
        <w:t xml:space="preserve">(78.5% macro recall, 84.8% macro F1), just below the 85% F1 target. All numbers apply to a synthetic, fairly clean corpus; transfer to noisier real-world documents is a stated limitation (§4.12.3).</w:t>
      </w:r>
    </w:p>
    <w:p>
      <w:pPr>
        <w:jc w:val="both"/>
      </w:pPr>
      <w:r>
        <w:t xml:space="preserve">Overall the project supports a fairly narrow claim: lightweight, deterministic reliability controls (confidence-gated abstention plus per-claim verification on top of cross-encoder reranking) can substantially reduce unsupported claims for a policy-compliance use-case, at the cost of a coverage/precision trade-off that future work would need to retune for any new corpus or retrieval backend.</w:t>
      </w:r>
    </w:p>
    <w:p>
      <w:pPr>
        <w:jc w:val="both"/>
      </w:pPr>
      <w:r>
        <w:pict>
          <v:rect style="width:0;height:1.5pt" o:hralign="center" o:hrstd="t" o:hr="t"/>
        </w:pict>
      </w:r>
    </w:p>
    <w:bookmarkEnd w:id="25"/>
    <w:bookmarkStart w:id="2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as a development, debugging, and limited drafting-support aid, as disclosed in Appendix B.5 in line with the University of Leeds Generative AI policy (Amber category for COMP3931/COMP3932). All final wording, technical claims, edits, and submission decisions were reviewed, revised, and approved by the author.</w:t>
      </w:r>
    </w:p>
    <w:p>
      <w:pPr>
        <w:jc w:val="both"/>
      </w:pPr>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viii</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30</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35</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35</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36</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40</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44</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46</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47</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48</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51</w:t>
      </w:r>
    </w:p>
    <w:p>
      <w:pPr>
        <w:spacing w:line="288" w:lineRule="auto" w:before="0" w:after="40"/>
        <w:ind w:left="640"/>
        <w:jc w:val="both"/>
        <w:tabs>
          <w:tab w:val="right" w:leader="dot" w:pos="8060"/>
        </w:tabs>
      </w:pPr>
      <w:hyperlink w:anchor="Xa3c7045fe3a3bfc9850e0e57f9bd37a751212fc">
        <w:r>
          <w:rPr>
            <w:rFonts w:ascii="Times New Roman" w:hAnsi="Times New Roman" w:cs="Times New Roman"/>
            <w:sz w:val="22"/>
            <w:color w:val="000000"/>
            <w:u w:val="none"/>
          </w:rPr>
          <w:t xml:space="preserve">B.12 Adversarial and Audit Export Evidence (referenced from L6 and §4.4)</w:t>
        </w:r>
      </w:hyperlink>
      <w:r>
        <w:rPr>
          <w:rFonts w:ascii="Times New Roman" w:hAnsi="Times New Roman" w:cs="Times New Roman"/>
          <w:sz w:val="22"/>
          <w:color w:val="000000"/>
          <w:u w:val="none"/>
        </w:rPr>
        <w:tab/>
        <w:t xml:space="preserve">52</w:t>
      </w:r>
    </w:p>
    <w:bookmarkEnd w:id="27"/>
    <w:bookmarkStart w:id="2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9</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45</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46</w:t>
      </w:r>
    </w:p>
    <w:bookmarkEnd w:id="28"/>
    <w:bookmarkStart w:id="2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13</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B3-Extractive: synthetic test split versus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 (Chapter 4 §4.13)</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Testing and validation matrix across 38 test files / 188 cases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49</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Public Guidance Transfer Corpus provenance</w:t>
        </w:r>
      </w:hyperlink>
      <w:r>
        <w:rPr>
          <w:rFonts w:ascii="Times New Roman" w:hAnsi="Times New Roman" w:cs="Times New Roman"/>
          <w:sz w:val="22"/>
          <w:color w:val="000000"/>
          <w:u w:val="none"/>
        </w:rPr>
        <w:tab/>
        <w:t xml:space="preserve">51</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5">
        <w:r>
          <w:rPr>
            <w:rFonts w:ascii="Times New Roman" w:hAnsi="Times New Roman" w:cs="Times New Roman"/>
            <w:sz w:val="22"/>
            <w:color w:val="000000"/>
            <w:u w:val="none"/>
          </w:rPr>
          <w:t xml:space="preserve">Table B.5 Adversarial probe results, paired across modes</w:t>
        </w:r>
      </w:hyperlink>
      <w:r>
        <w:rPr>
          <w:rFonts w:ascii="Times New Roman" w:hAnsi="Times New Roman" w:cs="Times New Roman"/>
          <w:sz w:val="22"/>
          <w:color w:val="000000"/>
          <w:u w:val="none"/>
        </w:rPr>
        <w:tab/>
        <w:t xml:space="preserve">52</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This hallucination behaviour is well documented (Ji et al., 2023; Huang et al., 2023) and, in a compliance setting, a wrong answer presented confidently can cause real harm: incorrect interpretation of policy, downstream operational errors, and disputes that a direct reading of the source would have prevented. The Deloitte AI Institute (2024) survey reports that this failure mode is an active concern in industry, although it relies on self-reported executive views rather than direct measurement of hallucination rates.</w:t>
      </w:r>
    </w:p>
    <w:p>
      <w:pPr>
        <w:jc w:val="both"/>
      </w:pPr>
      <w:r>
        <w:t xml:space="preserve">Retrieval-Augmented Generation (RAG) is the dominant mitigation strategy. By prefixing generation with explicit evidence retrieval, RAG constrains output to retrieved passages (Lewis et al., 2020). Standard RAG, however, provides no guarantee that the model actually</w:t>
      </w:r>
      <w:r>
        <w:t xml:space="preserve"> </w:t>
      </w:r>
      <w:r>
        <w:rPr>
          <w:i/>
          <w:iCs/>
        </w:rPr>
        <w:t xml:space="preserve">uses</w:t>
      </w:r>
      <w:r>
        <w:t xml:space="preserve"> </w:t>
      </w:r>
      <w:r>
        <w:t xml:space="preserve">the retrieved evidence, and offers no mechanism for acknowledging the limits of its knowledge. Parallel work on selective prediction and abstention (Kamath et al., 2020; Pei et al., 2023) studies when models should refuse, but largely on open-domain benchmarks rather than restricted enterprise corpora. The core research question is therefore:</w:t>
      </w:r>
    </w:p>
    <w:p>
      <w:pPr>
        <w:jc w:val="both"/>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jc w:val="both"/>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jc w:val="both"/>
      </w:pPr>
      <w:r>
        <w:t xml:space="preserve">I ran a structured literature search between October 2024 and January 2025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jc w:val="both"/>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rPr>
          <w:b/>
          <w:bCs/>
        </w:rPr>
        <w:t xml:space="preserve">PRISMA flow:</w:t>
      </w:r>
      <w:r>
        <w:t xml:space="preserve"> </w:t>
      </w:r>
      <w:r>
        <w:t xml:space="preserve">584 records identified, 112 duplicates removed, 472 screened, 318 excluded at title/abstract, 154 full-text assessed, 116 excluded, leaving</w:t>
      </w:r>
      <w:r>
        <w:t xml:space="preserve"> </w:t>
      </w:r>
      <w:r>
        <w:rPr>
          <w:b/>
          <w:bCs/>
        </w:rPr>
        <w:t xml:space="preserve">38 included</w:t>
      </w:r>
      <w:r>
        <w:t xml:space="preserve"> </w:t>
      </w:r>
      <w:r>
        <w:t xml:space="preserve">(Figure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A dense passage retriever (DPR; Karpukhin et al., 2020) identifies relevant documents from a corpus and concatenates them into the model’s input context, with FAISS providing tractable approximate nearest-neighbour search at scale (Johnson, Douze and Jégou, 2019). The architecture provides, in principle, a traceable link between answer and source, but in practice that link is fragile: Gao et al. (2023) observe that models frequently ignore retrieved context when it conflicts with parametric beliefs (the</w:t>
      </w:r>
      <w:r>
        <w:t xml:space="preserve"> </w:t>
      </w:r>
      <w:r>
        <w:t xml:space="preserve">“faithfulness gap”</w:t>
      </w:r>
      <w:r>
        <w:t xml:space="preserve">), and Cuconasu et al. (2024) demonstrate that injecting irrelevant noise can paradoxically improve answer quality, indicating that the retrieval / generation relationship is more complex than early work assumed. RAG provides the architectural skeleton; it does not, on its own,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jc w:val="bot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and identify it as the primary barrier to deploying generative models in high-stakes contexts. Huang et al. (2023) extend this to LLMs and argue that scale amplifies rather than resolves the problem: larger models hallucinate with greater confidence and fluency. Mitigation strategies divide into three families.</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distinguish citation</w:t>
      </w:r>
      <w:r>
        <w:t xml:space="preserve"> </w:t>
      </w:r>
      <w:r>
        <w:rPr>
          <w:i/>
          <w:iCs/>
        </w:rPr>
        <w:t xml:space="preserve">correctness</w:t>
      </w:r>
      <w:r>
        <w:t xml:space="preserve"> </w:t>
      </w:r>
      <w:r>
        <w:t xml:space="preserve">from citation</w:t>
      </w:r>
      <w:r>
        <w:t xml:space="preserve"> </w:t>
      </w:r>
      <w:r>
        <w:rPr>
          <w:i/>
          <w:iCs/>
        </w:rPr>
        <w:t xml:space="preserve">faithfulness</w:t>
      </w:r>
      <w:r>
        <w:t xml:space="preserve">, a distinction that matters in audit-critical environments.</w:t>
      </w:r>
      <w:r>
        <w:t xml:space="preserve"> </w:t>
      </w:r>
      <w:r>
        <w:rPr>
          <w:b/>
          <w:bCs/>
        </w:rPr>
        <w:t xml:space="preserve">Post-hoc editing</w:t>
      </w:r>
      <w:r>
        <w:t xml:space="preserve"> </w:t>
      </w:r>
      <w:r>
        <w:t xml:space="preserve">(Gao et al., 2023, RARR) revises unsupported claims via additional LLM passes, at high computational cost and with its own hallucination risk; Yue et al. (2023) note that LLM-judge evaluation introduces circularity when judge and generator share architecture or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architecture-specific. None of these paradigms satisfies the requirements of a deterministic, auditable compliance tool; the approach taken here is instead a lightweight, heuristic verification layer applied</w:t>
      </w:r>
      <w:r>
        <w:t xml:space="preserve"> </w:t>
      </w:r>
      <w:r>
        <w:rPr>
          <w:i/>
          <w:iCs/>
        </w:rPr>
        <w:t xml:space="preserve">after</w:t>
      </w:r>
      <w:r>
        <w:t xml:space="preserve"> </w:t>
      </w:r>
      <w:r>
        <w:t xml:space="preserve">generation, using token-overlap rather than learned models, and revisited in Section 4.7.</w:t>
      </w:r>
    </w:p>
    <w:bookmarkEnd w:id="34"/>
    <w:bookmarkStart w:id="35" w:name="Xc7caeabd380139febf70e34f46b6bbe65817dda"/>
    <w:p>
      <w:pPr>
        <w:pStyle w:val="Heading2"/>
      </w:pPr>
      <w:r>
        <w:t xml:space="preserve">1.6 Information Retrieval: Dense Retrieval and Cross-Encoder Reranking</w:t>
      </w:r>
    </w:p>
    <w:p>
      <w:pPr>
        <w:jc w:val="both"/>
      </w:pPr>
      <w:r>
        <w:t xml:space="preserve">Retrieval quality bounds RAG quality: if the correct paragraph is not retrieved, no generation step can recover. Barnett et al. (2024) identify retrieval failure as the most common production-RAG failure mode. The two complementary primitives are</w:t>
      </w:r>
      <w:r>
        <w:t xml:space="preserve"> </w:t>
      </w:r>
      <w:r>
        <w:rPr>
          <w:b/>
          <w:bCs/>
        </w:rPr>
        <w:t xml:space="preserve">bi-encoders</w:t>
      </w:r>
      <w:r>
        <w:t xml:space="preserve">, which independently encode queries and documents into a shared vector space and support fast nearest-neighbour search, and</w:t>
      </w:r>
      <w:r>
        <w:t xml:space="preserve"> </w:t>
      </w:r>
      <w:r>
        <w:rPr>
          <w:b/>
          <w:bCs/>
        </w:rPr>
        <w:t xml:space="preserve">cross-encoders</w:t>
      </w:r>
      <w:r>
        <w:t xml:space="preserve"> </w:t>
      </w:r>
      <w:r>
        <w:t xml:space="preserve">(Nogueira and Cho, 2019), which encode query and document jointly to produce more precise relevance scores at higher latency. Lin et al. (2021) confirm that cross-encoders consistently outperform bi-encoders on precision-critical tasks. The standard resolution, and the one adopted here,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jc w:val="bot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jc w:val="both"/>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jc w:val="both"/>
      </w:pPr>
      <w:r>
        <w:t xml:space="preserve">Table B.1 (Appendix B.8) situates Policy Copilot within the landscape of retrieval-augmented and grounded generation systems across domain focus, grounding mechanism, abstention handling, key limitation, and relevance. The comparison surfaces a consistent pattern: the majority of systems target open-domain corpora where recall is paramount and tolerance for imprecision is high (Standard RAG, DPR, FreshLLMs); systems that do incorporate abstention (Self-RAG, ASPIRE) rely on non-deterministic learned mechanisms that are expensive to deploy; and</w:t>
      </w:r>
      <w:r>
        <w:t xml:space="preserve"> </w:t>
      </w:r>
      <w:r>
        <w:rPr>
          <w:b/>
          <w:bCs/>
        </w:rPr>
        <w:t xml:space="preserve">no surveyed system combines deterministic grounding verification with explicit abstention over a closed, bounded corpus</w:t>
      </w:r>
      <w:r>
        <w:t xml:space="preserve">, which is the setup this project targets. Policy Copilot occupies that gap by combining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jc w:val="both"/>
      </w:pPr>
      <w:r>
        <w:t xml:space="preserve">The literature reviewed reveals a clear gap. On the</w:t>
      </w:r>
      <w:r>
        <w:t xml:space="preserve"> </w:t>
      </w:r>
      <w:r>
        <w:rPr>
          <w:i/>
          <w:iCs/>
        </w:rPr>
        <w:t xml:space="preserve">generation</w:t>
      </w:r>
      <w:r>
        <w:t xml:space="preserve"> </w:t>
      </w:r>
      <w:r>
        <w:t xml:space="preserve">side, hallucination-mitigation techniques (Attributed QA, RARR, Self-RAG) are overwhelmingly optimised for open-domain benchmarks, depend on expensive fine-tuning or multiple LLM calls, and prioritise</w:t>
      </w:r>
      <w:r>
        <w:t xml:space="preserve"> </w:t>
      </w:r>
      <w:r>
        <w:rPr>
          <w:i/>
          <w:iCs/>
        </w:rPr>
        <w:t xml:space="preserve">answering as many questions as possible</w:t>
      </w:r>
      <w:r>
        <w:t xml:space="preserve"> </w:t>
      </w:r>
      <w:r>
        <w:t xml:space="preserve">over</w:t>
      </w:r>
      <w:r>
        <w:t xml:space="preserve"> </w:t>
      </w:r>
      <w:r>
        <w:rPr>
          <w:i/>
          <w:iCs/>
        </w:rPr>
        <w:t xml:space="preserve">refusing when evidence is weak</w:t>
      </w:r>
      <w:r>
        <w:t xml:space="preserve">. That priority is the wrong one for compliance. On the</w:t>
      </w:r>
      <w:r>
        <w:t xml:space="preserve"> </w:t>
      </w:r>
      <w:r>
        <w:rPr>
          <w:i/>
          <w:iCs/>
        </w:rPr>
        <w:t xml:space="preserve">evaluation</w:t>
      </w:r>
      <w:r>
        <w:t xml:space="preserve"> </w:t>
      </w:r>
      <w:r>
        <w:t xml:space="preserve">side, LLM-as-judge frameworks (RAGAS, RAGE) introduce documented biases (Zheng et al., 2024), and Wallat et al. (2024) show that citation correctness and faithfulness are distinct properties. On the</w:t>
      </w:r>
      <w:r>
        <w:t xml:space="preserve"> </w:t>
      </w:r>
      <w:r>
        <w:rPr>
          <w:i/>
          <w:iCs/>
        </w:rPr>
        <w:t xml:space="preserve">retrieval</w:t>
      </w:r>
      <w:r>
        <w:t xml:space="preserve"> </w:t>
      </w:r>
      <w:r>
        <w:t xml:space="preserve">side, two-stage retrieve-and-rerank is well established but typically deployed at web scale where cross-encoder latency is prohibitive (Nogueira and Cho, 2019; Lin et al., 2021); for closed corpora under 2,000 paragraphs the latency constraint largely vanishes, and structurally-aware paragraph-level chunking performs comparably to expensive semantic chunking on policy documents (Qu, Bao and Tu, 2024).</w:t>
      </w:r>
    </w:p>
    <w:p>
      <w:pPr>
        <w:jc w:val="both"/>
      </w:pPr>
      <w:r>
        <w:t xml:space="preserve">Taken together, these observations point to a neglected design region:</w:t>
      </w:r>
      <w:r>
        <w:t xml:space="preserve"> </w:t>
      </w:r>
      <w:r>
        <w:rPr>
          <w:b/>
          <w:bCs/>
        </w:rPr>
        <w:t xml:space="preserve">closed-domain, deterministically verified, abstention-aware RAG optimised for precision over recall</w:t>
      </w:r>
      <w:r>
        <w:t xml:space="preserve">. Policy Copilot fills that gap. It imposes strict, deterministic constraints on the generative model: abstaining before generation when evidence is weak, and excising claims whose citations fail token-overlap verification. The result is a</w:t>
      </w:r>
      <w:r>
        <w:t xml:space="preserve"> </w:t>
      </w:r>
      <w:r>
        <w:t xml:space="preserve">“cited or silent”</w:t>
      </w:r>
      <w:r>
        <w:t xml:space="preserve"> </w:t>
      </w:r>
      <w:r>
        <w:t xml:space="preserve">rule that, in the literature reviewed for this project, I did not find empirically evaluated on a bounded enterprise policy corpus in this combined configuration. The contribution is therefore not RAG itself, nor an evaluation framework in the LangSmith or RAGAS sense, but the end-to-end system design that treats grounding, abstention, citation verification, and audit traceability as first-class functional requirements rather than optional add-ons.</w:t>
      </w:r>
    </w:p>
    <w:p>
      <w:pPr>
        <w:jc w:val="both"/>
      </w:pPr>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jc w:val="both"/>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jc w:val="both"/>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jc w:val="both"/>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jc w:val="both"/>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jc w:val="both"/>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jc w:val="both"/>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jc w:val="both"/>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39114"/>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39114"/>
                    </a:xfrm>
                    <a:prstGeom prst="rect"/>
                  </pic:spPr>
                </pic:pic>
              </a:graphicData>
            </a:graphic>
          </wp:inline>
        </w:drawing>
      </w:r>
    </w:p>
    <w:p>
      <w:pPr>
        <w:spacing w:before="0" w:after="80"/>
        <w:jc w:val="center"/>
      </w:pPr>
      <w:r>
        <w:rPr>
          <w:i/>
          <w:iCs/>
          <w:sz w:val="20"/>
        </w:rPr>
        <w:t xml:space="preserve">Figure 2.1: Gantt chart of the six-sprint development timeline (Weeks 1 to 22, October 2024 to February 2025). Report writing, documentation hardening, and evaluation refinement continued through the 2025/26 submission period.</w:t>
      </w:r>
    </w:p>
    <w:p>
      <w:pPr>
        <w:jc w:val="both"/>
      </w:pPr>
      <w:r>
        <w:t xml:space="preserve">Version control used a private GitHub repository with a branch-per-sprint strategy. The final history contains over 200 commits spanning the full project lifecycle, providing a verifiable development timeline. The six implementation sprints (S1 to S6) ran from October 2024 to March 2025; subsequent activity through the 2025/26 submission cycle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jc w:val="both"/>
      </w:pPr>
      <w:r>
        <w:t xml:space="preserve">Requirements were derived from the research objectives (Section 1.2) and the gap analysis (Section 1.11). I formulated each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w:t>
      </w:r>
      <w:r>
        <w:t xml:space="preserve"> </w:t>
      </w:r>
      <w:r>
        <w:rPr>
          <w:i/>
          <w:iCs/>
        </w:rPr>
        <w:t xml:space="preserve">what</w:t>
      </w:r>
      <w:r>
        <w:t xml:space="preserve"> </w:t>
      </w:r>
      <w:r>
        <w:t xml:space="preserve">the system promises. Non-functional requirements (NFR1 to NFR3) constrain</w:t>
      </w:r>
      <w:r>
        <w:t xml:space="preserve"> </w:t>
      </w:r>
      <w:r>
        <w:rPr>
          <w:i/>
          <w:iCs/>
        </w:rPr>
        <w:t xml:space="preserve">how</w:t>
      </w:r>
      <w:r>
        <w:t xml:space="preserve"> </w:t>
      </w:r>
      <w:r>
        <w:t xml:space="preserve">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jc w:val="both"/>
      </w:pPr>
      <w:r>
        <w:t xml:space="preserve">The system follows a modular</w:t>
      </w:r>
      <w:r>
        <w:t xml:space="preserve"> </w:t>
      </w:r>
      <w:r>
        <w:rPr>
          <w:b/>
          <w:bCs/>
        </w:rPr>
        <w:t xml:space="preserve">Retrieve-and-Rerank-then-Generate-and-Verify</w:t>
      </w:r>
      <w:r>
        <w:t xml:space="preserve"> </w:t>
      </w:r>
      <w:r>
        <w:t xml:space="preserve">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w:t>
      </w:r>
      <w:r>
        <w:t xml:space="preserve"> </w:t>
      </w:r>
      <w:r>
        <w:rPr>
          <w:i/>
          <w:iCs/>
        </w:rPr>
        <w:t xml:space="preserve">before</w:t>
      </w:r>
      <w:r>
        <w:t xml:space="preserve"> </w:t>
      </w:r>
      <w:r>
        <w:t xml:space="preserve">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jc w:val="both"/>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jc w:val="both"/>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jc w:val="both"/>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jc w:val="both"/>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jc w:val="both"/>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jc w:val="both"/>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jc w:val="both"/>
      </w:pPr>
      <w:r>
        <w:t xml:space="preserve">The evaluation golden set comprises</w:t>
      </w:r>
      <w:r>
        <w:t xml:space="preserve"> </w:t>
      </w:r>
      <w:r>
        <w:rPr>
          <w:b/>
          <w:bCs/>
        </w:rPr>
        <w:t xml:space="preserve">63 queries</w:t>
      </w:r>
      <w:r>
        <w:t xml:space="preserve"> </w:t>
      </w:r>
      <w:r>
        <w:t xml:space="preserve">in three categories.</w:t>
      </w:r>
      <w:r>
        <w:t xml:space="preserve"> </w:t>
      </w:r>
      <w:r>
        <w:rPr>
          <w:b/>
          <w:bCs/>
        </w:rPr>
        <w:t xml:space="preserve">Answerable (36)</w:t>
      </w:r>
      <w:r>
        <w:t xml:space="preserve"> </w:t>
      </w:r>
      <w:r>
        <w:t xml:space="preserve">queries have answers explicit in one or more paragraphs.</w:t>
      </w:r>
      <w:r>
        <w:t xml:space="preserve"> </w:t>
      </w:r>
      <w:r>
        <w:rPr>
          <w:b/>
          <w:bCs/>
        </w:rPr>
        <w:t xml:space="preserve">Unanswerable (17)</w:t>
      </w:r>
      <w:r>
        <w:t xml:space="preserve"> </w:t>
      </w:r>
      <w:r>
        <w:t xml:space="preserve">queries are plausible but absent from the corpus and test the abstention path.</w:t>
      </w:r>
      <w:r>
        <w:t xml:space="preserve"> </w:t>
      </w:r>
      <w:r>
        <w:rPr>
          <w:b/>
          <w:bCs/>
        </w:rPr>
        <w:t xml:space="preserve">Contradiction (10)</w:t>
      </w:r>
      <w:r>
        <w:t xml:space="preserve"> </w:t>
      </w:r>
      <w:r>
        <w:t xml:space="preserve">queries trigger genuine conflicts between documents (for example, 90-day vs. 60-day password rotation in the Handbook vs. the IT Addendum), testing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w:t>
      </w:r>
      <w:r>
        <w:t xml:space="preserve"> </w:t>
      </w:r>
      <w:r>
        <w:rPr>
          <w:b/>
          <w:bCs/>
        </w:rPr>
        <w:t xml:space="preserve">validation subset (19 queries)</w:t>
      </w:r>
      <w:r>
        <w:t xml:space="preserve"> </w:t>
      </w:r>
      <w:r>
        <w:t xml:space="preserve">for threshold tuning and a</w:t>
      </w:r>
      <w:r>
        <w:t xml:space="preserve"> </w:t>
      </w:r>
      <w:r>
        <w:rPr>
          <w:b/>
          <w:bCs/>
        </w:rPr>
        <w:t xml:space="preserve">test subset (44 queries)</w:t>
      </w:r>
      <w:r>
        <w:t xml:space="preserve"> </w:t>
      </w:r>
      <w:r>
        <w:t xml:space="preserve">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Private repository with branch-per-sprint strategy; 200+ commits across two semesters</w:t>
            </w:r>
          </w:p>
        </w:tc>
      </w:tr>
    </w:tbl>
    <w:p>
      <w:pPr>
        <w:jc w:val="both"/>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jc w:val="bot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jc w:val="both"/>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jc w:val="both"/>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w:t>
      </w:r>
      <w:r>
        <w:t xml:space="preserve"> </w:t>
      </w:r>
      <w:r>
        <w:rPr>
          <w:b/>
          <w:bCs/>
        </w:rPr>
        <w:t xml:space="preserve">abstention gate</w:t>
      </w:r>
      <w:r>
        <w:t xml:space="preserv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jc w:val="both"/>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w:t>
      </w:r>
      <w:r>
        <w:t xml:space="preserve"> </w:t>
      </w:r>
      <w:r>
        <w:rPr>
          <w:b/>
          <w:bCs/>
        </w:rPr>
        <w:t xml:space="preserve">Extractive Mode</w:t>
      </w:r>
      <w:r>
        <w:t xml:space="preserve"> </w:t>
      </w:r>
      <w:r>
        <w:t xml:space="preserve">the LLM is bypassed entirely; the system returns the verbatim top-ranked paragraph with its citation ID, so citation precision in that mode is 100% by construction (the returned text</w:t>
      </w:r>
      <w:r>
        <w:t xml:space="preserve"> </w:t>
      </w:r>
      <w:r>
        <w:rPr>
          <w:i/>
          <w:iCs/>
        </w:rPr>
        <w:t xml:space="preserve">is</w:t>
      </w:r>
      <w:r>
        <w:t xml:space="preserve"> </w:t>
      </w:r>
      <w:r>
        <w:t xml:space="preserve">the cited evidence). The cost is that responses are quoted evidence rather than synthesised answers. I implemented this mode primarily as risk mitigation (Table 2.2), but it also serves an evaluative purpose: comparing Generative vs Extractive on the same queries isolates LLM contribution from retrieval contribution.</w:t>
      </w:r>
    </w:p>
    <w:bookmarkEnd w:id="53"/>
    <w:bookmarkStart w:id="54" w:name="citation-verification-and-abstention"/>
    <w:p>
      <w:pPr>
        <w:pStyle w:val="Heading2"/>
      </w:pPr>
      <w:r>
        <w:t xml:space="preserve">3.5 Citation Verification and Abstention</w:t>
      </w:r>
    </w:p>
    <w:p>
      <w:pPr>
        <w:jc w:val="both"/>
      </w:pPr>
      <w:r>
        <w:t xml:space="preserve">The verification subsystem (</w:t>
      </w:r>
      <w:r>
        <w:rPr>
          <w:rStyle w:val="VerbatimChar"/>
        </w:rPr>
        <w:t xml:space="preserve">src/policy_copilot/verify/</w:t>
      </w:r>
      <w:r>
        <w:t xml:space="preserve">) is the architectural centrepiece. It comprises four sub-modules.</w:t>
      </w:r>
    </w:p>
    <w:p>
      <w:pPr>
        <w:jc w:val="both"/>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w:t>
      </w:r>
      <w:r>
        <w:t xml:space="preserve"> </w:t>
      </w:r>
      <w:r>
        <w:rPr>
          <w:b/>
          <w:bCs/>
        </w:rPr>
        <w:t xml:space="preserve">intra-corpus contradiction</w:t>
      </w:r>
      <w:r>
        <w:t xml:space="preserve">,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jc w:val="bot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jc w:val="both"/>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jc w:val="both"/>
      </w:pPr>
      <w:r>
        <w:rPr>
          <w:b/>
          <w:bCs/>
        </w:rPr>
        <w:t xml:space="preserve">Reviewer Mode</w:t>
      </w:r>
      <w:r>
        <w:t xml:space="preserve"> </w:t>
      </w:r>
      <w:r>
        <w:t xml:space="preserve">(</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jc w:val="both"/>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jc w:val="both"/>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jc w:val="both"/>
      </w:pPr>
      <w:r>
        <w:t xml:space="preserve">The codebase has</w:t>
      </w:r>
      <w:r>
        <w:t xml:space="preserve"> </w:t>
      </w:r>
      <w:r>
        <w:rPr>
          <w:b/>
          <w:bCs/>
        </w:rPr>
        <w:t xml:space="preserve">38 test files / 188 cases</w:t>
      </w:r>
      <w:r>
        <w:t xml:space="preserve"> </w:t>
      </w:r>
      <w:r>
        <w:t xml:space="preserve">(</w:t>
      </w:r>
      <w:r>
        <w:rPr>
          <w:rStyle w:val="VerbatimChar"/>
        </w:rPr>
        <w:t xml:space="preserve">pytest</w:t>
      </w:r>
      <w:r>
        <w:t xml:space="preserve">) organised in three tiers: unit (functions in isolation), integration (pipeline stage interactions), and system (end-to-end and reproducibility). All 188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pPr>
        <w:jc w:val="both"/>
      </w:pPr>
      <w:r>
        <w:pict>
          <v:rect style="width:0;height:1.5pt" o:hralign="center" o:hrstd="t" o:hr="t"/>
        </w:pict>
      </w:r>
    </w:p>
    <w:bookmarkEnd w:id="58"/>
    <w:bookmarkEnd w:id="59"/>
    <w:bookmarkStart w:id="7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 split was used exclusively for threshold tuning (§4.5); all reported metrics use the test split. Evaluation was conducted in</w:t>
      </w:r>
      <w:r>
        <w:t xml:space="preserve"> </w:t>
      </w:r>
      <w:r>
        <w:rPr>
          <w:b/>
          <w:bCs/>
        </w:rPr>
        <w:t xml:space="preserve">Generative Mode</w:t>
      </w:r>
      <w:r>
        <w:t xml:space="preserve"> </w:t>
      </w:r>
      <w:r>
        <w:t xml:space="preserve">(B1, B2, B3-Gen with LLM) and</w:t>
      </w:r>
      <w:r>
        <w:t xml:space="preserve"> </w:t>
      </w:r>
      <w:r>
        <w:rPr>
          <w:b/>
          <w:bCs/>
        </w:rPr>
        <w:t xml:space="preserve">Extractive Mode</w:t>
      </w:r>
      <w:r>
        <w:t xml:space="preserve"> </w:t>
      </w:r>
      <w:r>
        <w:t xml:space="preserve">(B3-Ext only, LLM bypassed; 100% citation precision in that mode is true by construction).</w:t>
      </w:r>
    </w:p>
    <w:p>
      <w:pPr>
        <w:jc w:val="both"/>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w:t>
      </w:r>
      <w:r>
        <w:t xml:space="preserve"> </w:t>
      </w:r>
      <w:r>
        <w:rPr>
          <w:b/>
          <w:bCs/>
        </w:rPr>
        <w:t xml:space="preserve">objective slice</w:t>
      </w:r>
      <w:r>
        <w:t xml:space="preserve"> </w:t>
      </w:r>
      <w:r>
        <w:t xml:space="preserve">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jc w:val="both"/>
      </w:pPr>
    </w:p>
    <w:p>
      <w:pPr>
        <w:jc w:val="both"/>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jc w:val="both"/>
      </w:pPr>
      <w:r>
        <w:t xml:space="preserve">The pattern to notice in Figure 4.1 is the inverse relationship between B1’s Answer Rate and B3’s Abstention Accuracy: each baseline trades coverage for safety in a different direction.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§4.11).</w:t>
      </w:r>
    </w:p>
    <w:p>
      <w:pPr>
        <w:jc w:val="both"/>
      </w:pPr>
      <w:r>
        <w:rPr>
          <w:b/>
          <w:bCs/>
        </w:rPr>
        <w:t xml:space="preserve">B1</w:t>
      </w:r>
      <w:r>
        <w:t xml:space="preserve"> </w:t>
      </w:r>
      <w:r>
        <w:t xml:space="preserve">answers every query but does no grounding, which is the standard hallucination baseline (Ji et al., 2023). For a compliance use-case it is not viable.</w:t>
      </w:r>
      <w:r>
        <w:t xml:space="preserve"> </w:t>
      </w:r>
      <w:r>
        <w:rPr>
          <w:b/>
          <w:bCs/>
        </w:rPr>
        <w:t xml:space="preserve">B2</w:t>
      </w:r>
      <w:r>
        <w:t xml:space="preserve"> </w:t>
      </w:r>
      <w:r>
        <w:t xml:space="preserve">reaches 76.5% Abstention Accuracy without any explicit gating, just below the 80% target (FR2). I attribute this to the LLM’s own tendency to refuse on clearly irrelevant context, but its citations are not verified, so the abstention is more of a side effect than a designed behaviour.</w:t>
      </w:r>
      <w:r>
        <w:t xml:space="preserve"> </w:t>
      </w:r>
      <w:r>
        <w:rPr>
          <w:b/>
          <w:bCs/>
        </w:rPr>
        <w:t xml:space="preserve">B3-Generative</w:t>
      </w:r>
      <w:r>
        <w:t xml:space="preserve"> </w:t>
      </w:r>
      <w:r>
        <w:t xml:space="preserve">reports 0.0% Ungrounded Rate and 94.1% Abstention Accuracy (above the 80% target)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jc w:val="both"/>
      </w:pPr>
      <w:r>
        <w:rPr>
          <w:b/>
          <w:bCs/>
        </w:rPr>
        <w:t xml:space="preserve">B3-Extractive</w:t>
      </w:r>
      <w:r>
        <w:t xml:space="preserve"> </w:t>
      </w:r>
      <w:r>
        <w:t xml:space="preserve">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4.13 returns to the trade-off.</w:t>
      </w:r>
    </w:p>
    <w:bookmarkEnd w:id="61"/>
    <w:bookmarkStart w:id="62" w:name="retrieval-performance"/>
    <w:p>
      <w:pPr>
        <w:pStyle w:val="Heading2"/>
      </w:pPr>
      <w:r>
        <w:t xml:space="preserve">4.3 Retrieval Performance</w:t>
      </w:r>
    </w:p>
    <w:p>
      <w:pPr>
        <w:jc w:val="both"/>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jc w:val="both"/>
      </w:pPr>
    </w:p>
    <w:p>
      <w:pPr>
        <w:jc w:val="both"/>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jc w:val="both"/>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jc w:val="both"/>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jc w:val="both"/>
      </w:pPr>
    </w:p>
    <w:p>
      <w:pPr>
        <w:jc w:val="both"/>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rPr>
          <w:i/>
          <w:iCs/>
        </w:rPr>
        <w:t xml:space="preserve">Note: These are intermediate</w:t>
      </w:r>
      <w:r>
        <w:rPr>
          <w:i/>
          <w:iCs/>
        </w:rPr>
        <w:t xml:space="preserve"> </w:t>
      </w:r>
      <w:r>
        <w:rPr>
          <w:b/>
          <w:bCs/>
          <w:i/>
          <w:iCs/>
        </w:rPr>
        <w:t xml:space="preserve">claim-level</w:t>
      </w:r>
      <w:r>
        <w:rPr>
          <w:i/>
          <w:iCs/>
        </w:rPr>
        <w:t xml:space="preserve"> </w:t>
      </w:r>
      <w:r>
        <w:rPr>
          <w:i/>
          <w:iCs/>
        </w:rPr>
        <w:t xml:space="preserve">rates measured after pruning failed claims but before the response-level support-rate enforcement step. The support-rate step then suppresses any response below the minimum support threshold by converting it into an abstention. After that final step, the</w:t>
      </w:r>
      <w:r>
        <w:rPr>
          <w:i/>
          <w:iCs/>
        </w:rPr>
        <w:t xml:space="preserve"> </w:t>
      </w:r>
      <w:r>
        <w:rPr>
          <w:b/>
          <w:bCs/>
          <w:i/>
          <w:iCs/>
        </w:rPr>
        <w:t xml:space="preserve">response-level</w:t>
      </w:r>
      <w:r>
        <w:rPr>
          <w:i/>
          <w:iCs/>
        </w:rPr>
        <w:t xml:space="preserve"> </w:t>
      </w:r>
      <w:r>
        <w:rPr>
          <w:i/>
          <w:iCs/>
        </w:rPr>
        <w:t xml:space="preserve">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bookmarkEnd w:id="63"/>
    <w:bookmarkStart w:id="64" w:name="abstention-threshold-sensitivity"/>
    <w:p>
      <w:pPr>
        <w:pStyle w:val="Heading2"/>
      </w:pPr>
      <w:r>
        <w:t xml:space="preserve">4.5 Abstention Threshold Sensitivity</w:t>
      </w:r>
    </w:p>
    <w:p>
      <w:pPr>
        <w:jc w:val="both"/>
      </w:pPr>
      <w:r>
        <w:t xml:space="preserve">B3 has two abstention knobs: a pre-LLM cross-encoder gate (</w:t>
      </w:r>
      <w:r>
        <w:rPr>
          <w:rStyle w:val="VerbatimChar"/>
        </w:rPr>
        <w:t xml:space="preserve">abstain_threshold = 0.30</w:t>
      </w:r>
      <w:r>
        <w:t xml:space="preserve">) and a post-LLM per-claim</w:t>
      </w:r>
      <w:r>
        <w:t xml:space="preserve"> </w:t>
      </w:r>
      <w:r>
        <w:rPr>
          <w:b/>
          <w:bCs/>
        </w:rPr>
        <w:t xml:space="preserve">support-rate</w:t>
      </w:r>
      <w:r>
        <w:t xml:space="preserve"> </w:t>
      </w:r>
      <w:r>
        <w:t xml:space="preserve">gate (</w:t>
      </w:r>
      <w:r>
        <w:rPr>
          <w:rStyle w:val="VerbatimChar"/>
        </w:rPr>
        <w:t xml:space="preserve">min_support_rate = 0.80</w:t>
      </w:r>
      <w:r>
        <w:t xml:space="preserve">). In the BM25-fallback configuration used for the final evaluation the cross-encoder gate is effectively saturated (max_rerank = 1.0 on every query), so the support-rate gate is the threshold doing the real work. Figure 4.4 therefore reports the operating curve as the support-rate threshold τ varies from 0.00 to 1.00 over the full 63-query golden set.</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w:t>
      </w:r>
      <w:r>
        <w:t xml:space="preserve"> </w:t>
      </w:r>
      <w:r>
        <w:rPr>
          <w:b/>
          <w:bCs/>
        </w:rPr>
        <w:t xml:space="preserve">τ = 0.80</w:t>
      </w:r>
      <w:r>
        <w:t xml:space="preserve"> </w:t>
      </w:r>
      <w:r>
        <w:t xml:space="preserve">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bookmarkEnd w:id="64"/>
    <w:bookmarkStart w:id="6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jc w:val="both"/>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jc w:val="both"/>
      </w:pPr>
      <w:r>
        <w:rPr>
          <w:b/>
          <w:bCs/>
        </w:rPr>
        <w:t xml:space="preserve">Reranking had the largest effect in these ablations.</w:t>
      </w:r>
      <w:r>
        <w:t xml:space="preserve"> </w:t>
      </w:r>
      <w:r>
        <w:t xml:space="preserve">Removing it quadruples the Ungrounded Rate (4% to 16%) and collapses Abstention Accuracy (94.1% to 18%), because bi-encoder cosine scores are poorly calibrated relative to cross-encoder logits; Recall@5 also drops from 85% to 68%.</w:t>
      </w:r>
      <w:r>
        <w:t xml:space="preserve"> </w:t>
      </w:r>
      <w:r>
        <w:rPr>
          <w:b/>
          <w:bCs/>
        </w:rPr>
        <w:t xml:space="preserve">Verification provides a meaningful secondary safeguard.</w:t>
      </w:r>
      <w:r>
        <w:t xml:space="preserve"> </w:t>
      </w:r>
      <w:r>
        <w:t xml:space="preserve">Without it, claim-level Ungrounded Rate rises to the raw LLM rate (12%); the heuristic catches roughly two-thirds of hallucinated claims.</w:t>
      </w:r>
      <w:r>
        <w:t xml:space="preserve"> </w:t>
      </w:r>
      <w:r>
        <w:rPr>
          <w:b/>
          <w:bCs/>
        </w:rPr>
        <w:t xml:space="preserve">The Abstention Gate controls coverage / safety.</w:t>
      </w:r>
      <w:r>
        <w:t xml:space="preserve"> </w:t>
      </w:r>
      <w:r>
        <w:t xml:space="preserve">Removing it restores 100% Answer Rate without affecting verified Ungrounded Rate, but it causes the system to attempt unanswerable queries where verification may fail.</w:t>
      </w:r>
      <w:r>
        <w:t xml:space="preserve"> </w:t>
      </w:r>
      <w:r>
        <w:rPr>
          <w:b/>
          <w:bCs/>
        </w:rPr>
        <w:t xml:space="preserve">Contradiction Detection has negligible aggregate impact</w:t>
      </w:r>
      <w:r>
        <w:t xml:space="preserve"> </w:t>
      </w:r>
      <w:r>
        <w:t xml:space="preserve">(it operates on 10/63 queries) but its contribution is qualitative: it surfaces conflicts users need to see.</w:t>
      </w:r>
    </w:p>
    <w:bookmarkEnd w:id="65"/>
    <w:bookmarkStart w:id="6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 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jc w:val="both"/>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jc w:val="bot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w:t>
      </w:r>
      <w:r>
        <w:t xml:space="preserve"> </w:t>
      </w:r>
      <w:r>
        <w:rPr>
          <w:b/>
          <w:bCs/>
        </w:rPr>
        <w:t xml:space="preserve">the dominant failure mode shifts across baselines</w:t>
      </w:r>
      <w:r>
        <w:t xml:space="preserve">: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rPr>
          <w:b/>
          <w:bCs/>
        </w:rPr>
        <w:t xml:space="preserve">Over-Abstention dominates</w:t>
      </w:r>
      <w:r>
        <w:t xml:space="preserve">,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w:t>
      </w:r>
      <w:r>
        <w:t xml:space="preserve"> </w:t>
      </w:r>
      <w:r>
        <w:rPr>
          <w:i/>
          <w:iCs/>
        </w:rPr>
        <w:t xml:space="preserve">mean</w:t>
      </w:r>
      <w:r>
        <w:t xml:space="preserve"> </w:t>
      </w:r>
      <w:r>
        <w:t xml:space="preserve">of top-3 scores rather than the</w:t>
      </w:r>
      <w:r>
        <w:t xml:space="preserve"> </w:t>
      </w:r>
      <w:r>
        <w:rPr>
          <w:i/>
          <w:iCs/>
        </w:rPr>
        <w:t xml:space="preserve">maximum</w:t>
      </w:r>
      <w:r>
        <w:t xml:space="preserve"> </w:t>
      </w:r>
      <w:r>
        <w:t xml:space="preserve">was tested in Sprint 6 but rejected because it degraded Abstention Accuracy on unanswerable queries.</w:t>
      </w:r>
      <w:r>
        <w:t xml:space="preserve"> </w:t>
      </w:r>
      <w:r>
        <w:rPr>
          <w:b/>
          <w:bCs/>
        </w:rPr>
        <w:t xml:space="preserve">Missed Retrieval</w:t>
      </w:r>
      <w:r>
        <w:t xml:space="preserve"> </w:t>
      </w:r>
      <w:r>
        <w:t xml:space="preserve">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w:t>
      </w:r>
      <w:r>
        <w:t xml:space="preserve"> </w:t>
      </w:r>
      <w:r>
        <w:rPr>
          <w:b/>
          <w:bCs/>
        </w:rPr>
        <w:t xml:space="preserve">Verification False Positives</w:t>
      </w:r>
      <w:r>
        <w:t xml:space="preserve"> </w:t>
      </w:r>
      <w:r>
        <w:t xml:space="preserve">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67"/>
    <w:bookmarkStart w:id="6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independent-reviewer-evaluation"/>
    <w:p>
      <w:pPr>
        <w:pStyle w:val="Heading2"/>
      </w:pPr>
      <w:r>
        <w:t xml:space="preserve">4.10 Independent Reviewer Evaluation</w:t>
      </w:r>
    </w:p>
    <w:p>
      <w:pPr>
        <w:jc w:val="both"/>
      </w:pPr>
      <w:r>
        <w:t xml:space="preserve">To triangulate the automated metrics with human judgement, six peer volunteers (three Final-Year BSc and three MSc Computer Science students, outside the project supervisory chain) each scored 20 B3-Generative query / output pairs between 14 and 18 April 2026 against a 1-to-5 Likert rubric (Correctness, Groundedness, Citation Usefulness, Usefulness, Trust Calibration). The sample was balanced 8 / 4 / 4 / 4 across answered, correct-abstention, over-abstention, and contradiction-probe cases. Reviewers saw the query, the system answer, cited evidence, and the status badge, but not the baseline label. Recruitment, rubric, consent text, and the anonymised score CSV are archived in Appendix B.10. The evaluation is</w:t>
      </w:r>
      <w:r>
        <w:t xml:space="preserve"> </w:t>
      </w:r>
      <w:r>
        <w:rPr>
          <w:b/>
          <w:bCs/>
        </w:rPr>
        <w:t xml:space="preserve">author-facilitated</w:t>
      </w:r>
      <w:r>
        <w:t xml:space="preserve"> </w:t>
      </w:r>
      <w:r>
        <w:t xml:space="preserve">rather than blinded; results are triangulation, not definitive validation.</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align with the automated findings. Direct-answer cases scored 4.8 / 4.9 on Correctness and Groundedness, consistent with the low surfaced ungrounded rate in Table 4.2. Correct abstentions hit the ceiling on Correctness and Groundedness but dropped to 3.0 on Usefulness — the same trade-off §4.5 surfaces analytically. Over-abstention cases collapsed to 3.2 / 3.8 on Correctness and Trust Calibration, identifying the same operating-point pain. Contradiction probes scored 4.6 / 4.2 / 4.6, indicating surfaced contradictions were generally trusted as legitimate. The full per-category breakdown and the five themes coded from comments are in Appendix B.10. Results are directional given the small, non-blinded, non-domain-expert sample; a follow-up with domain-expert raters and full blinding is future work (§5.3).</w:t>
      </w:r>
    </w:p>
    <w:bookmarkEnd w:id="69"/>
    <w:bookmarkStart w:id="70" w:name="public-guidance-transfer-stress-test"/>
    <w:p>
      <w:pPr>
        <w:pStyle w:val="Heading2"/>
      </w:pPr>
      <w:r>
        <w:t xml:space="preserve">4.11 Public Guidance Transfer Stress Test</w:t>
      </w:r>
    </w:p>
    <w:p>
      <w:pPr>
        <w:jc w:val="both"/>
      </w:pPr>
      <w:r>
        <w:t xml:space="preserve">A central limitation of the headline evaluation is that the corpus is synthetic: I authored it for this project, so retrieval and abstention behaviour are tested against text I controlled. To probe whether the system’s safety properties survive on a corpus I did not author, I ran the same B3 system in Extractive Mode against a small</w:t>
      </w:r>
      <w:r>
        <w:t xml:space="preserve"> </w:t>
      </w:r>
      <w:r>
        <w:rPr>
          <w:b/>
          <w:bCs/>
        </w:rPr>
        <w:t xml:space="preserve">Public Guidance Transfer Corpus</w:t>
      </w:r>
      <w:r>
        <w:t xml:space="preserve"> </w:t>
      </w:r>
      <w:r>
        <w:t xml:space="preserve">built from Open Government Licence v3.0 material published by the National Cyber Security Centre, the Information Commissioner’s Office, and ACAS. The transfer set is supplementary to the synthetic benchmark, not a replacement: it has 8 documents, 249 paragraphs, and a 20-query test set (12 answerable, 4 unanswerable, 4 ambiguous-evidence cases), with provenance, licence, and access dates recorded in Appendix B.11. Because no LLM API key was used in this run, only B3-Extractive is reported; a generative transfer test is listed as future work in §5.3.</w:t>
      </w:r>
    </w:p>
    <w:p>
      <w:pPr>
        <w:jc w:val="both"/>
      </w:pPr>
    </w:p>
    <w:p>
      <w:pPr>
        <w:jc w:val="both"/>
      </w:pPr>
      <w:r>
        <w:rPr>
          <w:b/>
          <w:bCs/>
          <w:sz w:val="21"/>
        </w:rPr>
        <w:t xml:space="preserve">Table 4.10: B3-Extractive on the synthetic test split versus the Public Guidance Transfer Stress Test.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one query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Halves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Safety property survives</w:t>
            </w:r>
          </w:p>
        </w:tc>
      </w:tr>
    </w:tbl>
    <w:p>
      <w:pPr>
        <w:jc w:val="both"/>
      </w:pPr>
      <w:r>
        <w:t xml:space="preserve">The headline observation is that the</w:t>
      </w:r>
      <w:r>
        <w:t xml:space="preserve"> </w:t>
      </w:r>
      <w:r>
        <w:rPr>
          <w:b/>
          <w:bCs/>
        </w:rPr>
        <w:t xml:space="preserve">safety properties survive transfer</w:t>
      </w:r>
      <w:r>
        <w:t xml:space="preserve">: Citation Precision stays at 100% (by construction in Extractive Mode) and Ungrounded Rate stays at 0%, so the system never produced an answer that conflicts with its cited evidence on unfamiliar text. Coverage is broadly preserved (91.7% Answer Rate vs 89% on synthetic). The visible costs are a noticeable drop in retrieval quality (Evidence Recall@5 halves from 85% to 52.1%) and one over-confident answer on an unanswerable query (q_t16 about Cisco router configuration), where BM25 keyword overlap on the word</w:t>
      </w:r>
      <w:r>
        <w:t xml:space="preserve"> </w:t>
      </w:r>
      <w:r>
        <w:t xml:space="preserve">“configure”</w:t>
      </w:r>
      <w:r>
        <w:t xml:space="preserve"> </w:t>
      </w:r>
      <w:r>
        <w:t xml:space="preserve">matched NCSC device-security guidance. The broader pattern is consistent with §4.8: when the system fails on unfamiliar data, it fails by being</w:t>
      </w:r>
      <w:r>
        <w:t xml:space="preserve"> </w:t>
      </w:r>
      <w:r>
        <w:rPr>
          <w:b/>
          <w:bCs/>
        </w:rPr>
        <w:t xml:space="preserve">too confident on a borderline query</w:t>
      </w:r>
      <w:r>
        <w:t xml:space="preserve"> </w:t>
      </w:r>
      <w:r>
        <w:t xml:space="preserve">rather than by hallucinating new content. This is the conservative-failure-mode result that the design was aimed at, and §5.2 returns to it as a limitation that wider evaluation should target.</w:t>
      </w:r>
    </w:p>
    <w:bookmarkEnd w:id="70"/>
    <w:bookmarkStart w:id="71" w:name="statistical-confidence"/>
    <w:p>
      <w:pPr>
        <w:pStyle w:val="Heading2"/>
      </w:pPr>
      <w:r>
        <w:t xml:space="preserve">4.12 Statistical Confidence</w:t>
      </w:r>
    </w:p>
    <w:p>
      <w:pPr>
        <w:jc w:val="both"/>
      </w:pPr>
      <w:r>
        <w:t xml:space="preserve">Bootstrapped 95% confidence intervals (2,000 resamples, seed = 42) were computed given the modest n = 63.</w:t>
      </w:r>
    </w:p>
    <w:p>
      <w:pPr>
        <w:jc w:val="both"/>
      </w:pPr>
    </w:p>
    <w:p>
      <w:pPr>
        <w:jc w:val="both"/>
      </w:pPr>
      <w:r>
        <w:rPr>
          <w:b/>
          <w:bCs/>
          <w:sz w:val="21"/>
        </w:rPr>
        <w:t xml:space="preserve">Table 4.11: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jc w:val="both"/>
      </w:pPr>
      <w:r>
        <w:t xml:space="preserve">The wide Answer Rate CI reflects the small number of answered queries; Abstention Accuracy’s upper bound at 100% indicates a ceiling effect. Abstention Accuracy is computed on only 12 unanswerable test queries, so each query is worth roughly 8 percentage points: the 94.1% point estimate is directionally meaningful but statistically fragile. With n = 63 across all categories, all point estimates in this chapter are indicative rather than definitive; an n = 200+ stratified evaluation is recommended for follow-up.</w:t>
      </w:r>
    </w:p>
    <w:bookmarkEnd w:id="71"/>
    <w:bookmarkStart w:id="7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The headline retrieval result (73.9% Recall@5) reflects the BM25 fallback that ran in the final reproducibility environment, not the dense + rerank pipeline the system was designed around. The dev-phase numbers (Recall@5 68% to 85%) better represent the design’s intended retrieval performance, and Objective 3 should be read in that context.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meets the target’s spirit (89%), but a quoted-paragraph response is not the same product as a synthesised generative answer, so the partial-met framing is the honest one. Objective 5 misses by 0.2 pp due to inherent regex limitations on semantic contradictions and circular references. Conclusions, limitations, and future work arising from these results are presented in Chapter 5.</w:t>
      </w:r>
    </w:p>
    <w:bookmarkEnd w:id="72"/>
    <w:bookmarkEnd w:id="73"/>
    <w:bookmarkStart w:id="78"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74" w:name="conclusions"/>
    <w:p>
      <w:pPr>
        <w:pStyle w:val="Heading2"/>
      </w:pPr>
      <w:r>
        <w:t xml:space="preserve">5.1 Conclusions</w:t>
      </w:r>
    </w:p>
    <w:p>
      <w:pPr>
        <w:jc w:val="both"/>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it is worth investing in a reranker before reaching for more elaborate techniques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is that the</w:t>
      </w:r>
      <w:r>
        <w:t xml:space="preserve"> </w:t>
      </w:r>
      <w:r>
        <w:t xml:space="preserve">“cited or silent”</w:t>
      </w:r>
      <w:r>
        <w:t xml:space="preserve"> </w:t>
      </w:r>
      <w:r>
        <w:t xml:space="preserve">rule behaves differently in the two modes. In Extractive Mode the property is essentially mechanical: the response is a paragraph from the corpus, so the citation cannot be wrong, although the response is not a synthesised answer. In Generative Mode the rule is enforced probabilistically: the system aims to refuse rather than fabricate, but the LLM remains a stochastic component and the 0.0% headline ungrounded rate is a property of the support-rate enforcement gate rather than a claim that the LLM itself never hallucinates. The two modes therefore correspond to different deployment trade-offs (more natural answers vs. stronger guarantees), not to two implementations of the same behaviour.</w:t>
      </w:r>
    </w:p>
    <w:p>
      <w:pPr>
        <w:jc w:val="both"/>
      </w:pPr>
      <w:r>
        <w:t xml:space="preserve">Taken together, the results support a fairly narrow claim: combining confidence-gated abstention with per-claim verification on top of cross-encoder reranking can substantially reduce unsupported claims for a policy-compliance use-case in this synthetic setting, with the important caveat that the coverage / precision balance has to be retuned for any new corpus or retrieval backend.</w:t>
      </w:r>
    </w:p>
    <w:bookmarkEnd w:id="74"/>
    <w:bookmarkStart w:id="75" w:name="limitations"/>
    <w:p>
      <w:pPr>
        <w:pStyle w:val="Heading2"/>
      </w:pPr>
      <w:r>
        <w:t xml:space="preserve">5.2 Limitations</w:t>
      </w:r>
    </w:p>
    <w:p>
      <w:pPr>
        <w:jc w:val="both"/>
      </w:pPr>
      <w:r>
        <w:t xml:space="preserve">An honest assessment of the project’s limitations is essential to interpret the results in their proper scope.</w:t>
      </w:r>
    </w:p>
    <w:p>
      <w:pPr>
        <w:jc w:val="both"/>
      </w:pPr>
      <w:r>
        <w:rPr>
          <w:b/>
          <w:bCs/>
        </w:rPr>
        <w:t xml:space="preserve">L1: Primary Corpus is Synthetic.</w:t>
      </w:r>
      <w:r>
        <w:t xml:space="preserve"> </w:t>
      </w:r>
      <w:r>
        <w:t xml:space="preserve">The headline benchmark was authored specifically for this project, which enabled controlled injection of test cases (deliberate contradictions, vague language) but means the synthetic paragraphs are unusually clean compared with real-world scanned PDFs that carry OCR noise, complex tables, and inconsistent boilerplate. The Public Guidance Transfer Stress Test in §4.11 partially addresses this by running B3-Extractive against an unfamiliar OGL-licensed corpus authored by NCSC, ICO, and ACAS; the safety properties (citation precision and ungrounded rate) survived that test, but retrieval recall halved on the unfamiliar text. Wider transfer to noisier real-world documents and to a generative-mode test on the public corpus remains future work (§5.3).</w:t>
      </w:r>
    </w:p>
    <w:p>
      <w:pPr>
        <w:jc w:val="both"/>
      </w:pPr>
      <w:r>
        <w:rPr>
          <w:b/>
          <w:bCs/>
        </w:rPr>
        <w:t xml:space="preserve">L2: Golden Set Size.</w:t>
      </w:r>
      <w:r>
        <w:t xml:space="preserve"> </w:t>
      </w:r>
      <w:r>
        <w:t xml:space="preserve">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rPr>
          <w:b/>
          <w:bCs/>
        </w:rPr>
        <w:t xml:space="preserve">L5: Limited Independent Human Evaluation and Adversarial Coverage.</w:t>
      </w:r>
      <w:r>
        <w:t xml:space="preserve"> </w:t>
      </w:r>
      <w:r>
        <w:t xml:space="preserve">The independent reviewer evaluation reported in §4.10 (n = 6 peer participants, 14-18 April 2026) provides triangulation against the automated metrics, but it is small, author-facilitated rather than fully blinded, and the reviewer pool is non-domain-expert (CS peers rather than compliance specialists). Per-(participant, query) ratings were not retained, so inter-rater agreement metrics such as Cohen’s kappa or Krippendorff’s alpha cannot be computed from the surviving data; the per-query Round 2 collection scaffolding and a small 15-query adversarial probe (Appendix B.12, Extractive arm safe at 100%, Generative arm pending an LLM API key) are landed for the same reason. A production-quality follow-up evaluation would employ at least two independent domain-expert raters, full blinding, and per-item ratings stored at collection time, as recommended by Es et al. (2023).</w:t>
      </w:r>
    </w:p>
    <w:bookmarkEnd w:id="75"/>
    <w:bookmarkStart w:id="76" w:name="future-work"/>
    <w:p>
      <w:pPr>
        <w:pStyle w:val="Heading2"/>
      </w:pPr>
      <w:r>
        <w:t xml:space="preserve">5.3 Future Work</w:t>
      </w:r>
    </w:p>
    <w:p>
      <w:pPr>
        <w:jc w:val="both"/>
      </w:pPr>
      <w:r>
        <w:t xml:space="preserve">The limitations above suggest several research directions, ordered by expected impact on system reliability.</w:t>
      </w:r>
    </w:p>
    <w:p>
      <w:pPr>
        <w:jc w:val="both"/>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jc w:val="both"/>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jc w:val="both"/>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jc w:val="both"/>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jc w:val="both"/>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jc w:val="both"/>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bookmarkEnd w:id="76"/>
    <w:bookmarkStart w:id="77" w:name="reflection"/>
    <w:p>
      <w:pPr>
        <w:pStyle w:val="Heading2"/>
      </w:pPr>
      <w:r>
        <w:t xml:space="preserve">5.4 Reflection</w:t>
      </w:r>
    </w:p>
    <w:p>
      <w:pPr>
        <w:jc w:val="both"/>
      </w:pPr>
      <w:r>
        <w:t xml:space="preserve">Two things stood out when I look back at the project rather than at the specific results.</w:t>
      </w:r>
    </w:p>
    <w:p>
      <w:pPr>
        <w:jc w:val="both"/>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jc w:val="both"/>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7"/>
    <w:bookmarkEnd w:id="78"/>
    <w:bookmarkStart w:id="81"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jc w:val="both"/>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jc w:val="both"/>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jc w:val="both"/>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jc w:val="both"/>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9">
        <w:r>
          <w:rPr>
            <w:rStyle w:val="Hyperlink"/>
          </w:rPr>
          <w:t xml:space="preserve">https://www.deloitte.com/global/en/our-thinking/institute/state-of-gen-ai-enterprise.html</w:t>
        </w:r>
      </w:hyperlink>
      <w:r>
        <w:t xml:space="preserve"> </w:t>
      </w:r>
      <w:r>
        <w:t xml:space="preserve">(Accessed: 15 January 2026).</w:t>
      </w:r>
    </w:p>
    <w:p>
      <w:pPr>
        <w:jc w:val="both"/>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jc w:val="both"/>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jc w:val="both"/>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jc w:val="both"/>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jc w:val="both"/>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jc w:val="both"/>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jc w:val="both"/>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80">
        <w:r>
          <w:rPr>
            <w:rStyle w:val="Hyperlink"/>
          </w:rPr>
          <w:t xml:space="preserve">https://www.pinecone.io/learn/chunking-strategies/</w:t>
        </w:r>
      </w:hyperlink>
      <w:r>
        <w:t xml:space="preserve"> </w:t>
      </w:r>
      <w:r>
        <w:t xml:space="preserve">(Accessed: 20 January 2026).</w:t>
      </w:r>
    </w:p>
    <w:p>
      <w:pPr>
        <w:jc w:val="both"/>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jc w:val="both"/>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jc w:val="both"/>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jc w:val="both"/>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jc w:val="both"/>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jc w:val="both"/>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jc w:val="both"/>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jc w:val="both"/>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jc w:val="both"/>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jc w:val="both"/>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jc w:val="both"/>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jc w:val="both"/>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jc w:val="both"/>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jc w:val="both"/>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jc w:val="both"/>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jc w:val="both"/>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jc w:val="both"/>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jc w:val="both"/>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pPr>
        <w:jc w:val="both"/>
      </w:pPr>
      <w:r>
        <w:pict>
          <v:rect style="width:0;height:1.5pt" o:hralign="center" o:hrstd="t" o:hr="t"/>
        </w:pict>
      </w:r>
    </w:p>
    <w:bookmarkEnd w:id="81"/>
    <w:bookmarkStart w:id="89" w:name="appendix-a-self-appraisal"/>
    <w:p>
      <w:pPr>
        <w:pStyle w:val="Heading1"/>
        <w:pageBreakBefore/>
      </w:pPr>
      <w:r>
        <w:t xml:space="preserve">Appendix A Self-appraisal</w:t>
      </w:r>
    </w:p>
    <w:bookmarkStart w:id="82"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B3-Extractive (89% Answer Rate, 100% Citation Precision, 0% Ungrounded Rate) is the operating point I would ship if this were a real deployment, at least until retrieval recall improved enough to give Generative Mode a more generous abstention threshold. The Extractive mode also does the useful job of showing that the surrounding pipeline (retrieval, verification, abstention)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Looking back this seems obvious, but I only got to it from running the ablations and looking at the numbers rather than from architectural intuition.</w:t>
      </w:r>
    </w:p>
    <w:bookmarkEnd w:id="82"/>
    <w:bookmarkStart w:id="83"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3"/>
    <w:bookmarkStart w:id="88"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84" w:name="a.3.1-legal-issues"/>
    <w:p>
      <w:pPr>
        <w:pStyle w:val="Heading3"/>
      </w:pPr>
      <w:r>
        <w:t xml:space="preserve">A.3.1 Legal issues</w:t>
      </w:r>
    </w:p>
    <w:p>
      <w:pPr>
        <w:jc w:val="both"/>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4"/>
    <w:bookmarkStart w:id="85" w:name="a.3.2-social-issues"/>
    <w:p>
      <w:pPr>
        <w:pStyle w:val="Heading3"/>
      </w:pPr>
      <w:r>
        <w:t xml:space="preserve">A.3.2 Social issues</w:t>
      </w:r>
    </w:p>
    <w:p>
      <w:pPr>
        <w:jc w:val="both"/>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5"/>
    <w:bookmarkStart w:id="86" w:name="a.3.3-ethical-issues"/>
    <w:p>
      <w:pPr>
        <w:pStyle w:val="Heading3"/>
      </w:pPr>
      <w:r>
        <w:t xml:space="preserve">A.3.3 Ethical issues</w:t>
      </w:r>
    </w:p>
    <w:p>
      <w:pPr>
        <w:jc w:val="both"/>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rPr>
          <w:b/>
          <w:bCs/>
        </w:rPr>
        <w:t xml:space="preserve">Participant Evaluation Ethics.</w:t>
      </w:r>
      <w:r>
        <w:t xml:space="preserve"> </w:t>
      </w:r>
      <w:r>
        <w:t xml:space="preserve">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86"/>
    <w:bookmarkStart w:id="87" w:name="a.3.4-professional-issues"/>
    <w:p>
      <w:pPr>
        <w:pStyle w:val="Heading3"/>
      </w:pPr>
      <w:r>
        <w:t xml:space="preserve">A.3.4 Professional issues</w:t>
      </w:r>
    </w:p>
    <w:p>
      <w:pPr>
        <w:jc w:val="bot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Generative AI is permitted as a development, debugging, and limited drafting-support aid, but must not generate substantive academic content presented as the author’s own. This project was developed in line with that policy. AI tools were used only in the capacities documented in the usage log (Appendix B.5), and the submitted report is the author’s final work: all wording, technical claims, citations, edits, and submission decisions were reviewed, revised, and approved by the author. The University proof-reading policy was reviewed and followed.</w:t>
      </w:r>
    </w:p>
    <w:p>
      <w:pPr>
        <w:jc w:val="both"/>
      </w:pPr>
      <w:r>
        <w:rPr>
          <w:b/>
          <w:bCs/>
        </w:rPr>
        <w:t xml:space="preserve">Professional Standards.</w:t>
      </w:r>
      <w:r>
        <w:t xml:space="preserve"> </w:t>
      </w:r>
      <w:r>
        <w:t xml:space="preserve">The codebase follows professional software-engineering practices: version-controlled development with meaningful commit messages, automated testing with 188 test cases across 38 files,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p>
      <w:pPr>
        <w:jc w:val="both"/>
      </w:pPr>
      <w:r>
        <w:pict>
          <v:rect style="width:0;height:1.5pt" o:hralign="center" o:hrstd="t" o:hr="t"/>
        </w:pict>
      </w:r>
    </w:p>
    <w:bookmarkEnd w:id="87"/>
    <w:bookmarkEnd w:id="88"/>
    <w:bookmarkEnd w:id="89"/>
    <w:bookmarkStart w:id="109" w:name="appendix-b-external-materials"/>
    <w:p>
      <w:pPr>
        <w:pStyle w:val="Heading1"/>
        <w:pageBreakBefore/>
      </w:pPr>
      <w:r>
        <w:t xml:space="preserve">Appendix B External Materials</w:t>
      </w:r>
    </w:p>
    <w:bookmarkStart w:id="91" w:name="repository-and-access"/>
    <w:p>
      <w:pPr>
        <w:pStyle w:val="Heading3"/>
      </w:pPr>
      <w:r>
        <w:t xml:space="preserve">Repository and Access</w:t>
      </w:r>
    </w:p>
    <w:p>
      <w:pPr>
        <w:jc w:val="both"/>
      </w:pPr>
      <w:r>
        <w:t xml:space="preserve">The complete source code, evaluation datasets, and full history of development commits for this project are hosted in a private GitHub repository.</w:t>
      </w:r>
    </w:p>
    <w:p>
      <w:pPr>
        <w:jc w:val="both"/>
      </w:pPr>
      <w:r>
        <w:rPr>
          <w:b/>
          <w:bCs/>
        </w:rPr>
        <w:t xml:space="preserve">Repository URL:</w:t>
      </w:r>
      <w:r>
        <w:t xml:space="preserve"> </w:t>
      </w:r>
      <w:hyperlink r:id="rId90">
        <w:r>
          <w:rPr>
            <w:rStyle w:val="Hyperlink"/>
          </w:rPr>
          <w:t xml:space="preserve">https://github.com/NathS04/policy_copilot_submission.git</w:t>
        </w:r>
      </w:hyperlink>
    </w:p>
    <w:p>
      <w:pPr>
        <w:jc w:val="both"/>
      </w:pPr>
      <w:r>
        <w:rPr>
          <w:i/>
          <w:iCs/>
        </w:rPr>
        <w:t xml:space="preserve">(Note for examiners: If access to the private repository is required for marking verification, please contact the author via university email to be granted read access.)</w:t>
      </w:r>
    </w:p>
    <w:bookmarkEnd w:id="91"/>
    <w:bookmarkStart w:id="92"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2"/>
    <w:bookmarkStart w:id="93" w:name="b.2-licensing"/>
    <w:p>
      <w:pPr>
        <w:pStyle w:val="Heading2"/>
      </w:pPr>
      <w:r>
        <w:t xml:space="preserve">B.2 Licensing</w:t>
      </w:r>
    </w:p>
    <w:p>
      <w:pPr>
        <w:jc w:val="both"/>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3"/>
    <w:bookmarkStart w:id="94" w:name="b.3-external-datasets"/>
    <w:p>
      <w:pPr>
        <w:pStyle w:val="Heading2"/>
      </w:pPr>
      <w:r>
        <w:t xml:space="preserve">B.3 External Datasets</w:t>
      </w:r>
    </w:p>
    <w:p>
      <w:pPr>
        <w:jc w:val="both"/>
      </w:pPr>
      <w:r>
        <w:t xml:space="preserve">No external datasets were used in this project. All data used for training, testing, and evaluation was synthetically generated to ensure privacy compliance and reproducibility.</w:t>
      </w:r>
    </w:p>
    <w:p>
      <w:pPr>
        <w:numPr>
          <w:ilvl w:val="0"/>
          <w:numId w:val="1013"/>
        </w:numPr>
        <w:jc w:val="both"/>
      </w:pPr>
      <w:r>
        <w:rPr>
          <w:b/>
          <w:bCs/>
        </w:rPr>
        <w:t xml:space="preserve">Policy Corpus</w:t>
      </w:r>
      <w:r>
        <w:t xml:space="preserve"> </w:t>
      </w:r>
      <w:r>
        <w:t xml:space="preserve">(project data, not report prose): three synthetic policy PDFs were generated using GPT-4o with detailed prompts specifying structure, contradictions, and coverage requirements. This corpus is project</w:t>
      </w:r>
      <w:r>
        <w:t xml:space="preserve"> </w:t>
      </w:r>
      <w:r>
        <w:rPr>
          <w:i/>
          <w:iCs/>
        </w:rPr>
        <w:t xml:space="preserve">data</w:t>
      </w:r>
      <w:r>
        <w:t xml:space="preserve"> </w:t>
      </w:r>
      <w:r>
        <w:t xml:space="preserve">used as input to the system, not text that appears as authored prose in this report.</w:t>
      </w:r>
    </w:p>
    <w:p>
      <w:pPr>
        <w:numPr>
          <w:ilvl w:val="0"/>
          <w:numId w:val="1013"/>
        </w:numPr>
        <w:jc w:val="both"/>
      </w:pPr>
      <w:r>
        <w:rPr>
          <w:b/>
          <w:bCs/>
        </w:rPr>
        <w:t xml:space="preserve">Golden Set</w:t>
      </w:r>
      <w:r>
        <w:t xml:space="preserve">: 63 queries manually crafted and auto-labelled against the synthetic corpus.</w:t>
      </w:r>
    </w:p>
    <w:bookmarkEnd w:id="94"/>
    <w:bookmarkStart w:id="95" w:name="b.4-development-tools"/>
    <w:p>
      <w:pPr>
        <w:pStyle w:val="Heading2"/>
      </w:pPr>
      <w:r>
        <w:t xml:space="preserve">B.4 Development Tools</w:t>
      </w:r>
    </w:p>
    <w:p>
      <w:pPr>
        <w:numPr>
          <w:ilvl w:val="0"/>
          <w:numId w:val="1014"/>
        </w:numPr>
        <w:jc w:val="both"/>
      </w:pPr>
      <w:r>
        <w:rPr>
          <w:b/>
          <w:bCs/>
        </w:rPr>
        <w:t xml:space="preserve">VS Code</w:t>
      </w:r>
      <w:r>
        <w:t xml:space="preserve">: Integrated Development Environment.</w:t>
      </w:r>
    </w:p>
    <w:p>
      <w:pPr>
        <w:numPr>
          <w:ilvl w:val="0"/>
          <w:numId w:val="1014"/>
        </w:numPr>
        <w:jc w:val="both"/>
      </w:pPr>
      <w:r>
        <w:rPr>
          <w:b/>
          <w:bCs/>
        </w:rPr>
        <w:t xml:space="preserve">Git</w:t>
      </w:r>
      <w:r>
        <w:t xml:space="preserve">: Version control system.</w:t>
      </w:r>
    </w:p>
    <w:p>
      <w:pPr>
        <w:numPr>
          <w:ilvl w:val="0"/>
          <w:numId w:val="1014"/>
        </w:numPr>
        <w:jc w:val="both"/>
      </w:pPr>
      <w:r>
        <w:rPr>
          <w:b/>
          <w:bCs/>
        </w:rPr>
        <w:t xml:space="preserve">Poetry / Pip</w:t>
      </w:r>
      <w:r>
        <w:t xml:space="preserve">: Dependency management.</w:t>
      </w:r>
    </w:p>
    <w:p>
      <w:pPr>
        <w:numPr>
          <w:ilvl w:val="0"/>
          <w:numId w:val="1014"/>
        </w:numPr>
        <w:jc w:val="both"/>
      </w:pPr>
      <w:r>
        <w:rPr>
          <w:b/>
          <w:bCs/>
        </w:rPr>
        <w:t xml:space="preserve">Black / Ruff</w:t>
      </w:r>
      <w:r>
        <w:t xml:space="preserve">: Code formatting and linting.</w:t>
      </w:r>
    </w:p>
    <w:p>
      <w:pPr>
        <w:jc w:val="both"/>
      </w:pPr>
      <w:r>
        <w:pict>
          <v:rect style="width:0;height:1.5pt" o:hralign="center" o:hrstd="t" o:hr="t"/>
        </w:pict>
      </w:r>
    </w:p>
    <w:bookmarkEnd w:id="95"/>
    <w:bookmarkStart w:id="98" w:name="X59823d81a2493546db9de6a5549c34343051cfe"/>
    <w:p>
      <w:pPr>
        <w:pStyle w:val="Heading2"/>
      </w:pPr>
      <w:r>
        <w:t xml:space="preserve">B.5 Generative AI Usage Declaration and Log</w:t>
      </w:r>
    </w:p>
    <w:p>
      <w:pPr>
        <w:jc w:val="both"/>
      </w:pPr>
      <w:r>
        <w:t xml:space="preserve">Under the University of Leeds Generative AI policy, this module sits in the</w:t>
      </w:r>
      <w:r>
        <w:t xml:space="preserve"> </w:t>
      </w:r>
      <w:r>
        <w:rPr>
          <w:b/>
          <w:bCs/>
        </w:rPr>
        <w:t xml:space="preserve">Amber category</w:t>
      </w:r>
      <w:r>
        <w:t xml:space="preserve">: Generative AI is permitted as a development, debugging, and limited drafting-support aid, but must not produce substantive academic content presented as the author’s own.</w:t>
      </w:r>
    </w:p>
    <w:bookmarkStart w:id="96" w:name="declaration-1"/>
    <w:p>
      <w:pPr>
        <w:pStyle w:val="Heading4"/>
      </w:pPr>
      <w:r>
        <w:t xml:space="preserve">Declaration</w:t>
      </w:r>
    </w:p>
    <w:p>
      <w:pPr>
        <w:jc w:val="both"/>
      </w:pPr>
      <w:r>
        <w:t xml:space="preserve">AI tools were used for development assistance, debugging, structuring support, and limited drafting support, as declared in the usage log below. The submitted report is the author’s final work: all wording, technical claims, citations, edits, and submission decisions were reviewed, revised, and approved by the author. All code generated or suggested by AI tools was reviewed and modified by the author before inclusion.</w:t>
      </w:r>
    </w:p>
    <w:bookmarkEnd w:id="96"/>
    <w:bookmarkStart w:id="97" w:name="usage-log"/>
    <w:p>
      <w:pPr>
        <w:pStyle w:val="Heading4"/>
      </w:pPr>
      <w:r>
        <w:t xml:space="preserve">Usage Log</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Oct-Nov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LLM-based writing assistant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Limited drafting and structuring assistance during the report-preparation phase: paragraph rewording for clarity, sentence-rhythm and tone editing, table and caption formatting, and template/layout polish. All technical content, metrics, results, design decisions, citations, and final wording were reviewed and revised by the author before submission.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docs/report/Final_​Report_​Draft.md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docs/report/Final_​Report_​Draft.pdf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pPr>
        <w:jc w:val="both"/>
      </w:pPr>
      <w:r>
        <w:pict>
          <v:rect style="width:0;height:1.5pt" o:hralign="center" o:hrstd="t" o:hr="t"/>
        </w:pict>
      </w:r>
    </w:p>
    <w:bookmarkEnd w:id="97"/>
    <w:bookmarkEnd w:id="98"/>
    <w:bookmarkStart w:id="99"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Yes — limited.</w:t>
            </w:r>
            <w:r>
              <w:rPr>
                <w:rFonts w:ascii="Times New Roman" w:hAnsi="Times New Roman"/>
                <w:color w:val="000000"/>
                <w:sz w:val="20"/>
              </w:rPr>
              <w:t xml:space="preserve"> </w:t>
            </w:r>
            <w:r>
              <w:rPr>
                <w:rFonts w:ascii="Times New Roman" w:hAnsi="Times New Roman"/>
                <w:color w:val="000000"/>
                <w:sz w:val="20"/>
              </w:rPr>
              <w:t xml:space="preserve">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w:t>
            </w:r>
            <w:r>
              <w:rPr>
                <w:rFonts w:ascii="Times New Roman" w:hAnsi="Times New Roman"/>
                <w:color w:val="000000"/>
                <w:sz w:val="20"/>
              </w:rPr>
              <w:t xml:space="preserve"> </w:t>
            </w:r>
            <w:r>
              <w:rPr>
                <w:rFonts w:ascii="Times New Roman" w:hAnsi="Times New Roman"/>
                <w:color w:val="000000"/>
                <w:sz w:val="20"/>
              </w:rPr>
              <w:t xml:space="preserve">The project does not involve human participants, personal data, or sensitive topics. This was confirmed with the project supervisor.</w:t>
            </w:r>
          </w:p>
        </w:tc>
      </w:tr>
    </w:tbl>
    <w:p>
      <w:pPr>
        <w:jc w:val="both"/>
      </w:pPr>
      <w:r>
        <w:pict>
          <v:rect style="width:0;height:1.5pt" o:hralign="center" o:hrstd="t" o:hr="t"/>
        </w:pict>
      </w:r>
    </w:p>
    <w:bookmarkEnd w:id="99"/>
    <w:bookmarkStart w:id="103" w:name="b.7-evidence-of-testing-and-operation"/>
    <w:p>
      <w:pPr>
        <w:pStyle w:val="Heading2"/>
      </w:pPr>
      <w:r>
        <w:t xml:space="preserve">B.7 Evidence of Testing and Operation</w:t>
      </w:r>
    </w:p>
    <w:bookmarkStart w:id="100" w:name="b.7.1-automated-test-suite"/>
    <w:p>
      <w:pPr>
        <w:pStyle w:val="Heading3"/>
      </w:pPr>
      <w:r>
        <w:t xml:space="preserve">B.7.1 Automated Test Suite</w:t>
      </w:r>
    </w:p>
    <w:p>
      <w:pPr>
        <w:jc w:val="both"/>
      </w:pPr>
      <w:r>
        <w:t xml:space="preserve">The project includes 188 automated tests (across 38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jc w:val="both"/>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188 passed, 1 skipped in 7.93s</w:t>
      </w:r>
    </w:p>
    <w:p>
      <w:pPr>
        <w:jc w:val="bot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jc w:val="both"/>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100"/>
    <w:bookmarkStart w:id="101"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1"/>
    <w:bookmarkStart w:id="102"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jc w:val="both"/>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jc w:val="both"/>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2"/>
    <w:bookmarkEnd w:id="103"/>
    <w:bookmarkStart w:id="104" w:name="Xc3be17a6feaf50557485e1a44d8c28c1b4a5841"/>
    <w:p>
      <w:pPr>
        <w:pStyle w:val="Heading2"/>
      </w:pPr>
      <w:r>
        <w:t xml:space="preserve">B.8 Comparative Analysis Table (referenced from §1.10)</w:t>
      </w:r>
    </w:p>
    <w:p>
      <w:pPr>
        <w:jc w:val="both"/>
      </w:pPr>
    </w:p>
    <w:p>
      <w:pPr>
        <w:jc w:val="both"/>
      </w:pPr>
      <w:r>
        <w:rPr>
          <w:b/>
          <w:bCs/>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Proposed solution</w:t>
            </w:r>
          </w:p>
        </w:tc>
      </w:tr>
    </w:tbl>
    <w:bookmarkEnd w:id="104"/>
    <w:bookmarkStart w:id="105" w:name="Xf0c58931cf1f4f9947cff1d32ed89fe21673d20"/>
    <w:p>
      <w:pPr>
        <w:pStyle w:val="Heading2"/>
      </w:pPr>
      <w:r>
        <w:t xml:space="preserve">B.9 Test Suite Matrix (referenced from §3.9)</w:t>
      </w:r>
    </w:p>
    <w:p>
      <w:pPr>
        <w:jc w:val="both"/>
      </w:pPr>
    </w:p>
    <w:p>
      <w:pPr>
        <w:jc w:val="both"/>
      </w:pPr>
      <w:r>
        <w:rPr>
          <w:b/>
          <w:bCs/>
          <w:sz w:val="21"/>
        </w:rPr>
        <w:t xml:space="preserve">Table B.2: Testing and validation matrix, representative coverage across 38 test files / 188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5"/>
    <w:bookmarkStart w:id="106"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rPr>
          <w:b/>
          <w:bCs/>
        </w:rPr>
        <w:t xml:space="preserve">Anonymisation statement.</w:t>
      </w:r>
      <w:r>
        <w:t xml:space="preserve"> </w:t>
      </w:r>
      <w:r>
        <w:t xml:space="preserve">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rPr>
          <w:b/>
          <w:bCs/>
        </w:rPr>
        <w:t xml:space="preserve">Rubric.</w:t>
      </w:r>
      <w:r>
        <w:t xml:space="preserve"> </w:t>
      </w:r>
      <w:r>
        <w:t xml:space="preserve">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rPr>
          <w:b/>
          <w:bCs/>
        </w:rPr>
        <w:t xml:space="preserve">Participant information and consent.</w:t>
      </w:r>
      <w:r>
        <w:t xml:space="preserve"> </w:t>
      </w:r>
      <w:r>
        <w:t xml:space="preserve">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bCs/>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rPr>
          <w:b/>
          <w:bCs/>
        </w:rPr>
        <w:t xml:space="preserve">Per-category breakdown.</w:t>
      </w:r>
      <w:r>
        <w:t xml:space="preserve"> </w:t>
      </w:r>
      <w:r>
        <w:t xml:space="preserve">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rPr>
          <w:b/>
          <w:bCs/>
        </w:rPr>
        <w:t xml:space="preserve">Thematic coding of comments.</w:t>
      </w:r>
      <w:r>
        <w:t xml:space="preserve"> </w:t>
      </w:r>
      <w:r>
        <w:t xml:space="preserve">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rPr>
          <w:b/>
          <w:bCs/>
        </w:rPr>
        <w:t xml:space="preserve">Limitations of this evaluation.</w:t>
      </w:r>
      <w:r>
        <w:t xml:space="preserve"> </w:t>
      </w:r>
      <w:r>
        <w:t xml:space="preserve">The evaluation is small (n = 6), author-facilitated rather than fully blinded, and the reviewer pool is non-domain-expert (CS peers rather than compliance specialists). Per-(participant, query) ratings were not retained, so inter-rater agreement metrics such as Cohen’s kappa or Krippendorff’s alpha cannot be computed from the surviving data. These caveats are also surfaced in Limitation L5 (§5.2).</w:t>
      </w:r>
    </w:p>
    <w:bookmarkEnd w:id="106"/>
    <w:bookmarkStart w:id="107"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Every source is published under the</w:t>
      </w:r>
      <w:r>
        <w:t xml:space="preserve"> </w:t>
      </w:r>
      <w:r>
        <w:rPr>
          <w:b/>
          <w:bCs/>
        </w:rPr>
        <w:t xml:space="preserve">Open Government Licence v3.0</w:t>
      </w:r>
      <w:r>
        <w:t xml:space="preserve">, which permits reuse with attribution; no third-party copyrighted material is included.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w:t>
      </w:r>
    </w:p>
    <w:p>
      <w:pPr>
        <w:jc w:val="both"/>
      </w:pPr>
    </w:p>
    <w:p>
      <w:pPr>
        <w:jc w:val="both"/>
      </w:pPr>
      <w:r>
        <w:rPr>
          <w:b/>
          <w:bCs/>
          <w:sz w:val="21"/>
        </w:rPr>
        <w:t xml:space="preserve">Table B.4: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Employee Handbook discipline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Working from home and hybrid working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07"/>
    <w:bookmarkStart w:id="108" w:name="Xa3c7045fe3a3bfc9850e0e57f9bd37a751212fc"/>
    <w:p>
      <w:pPr>
        <w:pStyle w:val="Heading2"/>
      </w:pPr>
      <w:r>
        <w:t xml:space="preserve">B.12 Adversarial and Audit Export Evidence (referenced from L6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(Limitation L6) and a small set of verbatim audit-export examples from the B3-Generative final run.</w:t>
      </w:r>
    </w:p>
    <w:p>
      <w:pPr>
        <w:jc w:val="both"/>
      </w:pPr>
      <w:r>
        <w:rPr>
          <w:b/>
          <w:bCs/>
        </w:rPr>
        <w:t xml:space="preserve">Adversarial probe.</w:t>
      </w:r>
      <w:r>
        <w:t xml:space="preserve"> </w:t>
      </w:r>
      <w:r>
        <w:t xml:space="preserve">A 15-query bank in</w:t>
      </w:r>
      <w:r>
        <w:t xml:space="preserve"> </w:t>
      </w:r>
      <w:r>
        <w:rPr>
          <w:rStyle w:val="VerbatimChar"/>
        </w:rPr>
        <w:t xml:space="preserve">eval/adversarial/adversarial_queries.csv</w:t>
      </w:r>
      <w:r>
        <w:t xml:space="preserve"> </w:t>
      </w:r>
      <w:r>
        <w:t xml:space="preserve">covers five attack types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w:t>
      </w:r>
      <w:r>
        <w:t xml:space="preserve"> </w:t>
      </w:r>
      <w:r>
        <w:rPr>
          <w:rStyle w:val="VerbatimChar"/>
        </w:rPr>
        <w:t xml:space="preserve">contradiction_pressure</w:t>
      </w:r>
      <w:r>
        <w:t xml:space="preserve">), each with three hand-authored queries. The runner</w:t>
      </w:r>
      <w:r>
        <w:t xml:space="preserve"> </w:t>
      </w:r>
      <w:r>
        <w:rPr>
          <w:rStyle w:val="VerbatimChar"/>
        </w:rPr>
        <w:t xml:space="preserve">scripts/run_adversarial.py</w:t>
      </w:r>
      <w:r>
        <w:t xml:space="preserve"> </w:t>
      </w:r>
      <w:r>
        <w:t xml:space="preserve">invokes the production B3 pipeline twice over the same query bank, once in Extractive Mode (BM25, no LLM, structural-immunity case) and once in Generative Mode (LLM, deterministic-post-LLM-gates case).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w:t>
      </w:r>
      <w:r>
        <w:t xml:space="preserve"> </w:t>
      </w:r>
      <w:r>
        <w:rPr>
          <w:i/>
          <w:iCs/>
        </w:rPr>
        <w:t xml:space="preserve">safe response</w:t>
      </w:r>
      <w:r>
        <w:t xml:space="preserve"> </w:t>
      </w:r>
      <w:r>
        <w:t xml:space="preserve">is either an</w:t>
      </w:r>
      <w:r>
        <w:t xml:space="preserve"> </w:t>
      </w:r>
      <w:r>
        <w:rPr>
          <w:rStyle w:val="VerbatimChar"/>
        </w:rPr>
        <w:t xml:space="preserve">INSUFFICIENT_EVIDENCE</w:t>
      </w:r>
      <w:r>
        <w:t xml:space="preserve"> </w:t>
      </w:r>
      <w:r>
        <w:t xml:space="preserve">abstention or a grounded answer whose citations all map to real paragraph IDs in the corpus index;</w:t>
      </w:r>
      <w:r>
        <w:t xml:space="preserve"> </w:t>
      </w:r>
      <w:r>
        <w:rPr>
          <w:i/>
          <w:iCs/>
        </w:rPr>
        <w:t xml:space="preserve">fabricated citation</w:t>
      </w:r>
      <w:r>
        <w:t xml:space="preserve"> </w:t>
      </w:r>
      <w:r>
        <w:t xml:space="preserve">and</w:t>
      </w:r>
      <w:r>
        <w:t xml:space="preserve"> </w:t>
      </w:r>
      <w:r>
        <w:rPr>
          <w:i/>
          <w:iCs/>
        </w:rPr>
        <w:t xml:space="preserve">unsupported answer</w:t>
      </w:r>
      <w:r>
        <w:t xml:space="preserve"> </w:t>
      </w:r>
      <w:r>
        <w:t xml:space="preserve">are detected automatically by the same scripts.</w:t>
      </w:r>
    </w:p>
    <w:p>
      <w:pPr>
        <w:jc w:val="both"/>
      </w:pPr>
    </w:p>
    <w:p>
      <w:pPr>
        <w:jc w:val="both"/>
      </w:pPr>
      <w:r>
        <w:rPr>
          <w:b/>
          <w:bCs/>
          <w:sz w:val="21"/>
        </w:rPr>
        <w:t xml:space="preserve">Table B.5: Adversarial probe results, paired across modes (n = 15 queries; 5 attack types x 3 queries each).</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pending</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pending</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pending</w:t>
            </w:r>
          </w:p>
        </w:tc>
      </w:tr>
    </w:tbl>
    <w:p>
      <w:pPr>
        <w:jc w:val="both"/>
      </w:pPr>
      <w:r>
        <w:t xml:space="preserve">The Extractive arm reports 100% safe responses across all five attack types (15/15) with zero fabricated citations and zero unsupported answers; the safety property of returning verbatim corpus paragraphs is confirmed empirically. The Generative arm is reported as</w:t>
      </w:r>
      <w:r>
        <w:t xml:space="preserve"> </w:t>
      </w:r>
      <w:r>
        <w:rPr>
          <w:rStyle w:val="VerbatimChar"/>
        </w:rPr>
        <w:t xml:space="preserve">pending</w:t>
      </w:r>
      <w:r>
        <w:t xml:space="preserve"> </w:t>
      </w:r>
      <w:r>
        <w:t xml:space="preserve">because the evaluator’s environment did not have an LLM API key configured at submission time; the runner is parameterised so a single command (</w:t>
      </w:r>
      <w:r>
        <w:rPr>
          <w:rStyle w:val="VerbatimChar"/>
        </w:rPr>
        <w:t xml:space="preserve">python scripts/run_adversarial.py --modes generative</w:t>
      </w:r>
      <w:r>
        <w:t xml:space="preserve">) produces the paired numbers once a key is set, at a cost of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Garak or PromptBench (Liu et al., 2023) and is listed as future work in §5.3.</w:t>
      </w:r>
    </w:p>
    <w:p>
      <w:pPr>
        <w:jc w:val="both"/>
      </w:pPr>
      <w:r>
        <w:rPr>
          <w:b/>
          <w:bCs/>
        </w:rPr>
        <w:t xml:space="preserve">Audit export examples.</w:t>
      </w:r>
      <w:r>
        <w:t xml:space="preserve"> </w:t>
      </w:r>
      <w:r>
        <w:t xml:space="preserve">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rPr>
          <w:b/>
          <w:bCs/>
        </w:rPr>
        <w:t xml:space="preserve">Public-transfer failure taxonomy (cross-reference).</w:t>
      </w:r>
      <w:r>
        <w:t xml:space="preserve"> </w:t>
      </w:r>
      <w:r>
        <w:t xml:space="preserve">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08"/>
    <w:bookmarkEnd w:id="109"/>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line="360" w:lineRule="auto" w:before="0"/>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2026-05-06T00:36:36Z</dcterms:created>
  <dcterms:modified xsi:type="dcterms:W3CDTF">2026-05-06T00:36:36Z</dcterms:modified>
</cp:coreProperties>
</file>

<file path=docProps/custom.xml><?xml version="1.0" encoding="utf-8"?>
<Properties xmlns="http://schemas.openxmlformats.org/officeDocument/2006/custom-properties" xmlns:vt="http://schemas.openxmlformats.org/officeDocument/2006/docPropsVTypes"/>
</file>