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jc w:val="both"/>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(§4.12.3).</w:t>
      </w:r>
    </w:p>
    <w:p>
      <w:pPr>
        <w:jc w:val="both"/>
      </w:pPr>
      <w:r>
        <w:t xml:space="preserve">Overall the project supports a fairly narrow claim: lightweight, deterministic reliability controls (confidence-gated abstention plus per-claim verification on top of cross-encoder reranking) can substantially reduce unsupported claims for a policy-compliance use-case, at the cost of a coverage/precision trade-off that future work would need to retune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30</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47</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53</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45</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46</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Public Guidance Transfer Corpus provenance</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Adversarial probe results, paired across modes</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Round 2 inter-rater agreement (Krippendorff alpha)</w:t>
        </w:r>
      </w:hyperlink>
      <w:r>
        <w:rPr>
          <w:rFonts w:ascii="Times New Roman" w:hAnsi="Times New Roman" w:cs="Times New Roman"/>
          <w:sz w:val="22"/>
          <w:color w:val="000000"/>
          <w:u w:val="none"/>
        </w:rPr>
        <w:tab/>
        <w:t xml:space="preserve">51</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This hallucination behaviour is well documented (Ji et al., 2023; Huang et al., 2023) and, in a compliance setting, a wrong answer presented confidently can cause real harm: incorrect interpretation of policy, downstream operational errors, and disputes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October 2024 and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w:t>
      </w:r>
      <w:r>
        <w:t xml:space="preserve"> </w:t>
      </w:r>
      <w:r>
        <w:rPr>
          <w:i/>
          <w:iCs/>
        </w:rPr>
        <w:t xml:space="preserve">after</w:t>
      </w:r>
      <w:r>
        <w:t xml:space="preserve"> </w:t>
      </w:r>
      <w:r>
        <w:t xml:space="preserve">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(Appendix B.8) situates Policy Copilot within the landscape of retrieval-augmented and grounded generation systems across domain focus, grounding mechanism, abstention handling, key limitation, and relevance. The comparison surfaces a consistent pattern: the majority of systems target open-domain corpora where recall is paramount and tolerance for imprecision is high (Standard RAG, DPR, FreshLLMs); systems that do incorporate abstention (Self-RAG, ASPIRE) rely on non-deterministic learned mechanisms that are expensive to deploy; and</w:t>
      </w:r>
      <w:r>
        <w:t xml:space="preserve"> </w:t>
      </w:r>
      <w:r>
        <w:rPr>
          <w:b/>
          <w:bCs/>
        </w:rPr>
        <w:t xml:space="preserve">no surveyed system combines deterministic grounding verification with explicit abstention over a closed, bounded corpus</w:t>
      </w:r>
      <w:r>
        <w:t xml:space="preserve">, which is the setup this project targets. Policy Copilot occupies that gap by combining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reviewed reveals a clear gap. On the</w:t>
      </w:r>
      <w:r>
        <w:t xml:space="preserve"> </w:t>
      </w:r>
      <w:r>
        <w:rPr>
          <w:i/>
          <w:iCs/>
        </w:rPr>
        <w:t xml:space="preserve">generation</w:t>
      </w:r>
      <w:r>
        <w:t xml:space="preserve"> </w:t>
      </w:r>
      <w:r>
        <w:t xml:space="preserve">side, hallucination-mitigation techniques (Attributed QA, RARR, Self-RAG) are overwhelmingly optimised for open-domain benchmarks, depend on expensive fine-tuning or multiple LLM calls, and prioritise</w:t>
      </w:r>
      <w:r>
        <w:t xml:space="preserve"> </w:t>
      </w:r>
      <w:r>
        <w:rPr>
          <w:i/>
          <w:iCs/>
        </w:rPr>
        <w:t xml:space="preserve">answering as many questions as possible</w:t>
      </w:r>
      <w:r>
        <w:t xml:space="preserve"> </w:t>
      </w:r>
      <w:r>
        <w:t xml:space="preserve">over</w:t>
      </w:r>
      <w:r>
        <w:t xml:space="preserve"> </w:t>
      </w:r>
      <w:r>
        <w:rPr>
          <w:i/>
          <w:iCs/>
        </w:rPr>
        <w:t xml:space="preserve">refusing when evidence is weak</w:t>
      </w:r>
      <w:r>
        <w:t xml:space="preserve">. That priority is the wrong one for compliance. On the</w:t>
      </w:r>
      <w:r>
        <w:t xml:space="preserve"> </w:t>
      </w:r>
      <w:r>
        <w:rPr>
          <w:i/>
          <w:iCs/>
        </w:rPr>
        <w:t xml:space="preserve">evaluation</w:t>
      </w:r>
      <w:r>
        <w:t xml:space="preserve"> </w:t>
      </w:r>
      <w:r>
        <w:t xml:space="preserve">side, LLM-as-judge frameworks (RAGAS, RAGE) introduce documented biases (Zheng et al., 2024), and Wallat et al. (2024) show that citation correctness and faithfulness are distinct properties. On the</w:t>
      </w:r>
      <w:r>
        <w:t xml:space="preserve"> </w:t>
      </w:r>
      <w:r>
        <w:rPr>
          <w:i/>
          <w:iCs/>
        </w:rPr>
        <w:t xml:space="preserve">retrieval</w:t>
      </w:r>
      <w:r>
        <w:t xml:space="preserve"> </w:t>
      </w:r>
      <w:r>
        <w:t xml:space="preserve">side, two-stage retrieve-and-rerank is well established but typically deployed at web scale where cross-encoder latency is prohibitive (Nogueira and Cho, 2019; Lin et al., 2021); for closed corpora under 2,000 paragraphs the latency constraint largely vanishes, and structurally-aware paragraph-level chunking performs comparably to expensive semantic chunking on policy documents (Qu, Bao and Tu, 2024).</w:t>
      </w:r>
    </w:p>
    <w:p>
      <w:pPr>
        <w:jc w:val="both"/>
      </w:pPr>
      <w:r>
        <w:t xml:space="preserve">Taken together, these observations point to a neglected design region:</w:t>
      </w:r>
      <w:r>
        <w:t xml:space="preserve"> </w:t>
      </w:r>
      <w:r>
        <w:rPr>
          <w:b/>
          <w:bCs/>
        </w:rPr>
        <w:t xml:space="preserve">closed-domain, deterministically verified, abstention-aware RAG optimised for precision over recall</w:t>
      </w:r>
      <w:r>
        <w:t xml:space="preserve">. Policy Copilot fills that gap. It imposes strict, deterministic constraints on the generative model: abstaining before generation when evidence is weak, and excising claims whose citations fail token-overlap verification. The result is a</w:t>
      </w:r>
      <w:r>
        <w:t xml:space="preserve"> </w:t>
      </w:r>
      <w:r>
        <w:t xml:space="preserve">“cited or silent”</w:t>
      </w:r>
      <w:r>
        <w:t xml:space="preserve"> </w:t>
      </w:r>
      <w:r>
        <w:t xml:space="preserve">rule that, in the literature reviewed for this project, I did not find empirically evaluated on a bounded enterprise policy corpus in this combined configuration. The contribution is therefore not RAG itself, nor an evaluation framework in the LangSmith or RAGAS sense, but the end-to-end system design that treats grounding, abstention, citation verification, and audit traceability as first-class functional requirements rather than optional add-ons.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October 2024 to February 2025). Report writing, documentation hardening, and evaluation refinement continued through the 2025/26 submission period.</w:t>
      </w:r>
    </w:p>
    <w:p>
      <w:pPr>
        <w:jc w:val="both"/>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§4.11).</w:t>
      </w:r>
    </w:p>
    <w:p>
      <w:pPr>
        <w:jc w:val="both"/>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just below the 80% target (FR2). I attribute this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w:t>
      </w:r>
      <w:r>
        <w:t xml:space="preserve"> </w:t>
      </w:r>
      <w:r>
        <w:rPr>
          <w:b/>
          <w:bCs/>
        </w:rPr>
        <w:t xml:space="preserve">τ = 0.80</w:t>
      </w:r>
      <w:r>
        <w:t xml:space="preserve"> </w:t>
      </w:r>
      <w:r>
        <w:t xml:space="preserve">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To triangulate the automated metrics with human judgement, six peer volunteers (three Final-Year BSc and three MSc Computer Science students, outside the project supervisory chain) each scored 20 B3-Generative query / output pairs between 14 and 18 April 2026 against a 1-to-5 Likert rubric (Correctness, Groundedness, Citation Usefulness, Usefulness,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The evaluation is</w:t>
      </w:r>
      <w:r>
        <w:t xml:space="preserve"> </w:t>
      </w:r>
      <w:r>
        <w:rPr>
          <w:b/>
          <w:bCs/>
        </w:rPr>
        <w:t xml:space="preserve">author-facilitated</w:t>
      </w:r>
      <w:r>
        <w:t xml:space="preserve"> </w:t>
      </w:r>
      <w:r>
        <w:t xml:space="preserve">rather than blinded; results are triangulation, not definitive validation.</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align with the automated findings. Direct-answer cases scored 4.8 / 4.9 on Correctness and Groundedness, consistent with the low surfaced ungrounded rate in Table 4.2. Correct abstentions hit the ceiling on Correctness and Groundedness but dropped to 3.0 on Usefulness — the same trade-off §4.5 surfaces analytically. Over-abstention cases collapsed to 3.2 / 3.8 on Correctness and Trust Calibration, identifying the same operating-point pain. Contradiction probes scored 4.6 / 4.2 / 4.6, indicating surfaced contradictions were generally trusted as legitimate. The full per-category breakdown and the five themes coded from comments are in Appendix B.10. Results are directional given the small, non-blinded, non-domain-expert sample; a follow-up with domain-expert raters and full blinding is future work (§5.3).</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probe whether the system’s safety properties survive on a corpus I did not author, I ran the same B3 system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has 8 documents, 249 paragraphs, and a 20-query test set (12 answerable, 4 unanswerable, 4 ambiguous-evidence cases), with provenance, licence, and access dates recorded in Appendix B.11. Because no LLM API key was used in this run, only B3-Extractive is reported; a generative transfer test is listed as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Safety property survives</w:t>
            </w:r>
          </w:p>
        </w:tc>
      </w:tr>
    </w:tbl>
    <w:p>
      <w:pPr>
        <w:jc w:val="both"/>
      </w:pPr>
      <w:r>
        <w:t xml:space="preserve">The headline observation is that the</w:t>
      </w:r>
      <w:r>
        <w:t xml:space="preserve"> </w:t>
      </w:r>
      <w:r>
        <w:rPr>
          <w:b/>
          <w:bCs/>
        </w:rPr>
        <w:t xml:space="preserve">safety properties survive transfer</w:t>
      </w:r>
      <w:r>
        <w:t xml:space="preserve">: Citation Precision stays at 100% (by construction in Extractive Mode) and Ungrounded Rate stays at 0%, so the system never produced an answer that conflicts with its cited evidence on unfamiliar text. Coverage is broadly preserved (91.7% Answer Rate vs 89% on synthetic). The visible costs are a noticeable drop in retrieval quality (Evidence Recall@5 halves from 85% to 52.1%) and one over-confident answer on an unanswerable query (q_t16 about Cisco router configuration), where BM25 keyword overlap on the word</w:t>
      </w:r>
      <w:r>
        <w:t xml:space="preserve"> </w:t>
      </w:r>
      <w:r>
        <w:t xml:space="preserve">“configure”</w:t>
      </w:r>
      <w:r>
        <w:t xml:space="preserve"> </w:t>
      </w:r>
      <w:r>
        <w:t xml:space="preserve">matched NCSC device-security guidance. The broader pattern is consistent with §4.8: when the system fails on unfamiliar data, it fails by being</w:t>
      </w:r>
      <w:r>
        <w:t xml:space="preserve"> </w:t>
      </w:r>
      <w:r>
        <w:rPr>
          <w:b/>
          <w:bCs/>
        </w:rPr>
        <w:t xml:space="preserve">too confident on a borderline query</w:t>
      </w:r>
      <w:r>
        <w:t xml:space="preserve"> </w:t>
      </w:r>
      <w:r>
        <w:t xml:space="preserve">rather than by hallucinating new content. This is the conservative-failure-mode result that the design was aimed at, and §5.2 returns to it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jc w:val="both"/>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by running B3-Extractive against an unfamiliar OGL-licensed corpus authored by NCSC, ICO, and ACAS; the safety properties (citation precision and ungrounded rate) survived that test, but retrieval recall halved on the unfamiliar text.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provides triangulation against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production-quality follow-up evaluation would employ at least two independent domain-expert raters, full blinding, and per-item ratings stored at collection time, as recommended by Es et al. (2023).</w:t>
      </w:r>
    </w:p>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private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If access to the private repository is required for marking verification, please contact the author via university email to be granted read access.)</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No external datasets were used in this project. All data used for training, testing, and evaluation was synthetically generated to ensure privacy compliance and reproducibility.</w:t>
      </w:r>
    </w:p>
    <w:p>
      <w:pPr>
        <w:numPr>
          <w:ilvl w:val="0"/>
          <w:numId w:val="1013"/>
        </w:numPr>
        <w:jc w:val="both"/>
      </w:pPr>
      <w:r>
        <w:rPr>
          <w:b/>
          <w:bCs/>
        </w:rPr>
        <w:t xml:space="preserve">Policy Corpus</w:t>
      </w:r>
      <w:r>
        <w:t xml:space="preserve"> </w:t>
      </w:r>
      <w:r>
        <w:t xml:space="preserve">(project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jc w:val="both"/>
      </w:pPr>
      <w:r>
        <w:rPr>
          <w:b/>
          <w:bCs/>
        </w:rPr>
        <w:t xml:space="preserve">Golden Set</w:t>
      </w:r>
      <w:r>
        <w:t xml:space="preserve">: 63 queries manually crafted and auto-labelled against the synthetic corpus.</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6" w:name="declaration-1"/>
    <w:p>
      <w:pPr>
        <w:pStyle w:val="Heading4"/>
      </w:pPr>
      <w:r>
        <w:t xml:space="preserve">Declaration</w:t>
      </w:r>
    </w:p>
    <w:p>
      <w:pPr>
        <w:jc w:val="both"/>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6"/>
    <w:bookmarkStart w:id="97" w:name="usage-log"/>
    <w:p>
      <w:pPr>
        <w:pStyle w:val="Heading4"/>
      </w:pPr>
      <w:r>
        <w:t xml:space="preserve">Usage Log</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Oct-Nov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LLM-based writing assistant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w:t>
            </w:r>
            <w:r>
              <w:rPr>
                <w:rFonts w:ascii="Times New Roman" w:hAnsi="Times New Roman"/>
                <w:color w:val="000000"/>
                <w:sz w:val="20"/>
              </w:rPr>
              <w:t xml:space="preserve"> </w:t>
            </w:r>
            <w:r>
              <w:rPr>
                <w:rFonts w:ascii="Times New Roman" w:hAnsi="Times New Roman"/>
                <w:color w:val="000000"/>
                <w:sz w:val="20"/>
              </w:rPr>
              <w:t xml:space="preserve">The project does not involve human participants, personal data, or sensitive topics. This was confirmed with the project supervisor.</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A second round of the evaluation re-collected per-(participant, query) ratings from six anonymous peer reviewers (</w:t>
      </w:r>
      <w:r>
        <w:rPr>
          <w:rStyle w:val="VerbatimChar"/>
        </w:rPr>
        <w:t xml:space="preserve">Q1</w:t>
      </w:r>
      <w:r>
        <w:t xml:space="preserve">-</w:t>
      </w:r>
      <w:r>
        <w:rPr>
          <w:rStyle w:val="VerbatimChar"/>
        </w:rPr>
        <w:t xml:space="preserve">Q6</w:t>
      </w:r>
      <w:r>
        <w:t xml:space="preserve">; three BSc CS, three MSc CS) using the same 20 query / output pairs and the same 1-to-5 Likert rubric. The Round 2 collection produced 120 (participant, query) ratings (</w:t>
      </w:r>
      <w:r>
        <w:rPr>
          <w:rStyle w:val="VerbatimChar"/>
        </w:rPr>
        <w:t xml:space="preserve">docs/evidence/human_eval/per_query_anonymised_scores.csv</w:t>
      </w:r>
      <w:r>
        <w:t xml:space="preserve">), allowing inter-rater agreement to be computed honestly. Krippendorff’s α (ordinal-distance metric, Krippendorff 2004) is reported per axis with bootstrap 95% confidence intervals (1,000 resamples, seed = 42); a non-parametric robustness check reports the binned pairwise % agreement after the mapping {1-2 -&gt; low, 3 -&gt; mid, 4-5 -&gt; high}. The full implementation is in</w:t>
      </w:r>
      <w:r>
        <w:t xml:space="preserve"> </w:t>
      </w:r>
      <w:r>
        <w:rPr>
          <w:rStyle w:val="VerbatimChar"/>
        </w:rPr>
        <w:t xml:space="preserve">scripts/compute_human_eval.py</w:t>
      </w:r>
      <w:r>
        <w:t xml:space="preserve"> </w:t>
      </w:r>
      <w:r>
        <w:t xml:space="preserve">(validated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B.6: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in the</w:t>
      </w:r>
      <w:r>
        <w:t xml:space="preserve"> </w:t>
      </w:r>
      <w:r>
        <w:t xml:space="preserve">“tentative agreement”</w:t>
      </w:r>
      <w:r>
        <w:t xml:space="preserve"> </w:t>
      </w:r>
      <w:r>
        <w:t xml:space="preserve">band (α &gt;= 0.667 by Krippendorff’s informal cut-off). Groundedness and Citation Usefulness drop below 0.667, but for two different reasons. Groundedness has a textbook</w:t>
      </w:r>
      <w:r>
        <w:t xml:space="preserve"> </w:t>
      </w:r>
      <w:r>
        <w:rPr>
          <w:b/>
          <w:bCs/>
        </w:rPr>
        <w:t xml:space="preserve">ceiling effect</w:t>
      </w:r>
      <w:r>
        <w:t xml:space="preserve">: 117 of 120 Likert scores are 4 or 5, and binned-pairwise agreement is 100%; α is depressed because expected disagreement is small in absolute terms, not because reviewers disagreed. Citation Usefulness has more genuine spread, with reviewers occasionally disagreeing by one or two points on whether a citation was</w:t>
      </w:r>
      <w:r>
        <w:t xml:space="preserve"> </w:t>
      </w:r>
      <w:r>
        <w:rPr>
          <w:i/>
          <w:iCs/>
        </w:rPr>
        <w:t xml:space="preserve">helpful for verification</w:t>
      </w:r>
      <w:r>
        <w:t xml:space="preserve"> </w:t>
      </w:r>
      <w:r>
        <w:t xml:space="preserve">versus merely</w:t>
      </w:r>
      <w:r>
        <w:t xml:space="preserve"> </w:t>
      </w:r>
      <w:r>
        <w:rPr>
          <w:i/>
          <w:iCs/>
        </w:rPr>
        <w:t xml:space="preserve">present</w:t>
      </w:r>
      <w:r>
        <w:t xml:space="preserve">. The Round 2 means track the Round 1 aggregates within ~0.5 on every axis, but are uniformly lower because per-query ratings give equal weight to over-abstention cases (Q09-Q12) where reviewers scored Correctness and Usefulness 1-3, while Round 1 aggregates summarise each reviewer’s overall impression. The Round 1 aggregate (Table B.3) and Round 2 per-query CSV (</w:t>
      </w:r>
      <w:r>
        <w:rPr>
          <w:rStyle w:val="VerbatimChar"/>
        </w:rPr>
        <w:t xml:space="preserve">anonymised_scores.csv</w:t>
      </w:r>
      <w:r>
        <w:t xml:space="preserve"> </w:t>
      </w:r>
      <w:r>
        <w:t xml:space="preserve">and</w:t>
      </w:r>
      <w:r>
        <w:t xml:space="preserve"> </w:t>
      </w:r>
      <w:r>
        <w:rPr>
          <w:rStyle w:val="VerbatimChar"/>
        </w:rPr>
        <w:t xml:space="preserve">per_query_anonymised_scores.csv</w:t>
      </w:r>
      <w:r>
        <w:t xml:space="preserve"> </w:t>
      </w:r>
      <w:r>
        <w:t xml:space="preserve">under</w:t>
      </w:r>
      <w:r>
        <w:t xml:space="preserve"> </w:t>
      </w:r>
      <w:r>
        <w:rPr>
          <w:rStyle w:val="VerbatimChar"/>
        </w:rPr>
        <w:t xml:space="preserve">docs/evidence/human_eval/</w:t>
      </w:r>
      <w:r>
        <w:t xml:space="preserve">) are both archived; neither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production-quality follow-up would employ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B.4: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w:t>
      </w:r>
      <w:r>
        <w:t xml:space="preserve"> </w:t>
      </w:r>
      <w:r>
        <w:rPr>
          <w:rStyle w:val="VerbatimChar"/>
        </w:rPr>
        <w:t xml:space="preserve">contradiction_pressure</w:t>
      </w:r>
      <w:r>
        <w:t xml:space="preserve">), each with three hand-authored queries. The runner</w:t>
      </w:r>
      <w:r>
        <w:t xml:space="preserve"> </w:t>
      </w:r>
      <w:r>
        <w:rPr>
          <w:rStyle w:val="VerbatimChar"/>
        </w:rPr>
        <w:t xml:space="preserve">scripts/run_adversarial.py</w:t>
      </w:r>
      <w:r>
        <w:t xml:space="preserve"> </w:t>
      </w:r>
      <w:r>
        <w:t xml:space="preserve">invokes the production B3 pipeline twice over the same query bank, once in Extractive Mode (BM25, no LLM, structural-immunity case) and once in Generative Mode (LLM, deterministic-post-LLM-gates case).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B.5: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the safety property of returning verbatim corpus paragraphs is confirmed empirically.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rates are reported as</w:t>
      </w:r>
      <w:r>
        <w:t xml:space="preserve"> </w:t>
      </w:r>
      <w:r>
        <w:rPr>
          <w:rStyle w:val="VerbatimChar"/>
        </w:rPr>
        <w:t xml:space="preserve">n/a</w:t>
      </w:r>
      <w:r>
        <w:t xml:space="preserve"> </w:t>
      </w:r>
      <w:r>
        <w:t xml:space="preserve">rather than fabricated,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will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2026-05-06T18:22:28Z</dcterms:created>
  <dcterms:modified xsi:type="dcterms:W3CDTF">2026-05-06T18:22:28Z</dcterms:modified>
</cp:coreProperties>
</file>

<file path=docProps/custom.xml><?xml version="1.0" encoding="utf-8"?>
<Properties xmlns="http://schemas.openxmlformats.org/officeDocument/2006/custom-properties" xmlns:vt="http://schemas.openxmlformats.org/officeDocument/2006/docPropsVTypes"/>
</file>