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On top of a standard RAG pipeline the system adds four extra checks: cross-encoder reranking (which improves retrieval precision and produces the confidence signal used by the abstention gate); per-claim citation verification that uses fixed rules rather than a second LLM, which keeps the check reproducible; contradiction detection across documents; and an Extractive Fallback Mode that returns the top-ranked evidence paragraph when the LLM is unavailable.</w:t>
      </w:r>
    </w:p>
    <w:p>
      <w:pPr>
        <w:jc w:val="both"/>
      </w:pPr>
      <w:r>
        <w:t xml:space="preserve">The system was evaluated on a 63-query synthetic golden set (36 answerable, 17 unanswerable, 10 contradiction; 44 held-out test queries). On the test split, B3-Generative reports a 0.0% headline ungrounded rate. This number should be read carefully: any response that fails the support-rate check is converted into an abstention, so 0.0% is partly a property of that gate and not a claim that the LLM never produced unsupported text. The same configuration reaches 94.1% abstention accuracy on the 12 test-split unanswerable queries, above the 80% target, although n=12 makes the bootstrap interval wide. The visible cost is a 25% answer rate in generative mode, well below the 85% target.</w:t>
      </w:r>
      <w:r>
        <w:t xml:space="preserve"> </w:t>
      </w:r>
      <w:r>
        <w:rPr>
          <w:b/>
          <w:bCs/>
        </w:rPr>
        <w:t xml:space="preserve">Extractive Mode</w:t>
      </w:r>
      <w:r>
        <w:t xml:space="preserve"> </w:t>
      </w:r>
      <w:r>
        <w:t xml:space="preserve">recovers most of the coverage with an 89% answer rate, 100% citation precision (true by construction since the answer is the cited paragraph) and 100% abstention accuracy,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 93.7% macro precision (78.5% macro recall, 84.8% macro F1), just below the 85% F1 target. All numbers apply to a synthetic, fairly clean corpus; transfer to noisier real-world documents is a stated limitation (§5.2 L1).</w:t>
      </w:r>
    </w:p>
    <w:p>
      <w:pPr>
        <w:jc w:val="both"/>
      </w:pPr>
      <w:r>
        <w:t xml:space="preserve">Overall the project supports a fairly narrow claim. Adding three rule-based safety checks on top of a standard RAG pipeline — refusing when the reranker is not confident, dropping claims whose cited paragraph does not actually support them, and surfacing contradictions across documents — cut the unsupported-claim rate sharply for a policy-compliance use-case in this synthetic setting, at the cost of a smaller answer rate that would need its thresholds retuned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30</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30</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36</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37</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41</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43</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49</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50</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54</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48</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39 test files / 195 cases</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54</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55</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November 2025 and January 2026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 after 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in Appendix B.8 puts Policy Copilot side-by-side with the main retrieval-augmented and grounded-generation systems I read about, on five dimensions: domain, grounding mechanism, abstention handling, key limitation, and relevance. Two patterns came out of the comparison. Most systems target open-domain corpora where the priority is answering as many questions as possible, even when answers are sometimes wrong (Standard RAG, DPR, FreshLLMs); the systems that do refuse when evidence is weak (Self-RAG, ASPIRE) decide when to refuse using a learned model, which is expensive to retrain for a new corpus. What I did not find was a system that combines rule-based grounding checks with explicit refusal over a small, closed corpus — the configuration this project targets. Policy Copilot fills that gap by pairing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2024),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policy documents (Qu, Bao and Tu, 2024).</w:t>
      </w:r>
    </w:p>
    <w:p>
      <w:pPr>
        <w:jc w:val="both"/>
      </w:pPr>
      <w:r>
        <w:t xml:space="preserve">Taken together these observations point to a less-explored combination: a closed-domain RAG system that uses rule-based grounding checks and refuses by default, optimised for precision over recall. Policy Copilot is built into that combination. It abstains before generation when reranker confidence is too low, and removes any claim whose citation fails token-overlap verification. The</w:t>
      </w:r>
      <w:r>
        <w:t xml:space="preserve"> </w:t>
      </w:r>
      <w:r>
        <w:t xml:space="preserve">“cited or silent”</w:t>
      </w:r>
      <w:r>
        <w:t xml:space="preserve"> </w:t>
      </w:r>
      <w:r>
        <w:t xml:space="preserve">rule that results was, across the literature I reviewed, not empirically evaluated on a bounded enterprise policy corpus in this exact configuration. The contribution is therefore not RAG itself, nor an evaluation framework in the LangSmith or RAGAS sense, but the end-to-end system design that treats grounding, abstention, citation verification, and audit traceability as part of the contract the system is being designed against, rather than as features added once a working answer pipeline already exists.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 before 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 63 queries in three categories. Answerable (36) queries have answers explicit in one or more paragraphs. Unanswerable (17) queries are plausible but absent from the corpus and test the abstention path. Contradiction (10) 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I added this mode mainly as a fallback in case the LLM was unavailable (Table 2.2), but it turned out to be useful for evaluation too: running the same queries with and without the LLM separates what the LLM is contributing from what the retrieval and verification layers are doing on their own.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t xml:space="preserve">Reviewer Mode (</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 39 test files and 195 cases (</w:t>
      </w:r>
      <w:r>
        <w:rPr>
          <w:rStyle w:val="VerbatimChar"/>
        </w:rPr>
        <w:t xml:space="preserve">pytest</w:t>
      </w:r>
      <w:r>
        <w:t xml:space="preserve">) organised in three tiers: unit (functions in isolation), integration (pipeline stage interactions), and system (end-to-end and reproducibility). All 195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 Generative Mode (B1, B2, B3-Gen with LLM) and Extractive Mode (B3-Ext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 objective slice 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B1 answers every query but does no grounding, which is the standard hallucination baseline (Ji et al., 2023). For a compliance use-case it is not viable. B2 reaches 76.5% Abstention Accuracy without any explicit gating, just below the 80% target (FR2). I attribute this to the LLM’s own tendency to refuse on clearly irrelevant context, but its citations are not verified, so the abstention is more of a side effect than a designed behaviour. B3-Generative 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t xml:space="preserve">B3-Extractive 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 claim-level rates measured after pruning failed claims but before the response-level support-rate enforcement step. The support-rate step then suppresses any response below the minimum support threshold by converting it into an abstention. After that final step, the response-level 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t xml:space="preserve">Reranking had the largest effect in these ablations. Removing it quadruples the Ungrounded Rate (4% to 16%) and collapses Abstention Accuracy (94.1% to 18%), because bi-encoder cosine scores are poorly calibrated relative to cross-encoder logits; Recall@5 also drops from 85% to 68%. Verification provides a meaningful secondary safeguard: without it, claim-level Ungrounded Rate rises to the raw LLM rate (12%), so the heuristic catches roughly two-thirds of hallucinated claims. The Abstention Gate controls coverage versus safety: removing it restores 100% Answer Rate without affecting verified Ungrounded Rate, but it causes the system to attempt unanswerable queries where verification may fail. Contradiction Detection has negligible aggregate impact (it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dominates,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To check the automated metrics against human judgement, six peer volunteers (three Final-Year BSc and three MSc Computer Science students, outside the project supervisory chain) each scored 20 B3-Generative query / output pairs between 14 and 18 April 2026 against a 1-to-5 Likert rubric (Correctness, Groundedness, Citation Usefulness, Usefulness,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I ran the sessions myself rather than handing them to a blind facilitator, so the results are a useful sanity check on the automated numbers rather than independent validation.</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line up with the automated findings. Direct-answer cases scored 4.8 / 4.9 on Correctness and Groundedness, which matches Table 4.2’s low unsupported-claim rate on the same queries. Correct abstentions hit the ceiling on Correctness and Groundedness but dropped to 3.0 on Usefulness — the same trade-off §4.5 surfaces analytically. Over-abstention cases collapsed to 3.2 / 3.8 on Correctness and Trust Calibration, identifying the same operating-point pain. Contradiction probes scored 4.6 / 4.2 / 4.6, indicating surfaced contradictions were generally trusted as legitimate. The full per-category breakdown and the five themes coded from comments are in Appendix B.10. These numbers point in the same direction as the automated metrics, but they come from a small, non-blinded, non-domain-expert sample, so they should be read as supporting evidence rather than independent confirmation. A follow-up with domain-expert raters and full blinding is future work (§5.3).</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check whether the same safety behaviour (no fabricated citations, conservative refusal on weak evidence) still held on documents I did not write, I ran the same B3 system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has 8 documents, 249 paragraphs, and a 20-query test set (12 answerable, 4 unanswerable, 4 ambiguous-evidence cases), with provenance, licence, and access dates recorded in Appendix B.11. Because no LLM API key was used in this run, only B3-Extractive is reported; a generative transfer test is listed as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Safety property survives</w:t>
            </w:r>
          </w:p>
        </w:tc>
      </w:tr>
    </w:tbl>
    <w:p>
      <w:pPr>
        <w:jc w:val="both"/>
      </w:pPr>
      <w:r>
        <w:t xml:space="preserve">The headline observation is that on this small public-corpus stress test the safety property held up: Citation Precision stayed at 100% (true by construction in Extractive Mode) and Ungrounded Rate stayed at 0%, so on the 20-query set the system did not produce an answer that conflicted with its cited evidence on the unfamiliar text. Coverage is broadly preserved (91.7% Answer Rate vs 89% on synthetic). The visible costs are a noticeable drop in retrieval quality (Evidence Recall@5 halves from 85% to 52.1%) and one over-confident answer on an unanswerable query (q_t16 about Cisco router configuration), where BM25 keyword overlap on the word</w:t>
      </w:r>
      <w:r>
        <w:t xml:space="preserve"> </w:t>
      </w:r>
      <w:r>
        <w:t xml:space="preserve">“configure”</w:t>
      </w:r>
      <w:r>
        <w:t xml:space="preserve"> </w:t>
      </w:r>
      <w:r>
        <w:t xml:space="preserve">matched NCSC device-security guidance. When the system did fail on these unfamiliar documents, it failed in the way the design intended — by being too confident on a borderline query rather than by inventing new content. §5.2 returns to this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reaches 89%, which is close to the 85% target, but a quoted paragraph is not the same kind of answer as a synthesised one, so I have marked Objective 2 as partially met rather than met. Objective 5 misses by 0.2 pp due to inherent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a reranker is worth the engineering effort before trying anything more elaborate,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jc w:val="both"/>
      </w:pPr>
      <w:r>
        <w:t xml:space="preserve">Taken together, the results support a fairly narrow claim. On this synthetic corpus, three checks (refusing when the reranker is not confident, dropping claims whose cited paragraph does not actually support them, and surfacing contradictions across documents) substantially reduced the unsupported-claim rate compared with a standard RAG baseline. The important caveat is that the coverage / precision balance would have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On a small unfamiliar OGL-licensed corpus from NCSC, ICO, and ACAS, B3-Extractive still produced zero fabricated citations and a 0% ungrounded rate, but retrieval recall roughly halved compared with the synthetic test split.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provides triangulation against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more rigorous follow-up evaluation would use at least two independent domain-expert raters, full blinding, and per-item ratings stored at collection time (Es et al., 2023).</w:t>
      </w:r>
    </w:p>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with 195 test cases across 39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the repository is public; no special access is required for marking verification.)</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rPr>
          <w:b/>
          <w:bCs/>
        </w:rPr>
        <w:t xml:space="preserve">Policy Corpus</w:t>
      </w:r>
      <w:r>
        <w:t xml:space="preserve"> </w:t>
      </w:r>
      <w:r>
        <w:t xml:space="preserve">(synthetic, project data, not report prose): three synthetic policy PDFs were generated using GPT-4o with detailed prompts specifying structure, contradictions, and coverage requirements. This corpus is project data used as input to the system, not text that appears as authored prose in this report.</w:t>
      </w:r>
    </w:p>
    <w:p>
      <w:pPr>
        <w:numPr>
          <w:ilvl w:val="0"/>
          <w:numId w:val="1013"/>
        </w:numPr>
        <w:jc w:val="both"/>
      </w:pPr>
      <w:r>
        <w:rPr>
          <w:b/>
          <w:bCs/>
        </w:rPr>
        <w:t xml:space="preserve">Golden Set</w:t>
      </w:r>
      <w:r>
        <w:t xml:space="preserve"> </w:t>
      </w:r>
      <w:r>
        <w:t xml:space="preserve">(synthetic): 63 queries manually crafted and auto-labelled against the synthetic corpus.</w:t>
      </w:r>
    </w:p>
    <w:p>
      <w:pPr>
        <w:numPr>
          <w:ilvl w:val="0"/>
          <w:numId w:val="1013"/>
        </w:numPr>
        <w:jc w:val="both"/>
      </w:pPr>
      <w:r>
        <w:rPr>
          <w:b/>
          <w:bCs/>
        </w:rPr>
        <w:t xml:space="preserve">Public Guidance Transfer Corpus</w:t>
      </w:r>
      <w:r>
        <w:t xml:space="preserve"> </w:t>
      </w:r>
      <w:r>
        <w:t xml:space="preserve">(supplementary external data, used only in §4.11): 8 documents / 249 paragraphs drawn from public pages published by the National Cyber Security Centre, the Information Commissioner’s Office, and ACAS. Every source is published under the Open Government Licence v3.0 and contains no personal data.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6" w:name="declaration-1"/>
    <w:p>
      <w:pPr>
        <w:pStyle w:val="Heading4"/>
      </w:pPr>
      <w:r>
        <w:t xml:space="preserve">Declaration</w:t>
      </w:r>
    </w:p>
    <w:p>
      <w:pPr>
        <w:jc w:val="both"/>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6"/>
    <w:bookmarkStart w:id="97"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 for the formal Faculty ethics route.</w:t>
            </w:r>
            <w:r>
              <w:rPr>
                <w:rFonts w:ascii="Times New Roman" w:hAnsi="Times New Roman"/>
                <w:color w:val="000000"/>
                <w:sz w:val="20"/>
              </w:rPr>
              <w:t xml:space="preserve"> </w:t>
            </w:r>
            <w:r>
              <w:rPr>
                <w:rFonts w:ascii="Times New Roman" w:hAnsi="Times New Roman"/>
                <w:color w:val="000000"/>
                <w:sz w:val="20"/>
              </w:rPr>
              <w:t xml:space="preserve">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195 automated tests (across 39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195 passed, 1 skipped in 8.46s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39 test files / 195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I ran a second round of the evaluation, this time recording one Likert score per (reviewer, query, axis) so that I could actually compute an inter-rater agreement number.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end up around α = 0.74, which by Krippendorff’s informal cut-off (α ≥ 0.667) is in the</w:t>
      </w:r>
      <w:r>
        <w:t xml:space="preserve"> </w:t>
      </w:r>
      <w:r>
        <w:t xml:space="preserve">“tentative agreement”</w:t>
      </w:r>
      <w:r>
        <w:t xml:space="preserve"> </w:t>
      </w:r>
      <w:r>
        <w:t xml:space="preserve">band. The other two axes drop below that, but for two different reasons that I had to look at carefully. Groundedness is a textbook ceiling-effect case: 117 of the 120 Likert scores are either 4 or 5, and the binned pairwise agreement is 100%; the Krippendorff value comes out low not because reviewers disagreed but because there was so little variance for the metric to work with. Citation Usefulness has more genuine spread — reviewers sometimes disagreed by a point or two on whether a citation was</w:t>
      </w:r>
      <w:r>
        <w:t xml:space="preserve"> </w:t>
      </w:r>
      <w:r>
        <w:rPr>
          <w:i/>
          <w:iCs/>
        </w:rPr>
        <w:t xml:space="preserve">useful for verification</w:t>
      </w:r>
      <w:r>
        <w:t xml:space="preserve"> </w:t>
      </w:r>
      <w:r>
        <w:t xml:space="preserve">or just</w:t>
      </w:r>
      <w:r>
        <w:t xml:space="preserve"> </w:t>
      </w:r>
      <w:r>
        <w:rPr>
          <w:i/>
          <w:iCs/>
        </w:rPr>
        <w:t xml:space="preserve">present</w:t>
      </w:r>
      <w:r>
        <w:t xml:space="preserve">. The Round 2 means come out within about 0.5 of the Round 1 aggregates on every axis but are uniformly slightly lower; the cause is structural rather than substantive. In Round 1 each reviewer gave one number per axis as an overall impression of the 20 cases, while Round 2 averages 120 (participant, query) scores. Per-query averaging gives equal weight to the four over-abstention queries (Q09-Q12, where reviewers consistently scored Correctness and Usefulness 1-3), so those cases pull the per-axis means down rather than being smoothed out by overall impression. The Round 1 aggregate (Table B.3) and the Round 2 per-query CSV (</w:t>
      </w:r>
      <w:r>
        <w:rPr>
          <w:rStyle w:val="VerbatimChar"/>
        </w:rPr>
        <w:t xml:space="preserve">anonymised_scores.csv</w:t>
      </w:r>
      <w:r>
        <w:t xml:space="preserve"> </w:t>
      </w:r>
      <w:r>
        <w:t xml:space="preserve">and</w:t>
      </w:r>
      <w:r>
        <w:t xml:space="preserve"> </w:t>
      </w:r>
      <w:r>
        <w:rPr>
          <w:rStyle w:val="VerbatimChar"/>
        </w:rPr>
        <w:t xml:space="preserve">per_query_anonymised_scores.csv</w:t>
      </w:r>
      <w:r>
        <w:t xml:space="preserve"> </w:t>
      </w:r>
      <w:r>
        <w:t xml:space="preserve">under</w:t>
      </w:r>
      <w:r>
        <w:t xml:space="preserve"> </w:t>
      </w:r>
      <w:r>
        <w:rPr>
          <w:rStyle w:val="VerbatimChar"/>
        </w:rPr>
        <w:t xml:space="preserve">docs/evidence/human_eval/</w:t>
      </w:r>
      <w:r>
        <w:t xml:space="preserve">) are both archived; neither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production-quality follow-up would employ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production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the safety property of returning verbatim corpus paragraphs is confirmed empirically.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rates are reported as</w:t>
      </w:r>
      <w:r>
        <w:t xml:space="preserve"> </w:t>
      </w:r>
      <w:r>
        <w:rPr>
          <w:rStyle w:val="VerbatimChar"/>
        </w:rPr>
        <w:t xml:space="preserve">n/a</w:t>
      </w:r>
      <w:r>
        <w:t xml:space="preserve"> </w:t>
      </w:r>
      <w:r>
        <w:t xml:space="preserve">rather than fabricated,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will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2026-05-12T21:54:37Z</dcterms:created>
  <dcterms:modified xsi:type="dcterms:W3CDTF">2026-05-12T21:54:37Z</dcterms:modified>
</cp:coreProperties>
</file>

<file path=docProps/custom.xml><?xml version="1.0" encoding="utf-8"?>
<Properties xmlns="http://schemas.openxmlformats.org/officeDocument/2006/custom-properties" xmlns:vt="http://schemas.openxmlformats.org/officeDocument/2006/docPropsVTypes"/>
</file>