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4E6EA" w14:textId="77777777" w:rsidR="006E4D80" w:rsidRPr="006E4D80" w:rsidRDefault="006E4D80" w:rsidP="006E4D80">
      <w:pPr>
        <w:rPr>
          <w:b/>
          <w:bCs/>
        </w:rPr>
      </w:pPr>
      <w:r w:rsidRPr="006E4D80">
        <w:rPr>
          <w:rFonts w:ascii="Segoe UI Emoji" w:hAnsi="Segoe UI Emoji" w:cs="Segoe UI Emoji"/>
          <w:b/>
          <w:bCs/>
        </w:rPr>
        <w:t>🌍</w:t>
      </w:r>
      <w:r w:rsidRPr="006E4D80">
        <w:rPr>
          <w:b/>
          <w:bCs/>
        </w:rPr>
        <w:t xml:space="preserve"> Apertura – Benessere in Europa (2000–2024)</w:t>
      </w:r>
    </w:p>
    <w:p w14:paraId="247B85BD" w14:textId="77777777" w:rsidR="006E4D80" w:rsidRPr="006E4D80" w:rsidRDefault="006E4D80" w:rsidP="006E4D80">
      <w:r w:rsidRPr="006E4D80">
        <w:rPr>
          <w:i/>
          <w:iCs/>
        </w:rPr>
        <w:t>(scheletro pronto da completare)</w:t>
      </w:r>
    </w:p>
    <w:p w14:paraId="31C65856" w14:textId="77777777" w:rsidR="006E4D80" w:rsidRPr="006E4D80" w:rsidRDefault="006E4D80" w:rsidP="006E4D80">
      <w:pPr>
        <w:rPr>
          <w:b/>
          <w:bCs/>
        </w:rPr>
      </w:pPr>
      <w:r w:rsidRPr="006E4D80">
        <w:rPr>
          <w:b/>
          <w:bCs/>
        </w:rPr>
        <w:t>1. Introduzione al contesto europeo</w:t>
      </w:r>
    </w:p>
    <w:p w14:paraId="2137A952" w14:textId="77777777" w:rsidR="006E4D80" w:rsidRPr="006E4D80" w:rsidRDefault="006E4D80" w:rsidP="006E4D80">
      <w:r w:rsidRPr="006E4D80">
        <w:t>Negli ultimi vent’anni, l’Europa ha attraversato una serie di shock economici e geopolitici che hanno avuto un impatto diretto sul benessere dei cittadini: la crisi finanziaria del 2008, la crisi del debito sovrano, la pandemia di COVID-19, l’aumento dell’inflazione tra il 2021 e il 2023 e, più recentemente, il conflitto in Ucraina.</w:t>
      </w:r>
    </w:p>
    <w:p w14:paraId="6F676C9A" w14:textId="77777777" w:rsidR="006E4D80" w:rsidRPr="006E4D80" w:rsidRDefault="006E4D80" w:rsidP="006E4D80">
      <w:r w:rsidRPr="006E4D80">
        <w:t xml:space="preserve">Per visualizzare come i Paesi europei hanno reagito a questi eventi, abbiamo costruito un </w:t>
      </w:r>
      <w:r w:rsidRPr="006E4D80">
        <w:rPr>
          <w:b/>
          <w:bCs/>
        </w:rPr>
        <w:t>Indice di Benessere Aggregato</w:t>
      </w:r>
      <w:r w:rsidRPr="006E4D80">
        <w:t xml:space="preserve"> che combina dimensioni economiche, sociali e di stabilità.</w:t>
      </w:r>
    </w:p>
    <w:p w14:paraId="6DBE4A87" w14:textId="77777777" w:rsidR="006E4D80" w:rsidRPr="006E4D80" w:rsidRDefault="006E4D80" w:rsidP="006E4D80">
      <w:r w:rsidRPr="006E4D80">
        <w:pict w14:anchorId="36B059A4">
          <v:rect id="_x0000_i1049" style="width:0;height:1.5pt" o:hralign="center" o:hrstd="t" o:hr="t" fillcolor="#a0a0a0" stroked="f"/>
        </w:pict>
      </w:r>
    </w:p>
    <w:p w14:paraId="383DFD2D" w14:textId="77777777" w:rsidR="006E4D80" w:rsidRPr="006E4D80" w:rsidRDefault="006E4D80" w:rsidP="006E4D80">
      <w:pPr>
        <w:rPr>
          <w:b/>
          <w:bCs/>
        </w:rPr>
      </w:pPr>
      <w:r w:rsidRPr="006E4D80">
        <w:rPr>
          <w:b/>
          <w:bCs/>
        </w:rPr>
        <w:t>2. Distribuzione geografica del benessere</w:t>
      </w:r>
    </w:p>
    <w:p w14:paraId="3D2682FC" w14:textId="77777777" w:rsidR="006E4D80" w:rsidRPr="006E4D80" w:rsidRDefault="006E4D80" w:rsidP="006E4D80">
      <w:r w:rsidRPr="006E4D80">
        <w:t>La mappa interattiva mostra come il livello di benessere sia evoluto nel tempo nei diversi Paesi europei.</w:t>
      </w:r>
      <w:r w:rsidRPr="006E4D80">
        <w:br/>
        <w:t>Il colore più scuro indica un valore dell’indice più elevato, mentre i colori più chiari rappresentano valori inferiori.</w:t>
      </w:r>
    </w:p>
    <w:p w14:paraId="097BDD02" w14:textId="77777777" w:rsidR="006E4D80" w:rsidRPr="006E4D80" w:rsidRDefault="006E4D80" w:rsidP="006E4D80">
      <w:r w:rsidRPr="006E4D80">
        <w:rPr>
          <w:rFonts w:ascii="Segoe UI Emoji" w:hAnsi="Segoe UI Emoji" w:cs="Segoe UI Emoji"/>
        </w:rPr>
        <w:t>🔎</w:t>
      </w:r>
      <w:r w:rsidRPr="006E4D80">
        <w:t xml:space="preserve"> </w:t>
      </w:r>
      <w:r w:rsidRPr="006E4D80">
        <w:rPr>
          <w:b/>
          <w:bCs/>
        </w:rPr>
        <w:t>Osservazione generale (</w:t>
      </w:r>
      <w:proofErr w:type="spellStart"/>
      <w:r w:rsidRPr="006E4D80">
        <w:rPr>
          <w:b/>
          <w:bCs/>
        </w:rPr>
        <w:t>placeholder</w:t>
      </w:r>
      <w:proofErr w:type="spellEnd"/>
      <w:r w:rsidRPr="006E4D80">
        <w:rPr>
          <w:b/>
          <w:bCs/>
        </w:rPr>
        <w:t>):</w:t>
      </w:r>
    </w:p>
    <w:p w14:paraId="6FDA58EF" w14:textId="77777777" w:rsidR="006E4D80" w:rsidRPr="006E4D80" w:rsidRDefault="006E4D80" w:rsidP="006E4D80">
      <w:r w:rsidRPr="006E4D80">
        <w:rPr>
          <w:i/>
          <w:iCs/>
        </w:rPr>
        <w:t>Qui inseriremo l’analisi dei pattern geografici principali: es. Nord Europa con valori più alti, Est Europa più basso, recuperi progressivi nel Sud, ecc.</w:t>
      </w:r>
    </w:p>
    <w:p w14:paraId="2692C668" w14:textId="77777777" w:rsidR="006E4D80" w:rsidRPr="006E4D80" w:rsidRDefault="006E4D80" w:rsidP="006E4D80">
      <w:r w:rsidRPr="006E4D80">
        <w:pict w14:anchorId="266BAD70">
          <v:rect id="_x0000_i1050" style="width:0;height:1.5pt" o:hralign="center" o:hrstd="t" o:hr="t" fillcolor="#a0a0a0" stroked="f"/>
        </w:pict>
      </w:r>
    </w:p>
    <w:p w14:paraId="67D247BD" w14:textId="77777777" w:rsidR="006E4D80" w:rsidRPr="006E4D80" w:rsidRDefault="006E4D80" w:rsidP="006E4D80">
      <w:pPr>
        <w:rPr>
          <w:b/>
          <w:bCs/>
        </w:rPr>
      </w:pPr>
      <w:r w:rsidRPr="006E4D80">
        <w:rPr>
          <w:b/>
          <w:bCs/>
        </w:rPr>
        <w:t>3. Evoluzione nel tempo: cosa succede quando scorriamo lo slider?</w:t>
      </w:r>
    </w:p>
    <w:p w14:paraId="09171433" w14:textId="77777777" w:rsidR="006E4D80" w:rsidRPr="006E4D80" w:rsidRDefault="006E4D80" w:rsidP="006E4D80">
      <w:r w:rsidRPr="006E4D80">
        <w:t>Scorrendo gli anni sulla mappa emergono due dinamiche principali:</w:t>
      </w:r>
    </w:p>
    <w:p w14:paraId="556EA9A4" w14:textId="77777777" w:rsidR="006E4D80" w:rsidRPr="006E4D80" w:rsidRDefault="006E4D80" w:rsidP="006E4D80">
      <w:pPr>
        <w:numPr>
          <w:ilvl w:val="0"/>
          <w:numId w:val="1"/>
        </w:numPr>
      </w:pPr>
      <w:r w:rsidRPr="006E4D80">
        <w:rPr>
          <w:b/>
          <w:bCs/>
        </w:rPr>
        <w:t>Tendenze a lungo periodo</w:t>
      </w:r>
    </w:p>
    <w:p w14:paraId="116ECC80" w14:textId="77777777" w:rsidR="006E4D80" w:rsidRPr="006E4D80" w:rsidRDefault="006E4D80" w:rsidP="006E4D80">
      <w:r w:rsidRPr="006E4D80">
        <w:rPr>
          <w:i/>
          <w:iCs/>
        </w:rPr>
        <w:t>[Inseriremo qui un commento sul miglioramento o peggioramento generale dell’indice in Europa dal 2000 al 2024]</w:t>
      </w:r>
    </w:p>
    <w:p w14:paraId="62A80EC2" w14:textId="77777777" w:rsidR="006E4D80" w:rsidRPr="006E4D80" w:rsidRDefault="006E4D80" w:rsidP="006E4D80">
      <w:pPr>
        <w:numPr>
          <w:ilvl w:val="0"/>
          <w:numId w:val="1"/>
        </w:numPr>
      </w:pPr>
      <w:r w:rsidRPr="006E4D80">
        <w:rPr>
          <w:b/>
          <w:bCs/>
        </w:rPr>
        <w:t>Effetti degli shock storici</w:t>
      </w:r>
    </w:p>
    <w:p w14:paraId="644B1485" w14:textId="77777777" w:rsidR="006E4D80" w:rsidRPr="006E4D80" w:rsidRDefault="006E4D80" w:rsidP="006E4D80">
      <w:r w:rsidRPr="006E4D80">
        <w:rPr>
          <w:i/>
          <w:iCs/>
        </w:rPr>
        <w:t>[Qui andrà l’analisi dei momenti in cui il colore medio dell’Europa cambia visibilmente: 2008, 2010-12, 2020, 2022]</w:t>
      </w:r>
    </w:p>
    <w:p w14:paraId="2F5F2FAC" w14:textId="77777777" w:rsidR="006E4D80" w:rsidRPr="006E4D80" w:rsidRDefault="006E4D80" w:rsidP="006E4D80">
      <w:r w:rsidRPr="006E4D80">
        <w:pict w14:anchorId="0BE978C2">
          <v:rect id="_x0000_i1051" style="width:0;height:1.5pt" o:hralign="center" o:hrstd="t" o:hr="t" fillcolor="#a0a0a0" stroked="f"/>
        </w:pict>
      </w:r>
    </w:p>
    <w:p w14:paraId="71B4AEE6" w14:textId="77777777" w:rsidR="006E4D80" w:rsidRPr="006E4D80" w:rsidRDefault="006E4D80" w:rsidP="006E4D80">
      <w:pPr>
        <w:rPr>
          <w:b/>
          <w:bCs/>
        </w:rPr>
      </w:pPr>
      <w:r w:rsidRPr="006E4D80">
        <w:rPr>
          <w:b/>
          <w:bCs/>
        </w:rPr>
        <w:t>4. Focus: dove si posiziona la Svizzera rispetto al resto d’Europa?</w:t>
      </w:r>
    </w:p>
    <w:p w14:paraId="3BA6B074" w14:textId="77777777" w:rsidR="006E4D80" w:rsidRPr="006E4D80" w:rsidRDefault="006E4D80" w:rsidP="006E4D80">
      <w:r w:rsidRPr="006E4D80">
        <w:t xml:space="preserve">Una delle prime cose che si nota dalla visualizzazione è che la </w:t>
      </w:r>
      <w:r w:rsidRPr="006E4D80">
        <w:rPr>
          <w:b/>
          <w:bCs/>
        </w:rPr>
        <w:t>Svizzera mantiene valori elevati e stabili</w:t>
      </w:r>
      <w:r w:rsidRPr="006E4D80">
        <w:t xml:space="preserve"> lungo tutto l’arco temporale.</w:t>
      </w:r>
    </w:p>
    <w:p w14:paraId="04CC3892" w14:textId="77777777" w:rsidR="006E4D80" w:rsidRPr="006E4D80" w:rsidRDefault="006E4D80" w:rsidP="006E4D80">
      <w:r w:rsidRPr="006E4D80">
        <w:rPr>
          <w:rFonts w:ascii="Segoe UI Emoji" w:hAnsi="Segoe UI Emoji" w:cs="Segoe UI Emoji"/>
        </w:rPr>
        <w:t>➡️</w:t>
      </w:r>
      <w:r w:rsidRPr="006E4D80">
        <w:t xml:space="preserve"> </w:t>
      </w:r>
      <w:r w:rsidRPr="006E4D80">
        <w:rPr>
          <w:b/>
          <w:bCs/>
        </w:rPr>
        <w:t>Osservazione (</w:t>
      </w:r>
      <w:proofErr w:type="spellStart"/>
      <w:r w:rsidRPr="006E4D80">
        <w:rPr>
          <w:b/>
          <w:bCs/>
        </w:rPr>
        <w:t>placeholder</w:t>
      </w:r>
      <w:proofErr w:type="spellEnd"/>
      <w:r w:rsidRPr="006E4D80">
        <w:rPr>
          <w:b/>
          <w:bCs/>
        </w:rPr>
        <w:t>):</w:t>
      </w:r>
    </w:p>
    <w:p w14:paraId="29A2F821" w14:textId="77777777" w:rsidR="006E4D80" w:rsidRPr="006E4D80" w:rsidRDefault="006E4D80" w:rsidP="006E4D80">
      <w:r w:rsidRPr="006E4D80">
        <w:rPr>
          <w:i/>
          <w:iCs/>
        </w:rPr>
        <w:lastRenderedPageBreak/>
        <w:t>[Inseriremo qui l’evidenza grafica: ad esempio, Svizzera sempre nei colori più scuri anche durante gli shock]</w:t>
      </w:r>
    </w:p>
    <w:p w14:paraId="6C15E194" w14:textId="77777777" w:rsidR="006E4D80" w:rsidRPr="006E4D80" w:rsidRDefault="006E4D80" w:rsidP="006E4D80">
      <w:r w:rsidRPr="006E4D80">
        <w:t>Questa stabilità la distingue nettamente da molti Paesi dell’UE, il cui livello di benessere è più sensibile agli eventi economici globali.</w:t>
      </w:r>
    </w:p>
    <w:p w14:paraId="1E7BD192" w14:textId="77777777" w:rsidR="006E4D80" w:rsidRPr="006E4D80" w:rsidRDefault="006E4D80" w:rsidP="006E4D80">
      <w:r w:rsidRPr="006E4D80">
        <w:pict w14:anchorId="16CA6081">
          <v:rect id="_x0000_i1052" style="width:0;height:1.5pt" o:hralign="center" o:hrstd="t" o:hr="t" fillcolor="#a0a0a0" stroked="f"/>
        </w:pict>
      </w:r>
    </w:p>
    <w:p w14:paraId="0F23899C" w14:textId="77777777" w:rsidR="006E4D80" w:rsidRPr="006E4D80" w:rsidRDefault="006E4D80" w:rsidP="006E4D80">
      <w:pPr>
        <w:rPr>
          <w:b/>
          <w:bCs/>
        </w:rPr>
      </w:pPr>
      <w:r w:rsidRPr="006E4D80">
        <w:rPr>
          <w:b/>
          <w:bCs/>
        </w:rPr>
        <w:t>5. Transizione verso lo zoom-in sulla Svizzera</w:t>
      </w:r>
    </w:p>
    <w:p w14:paraId="6162E8A8" w14:textId="77777777" w:rsidR="006E4D80" w:rsidRPr="006E4D80" w:rsidRDefault="006E4D80" w:rsidP="006E4D80">
      <w:r w:rsidRPr="006E4D80">
        <w:t>Questa analisi panoramica dell’Europa evidenzia un elemento chiave:</w:t>
      </w:r>
      <w:r w:rsidRPr="006E4D80">
        <w:br/>
      </w:r>
      <w:r w:rsidRPr="006E4D80">
        <w:rPr>
          <w:b/>
          <w:bCs/>
        </w:rPr>
        <w:t xml:space="preserve">la Svizzera è un </w:t>
      </w:r>
      <w:proofErr w:type="spellStart"/>
      <w:r w:rsidRPr="006E4D80">
        <w:rPr>
          <w:b/>
          <w:bCs/>
        </w:rPr>
        <w:t>outlier</w:t>
      </w:r>
      <w:proofErr w:type="spellEnd"/>
      <w:r w:rsidRPr="006E4D80">
        <w:rPr>
          <w:b/>
          <w:bCs/>
        </w:rPr>
        <w:t xml:space="preserve"> positivo</w:t>
      </w:r>
      <w:r w:rsidRPr="006E4D80">
        <w:t>.</w:t>
      </w:r>
    </w:p>
    <w:p w14:paraId="2A845DB5" w14:textId="77777777" w:rsidR="006E4D80" w:rsidRPr="006E4D80" w:rsidRDefault="006E4D80" w:rsidP="006E4D80">
      <w:r w:rsidRPr="006E4D80">
        <w:t>Non solo si colloca costantemente nelle prime posizioni, ma mostra anche una sorprendente capacità di resistere agli shock economici.</w:t>
      </w:r>
    </w:p>
    <w:p w14:paraId="330BB914" w14:textId="77777777" w:rsidR="006E4D80" w:rsidRPr="006E4D80" w:rsidRDefault="006E4D80" w:rsidP="006E4D80">
      <w:r w:rsidRPr="006E4D80">
        <w:rPr>
          <w:rFonts w:ascii="Segoe UI Emoji" w:hAnsi="Segoe UI Emoji" w:cs="Segoe UI Emoji"/>
        </w:rPr>
        <w:t>👉</w:t>
      </w:r>
      <w:r w:rsidRPr="006E4D80">
        <w:t xml:space="preserve"> Per capire </w:t>
      </w:r>
      <w:r w:rsidRPr="006E4D80">
        <w:rPr>
          <w:i/>
          <w:iCs/>
        </w:rPr>
        <w:t>perché</w:t>
      </w:r>
      <w:r w:rsidRPr="006E4D80">
        <w:t xml:space="preserve"> accade questo, passiamo ora a un </w:t>
      </w:r>
      <w:r w:rsidRPr="006E4D80">
        <w:rPr>
          <w:b/>
          <w:bCs/>
        </w:rPr>
        <w:t>approfondimento dedicato</w:t>
      </w:r>
      <w:r w:rsidRPr="006E4D80">
        <w:t xml:space="preserve"> al caso svizzero: come si compone il suo indice? quali variabili rimangono costanti anche nei momenti di crisi? quali fattori storici, economici e politici spiegano la sua resilienza?</w:t>
      </w:r>
    </w:p>
    <w:p w14:paraId="57356CE3" w14:textId="492BAE24" w:rsidR="006E4D80" w:rsidRDefault="006E4D80">
      <w:r>
        <w:t>------------------------------------------------------------------------------------------------------------------</w:t>
      </w:r>
    </w:p>
    <w:p w14:paraId="51EB7911" w14:textId="77777777" w:rsidR="006E4D80" w:rsidRDefault="006E4D80"/>
    <w:sectPr w:rsidR="006E4D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B3744"/>
    <w:multiLevelType w:val="multilevel"/>
    <w:tmpl w:val="E41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08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80"/>
    <w:rsid w:val="006E4D80"/>
    <w:rsid w:val="00CB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D96739"/>
  <w15:chartTrackingRefBased/>
  <w15:docId w15:val="{F9CDB8E4-64E2-4210-82AC-C82A595F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E4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4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4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4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E4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4D8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4D8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4D8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4D8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4D8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4D8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4D8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4D8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4D8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4D8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4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Grosso Manuel</dc:creator>
  <cp:keywords/>
  <dc:description/>
  <cp:lastModifiedBy>Grosso Manuel</cp:lastModifiedBy>
  <cp:revision>1</cp:revision>
  <dcterms:created xsi:type="dcterms:W3CDTF">2025-12-06T18:02:00Z</dcterms:created>
  <dcterms:modified xsi:type="dcterms:W3CDTF">2025-12-06T18:03:00Z</dcterms:modified>
</cp:coreProperties>
</file>