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color w:val="222222"/>
          <w:sz w:val="20"/>
          <w:szCs w:val="20"/>
        </w:rPr>
      </w:pPr>
      <w:r w:rsidDel="00000000" w:rsidR="00000000" w:rsidRPr="00000000">
        <w:rPr>
          <w:color w:val="222222"/>
          <w:sz w:val="20"/>
          <w:szCs w:val="20"/>
          <w:rtl w:val="0"/>
        </w:rPr>
        <w:t xml:space="preserve">Asimismo, luego de las exposiciones, continuaremos trabajando con el script prueba.py. Primero instalaremos todas las librerías necesarias para que puedan ejecutar los demás códigos sin inconvenientes, y luego empezaremos con el desarrollo del blog (PC4).</w:t>
      </w:r>
    </w:p>
    <w:p w:rsidR="00000000" w:rsidDel="00000000" w:rsidP="00000000" w:rsidRDefault="00000000" w:rsidRPr="00000000" w14:paraId="00000002">
      <w:pPr>
        <w:shd w:fill="ffffff" w:val="clear"/>
        <w:spacing w:after="200" w:before="200" w:lineRule="auto"/>
        <w:rPr>
          <w:color w:val="222222"/>
          <w:sz w:val="20"/>
          <w:szCs w:val="20"/>
          <w:highlight w:val="green"/>
        </w:rPr>
      </w:pPr>
      <w:r w:rsidDel="00000000" w:rsidR="00000000" w:rsidRPr="00000000">
        <w:rPr>
          <w:color w:val="222222"/>
          <w:sz w:val="20"/>
          <w:szCs w:val="20"/>
          <w:rtl w:val="0"/>
        </w:rPr>
        <w:t xml:space="preserve">No olviden tener listos los siguientes archivos: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200" w:lineRule="auto"/>
        <w:ind w:left="940" w:hanging="360"/>
        <w:rPr>
          <w:sz w:val="20"/>
          <w:szCs w:val="20"/>
          <w:highlight w:val="green"/>
        </w:rPr>
      </w:pPr>
      <w:r w:rsidDel="00000000" w:rsidR="00000000" w:rsidRPr="00000000">
        <w:rPr>
          <w:color w:val="222222"/>
          <w:sz w:val="20"/>
          <w:szCs w:val="20"/>
          <w:highlight w:val="green"/>
          <w:rtl w:val="0"/>
        </w:rPr>
        <w:t xml:space="preserve">Una foto de perfil (formato .png o .jpg)</w:t>
      </w:r>
    </w:p>
    <w:p w:rsidR="00000000" w:rsidDel="00000000" w:rsidP="00000000" w:rsidRDefault="00000000" w:rsidRPr="00000000" w14:paraId="00000004">
      <w:pPr>
        <w:numPr>
          <w:ilvl w:val="0"/>
          <w:numId w:val="1"/>
        </w:numPr>
        <w:shd w:fill="ffffff" w:val="clear"/>
        <w:spacing w:after="0" w:afterAutospacing="0" w:before="0" w:beforeAutospacing="0" w:lineRule="auto"/>
        <w:ind w:left="940" w:hanging="360"/>
        <w:rPr>
          <w:sz w:val="20"/>
          <w:szCs w:val="20"/>
        </w:rPr>
      </w:pPr>
      <w:r w:rsidDel="00000000" w:rsidR="00000000" w:rsidRPr="00000000">
        <w:rPr>
          <w:color w:val="222222"/>
          <w:sz w:val="20"/>
          <w:szCs w:val="20"/>
          <w:rtl w:val="0"/>
        </w:rPr>
        <w:t xml:space="preserve">U</w:t>
      </w:r>
      <w:r w:rsidDel="00000000" w:rsidR="00000000" w:rsidRPr="00000000">
        <w:rPr>
          <w:color w:val="222222"/>
          <w:sz w:val="20"/>
          <w:szCs w:val="20"/>
          <w:highlight w:val="green"/>
          <w:rtl w:val="0"/>
        </w:rPr>
        <w:t xml:space="preserve">na breve presentación personal (documento Word)</w:t>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rPr>
          <w:sz w:val="20"/>
          <w:szCs w:val="20"/>
          <w:highlight w:val="green"/>
        </w:rPr>
      </w:pPr>
      <w:r w:rsidDel="00000000" w:rsidR="00000000" w:rsidRPr="00000000">
        <w:rPr>
          <w:color w:val="222222"/>
          <w:sz w:val="20"/>
          <w:szCs w:val="20"/>
          <w:highlight w:val="green"/>
          <w:rtl w:val="0"/>
        </w:rPr>
        <w:t xml:space="preserve">El enlace a un video realizado en la PC1 o PC2</w:t>
      </w:r>
    </w:p>
    <w:p w:rsidR="00000000" w:rsidDel="00000000" w:rsidP="00000000" w:rsidRDefault="00000000" w:rsidRPr="00000000" w14:paraId="00000006">
      <w:pPr>
        <w:numPr>
          <w:ilvl w:val="0"/>
          <w:numId w:val="1"/>
        </w:numPr>
        <w:shd w:fill="ffffff" w:val="clear"/>
        <w:spacing w:after="0" w:afterAutospacing="0" w:before="0" w:beforeAutospacing="0" w:lineRule="auto"/>
        <w:ind w:left="940" w:hanging="360"/>
        <w:rPr>
          <w:sz w:val="20"/>
          <w:szCs w:val="20"/>
          <w:highlight w:val="darkBlue"/>
        </w:rPr>
      </w:pPr>
      <w:r w:rsidDel="00000000" w:rsidR="00000000" w:rsidRPr="00000000">
        <w:rPr>
          <w:color w:val="222222"/>
          <w:sz w:val="20"/>
          <w:szCs w:val="20"/>
          <w:highlight w:val="darkBlue"/>
          <w:rtl w:val="0"/>
        </w:rPr>
        <w:t xml:space="preserve">Un breve testimonio sobre su experiencia aprendiendo a programar (documento Word)</w:t>
      </w:r>
    </w:p>
    <w:p w:rsidR="00000000" w:rsidDel="00000000" w:rsidP="00000000" w:rsidRDefault="00000000" w:rsidRPr="00000000" w14:paraId="00000007">
      <w:pPr>
        <w:numPr>
          <w:ilvl w:val="0"/>
          <w:numId w:val="1"/>
        </w:numPr>
        <w:shd w:fill="ffffff" w:val="clear"/>
        <w:spacing w:after="0" w:afterAutospacing="0" w:before="0" w:beforeAutospacing="0" w:lineRule="auto"/>
        <w:ind w:left="940" w:hanging="360"/>
        <w:rPr>
          <w:sz w:val="20"/>
          <w:szCs w:val="20"/>
          <w:highlight w:val="green"/>
        </w:rPr>
      </w:pPr>
      <w:r w:rsidDel="00000000" w:rsidR="00000000" w:rsidRPr="00000000">
        <w:rPr>
          <w:color w:val="222222"/>
          <w:sz w:val="20"/>
          <w:szCs w:val="20"/>
          <w:highlight w:val="green"/>
          <w:rtl w:val="0"/>
        </w:rPr>
        <w:t xml:space="preserve">Dos gráficos realizados en la PC2 o PC3 (formato .png o .jpg)</w:t>
      </w:r>
    </w:p>
    <w:p w:rsidR="00000000" w:rsidDel="00000000" w:rsidP="00000000" w:rsidRDefault="00000000" w:rsidRPr="00000000" w14:paraId="00000008">
      <w:pPr>
        <w:numPr>
          <w:ilvl w:val="0"/>
          <w:numId w:val="1"/>
        </w:numPr>
        <w:shd w:fill="ffffff" w:val="clear"/>
        <w:spacing w:after="0" w:afterAutospacing="0" w:before="0" w:beforeAutospacing="0" w:lineRule="auto"/>
        <w:ind w:left="940" w:hanging="360"/>
        <w:rPr>
          <w:sz w:val="20"/>
          <w:szCs w:val="20"/>
          <w:highlight w:val="green"/>
        </w:rPr>
      </w:pPr>
      <w:r w:rsidDel="00000000" w:rsidR="00000000" w:rsidRPr="00000000">
        <w:rPr>
          <w:color w:val="222222"/>
          <w:sz w:val="20"/>
          <w:szCs w:val="20"/>
          <w:highlight w:val="green"/>
          <w:rtl w:val="0"/>
        </w:rPr>
        <w:t xml:space="preserve">Un mapa con Folium de la PC3 (archivo .html)</w:t>
      </w:r>
    </w:p>
    <w:p w:rsidR="00000000" w:rsidDel="00000000" w:rsidP="00000000" w:rsidRDefault="00000000" w:rsidRPr="00000000" w14:paraId="00000009">
      <w:pPr>
        <w:numPr>
          <w:ilvl w:val="0"/>
          <w:numId w:val="1"/>
        </w:numPr>
        <w:shd w:fill="ffffff" w:val="clear"/>
        <w:spacing w:after="200" w:before="0" w:beforeAutospacing="0" w:lineRule="auto"/>
        <w:ind w:left="940" w:hanging="360"/>
        <w:rPr>
          <w:sz w:val="20"/>
          <w:szCs w:val="20"/>
          <w:highlight w:val="magenta"/>
        </w:rPr>
      </w:pPr>
      <w:r w:rsidDel="00000000" w:rsidR="00000000" w:rsidRPr="00000000">
        <w:rPr>
          <w:color w:val="222222"/>
          <w:sz w:val="20"/>
          <w:szCs w:val="20"/>
          <w:highlight w:val="magenta"/>
          <w:rtl w:val="0"/>
        </w:rPr>
        <w:t xml:space="preserve">Breves interpretaciones de cada gráfico y mapa</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PRESENTACIÓN PERSONAL:</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Hola! Soy Nathaly Chávez, estudiante de quinto ciclo de Publicidad y entusiasta de todo lo que combina creatividad, cultura y tecnología. Vengo de Lima, Perú, y me apasionan los temas que conectan el branding personal con la diversidad cultural y la forma en que nos comunicamos en entornos cada vez más digitales.</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El ciclo he estado desarrollando una monografía donde analizo la serie </w:t>
      </w:r>
      <w:r w:rsidDel="00000000" w:rsidR="00000000" w:rsidRPr="00000000">
        <w:rPr>
          <w:i w:val="1"/>
          <w:sz w:val="20"/>
          <w:szCs w:val="20"/>
          <w:rtl w:val="0"/>
        </w:rPr>
        <w:t xml:space="preserve">Emily en París</w:t>
      </w:r>
      <w:r w:rsidDel="00000000" w:rsidR="00000000" w:rsidRPr="00000000">
        <w:rPr>
          <w:sz w:val="20"/>
          <w:szCs w:val="20"/>
          <w:rtl w:val="0"/>
        </w:rPr>
        <w:t xml:space="preserve"> desde una mirada crítica y creativa: ¿cómo influyen la imagen personal y los estereotipos culturales en la percepción de las marcas? Ese tipo de preguntas son las que me motivan a seguir explorando el poder simbólico de la publicidad.</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Además, este semestre me enfrenté por primera vez al mundo de la programación con Python. Al principio fue intimidante, pero luego, entre Google Colab, gráficos interactivos y Visual Studio, descubrí que programar también puede ser una herramienta creativa para visualizar datos, entender patrones y narrar ideas desde otro ángulo. Fue como descubrir otro lenguaje, uno que también comunica.</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En el futuro me gustaría especializarme en diseño visual, branding estratégico y producción digital, combinando lo conceptual con lo técnico. Sueño con desarrollar campañas que no solo impacten, sino que también representen contextos reales y diversas formas de ser.</w:t>
      </w:r>
    </w:p>
    <w:p w:rsidR="00000000" w:rsidDel="00000000" w:rsidP="00000000" w:rsidRDefault="00000000" w:rsidRPr="00000000" w14:paraId="0000001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Y cuando no estoy creando, analizando o programando, me encanta caminar con mi perrita, jugar con apps de edición, armar playlists que reflejan estados de ánimo y, de vez en cuando, soñar despierta con tener mi propio estudio creativo ✨.</w:t>
      </w:r>
    </w:p>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BREVE TESTIMONIO:</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Al inicio del curso, aprender a programar me generaba mucha ansiedad porque era la primera vez que veía Python y no sabía bien por dónde empezar. Todo me sonaba muy técnico y complicado, como si fuera un lenguaje completamente ajeno a mí. Sin embargo, a medida que avanzaban las clases y comenzaba a practicar, especialmente en Google Colab, fui perdiendo miedo. Colab me pareció bastante accesible para principiantes, ya que no necesitaba instalar nada y podía ir ejecutando por bloques, lo que facilitaba mucho el proceso de prueba y error.</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Después empecé a usar Visual Studio Code, y aunque al principio fue un poco más técnico de configurar (como activar entornos virtuales o instalar paquetes), me ayudó a entender mejor cómo funciona realmente Python en mi computadora y me dio más control sobre lo que estaba haciendo. Esa transición me hizo sentir que estaba avanzando hacia un nivel más serio en la programación.</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La programación me ha enseñado a pensar de forma más lógica y ordenada, y sobre todo, a ser paciente conmigo misma cuando algo no sale a la primera. Me gusta que programar te permite crear soluciones a problemas reales, desde algo pequeño como automatizar una tarea hasta visualizar datos de forma interactiva. En el futuro me gustaría usar la programación como una herramienta complementaria a mi carrera, quizás para desarrollar proyectos interactivos, analizar datos de campañas o incluso crear visualizaciones creativas en medios digitales.</w:t>
      </w:r>
    </w:p>
    <w:p w:rsidR="00000000" w:rsidDel="00000000" w:rsidP="00000000" w:rsidRDefault="00000000" w:rsidRPr="00000000" w14:paraId="00000019">
      <w:pPr>
        <w:pStyle w:val="Heading3"/>
        <w:keepNext w:val="0"/>
        <w:keepLines w:val="0"/>
        <w:spacing w:before="280" w:lineRule="auto"/>
        <w:rPr>
          <w:color w:val="000000"/>
          <w:sz w:val="20"/>
          <w:szCs w:val="20"/>
        </w:rPr>
      </w:pPr>
      <w:bookmarkStart w:colFirst="0" w:colLast="0" w:name="_2nwtzio17w1b" w:id="0"/>
      <w:bookmarkEnd w:id="0"/>
      <w:r w:rsidDel="00000000" w:rsidR="00000000" w:rsidRPr="00000000">
        <w:rPr>
          <w:color w:val="000000"/>
          <w:sz w:val="20"/>
          <w:szCs w:val="20"/>
          <w:rtl w:val="0"/>
        </w:rPr>
        <w:t xml:space="preserve">Gráfico: Cantidad de idiomas por familia lingüística</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El gráfico de barras muestra que la familia quechua es la más representada, con 12 lenguas identificadas. Le sigue la familia arawak, con 9 lenguas, y luego la categoría NK (no clasificado), con 7 lenguas. El resto de familias lingüísticas, como Zaparoan, Harakmbut, Chicham, Jíbaro, Pano-Tacanan, Sechuran y otras, presentan entre 1 y 3 lenguas cada una.</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Este panorama refleja una distribución desigual, donde unas pocas familias concentran la mayor parte de las lenguas identificadas, mientras muchas otras están representadas por una sola lengua.</w:t>
      </w:r>
    </w:p>
    <w:p w:rsidR="00000000" w:rsidDel="00000000" w:rsidP="00000000" w:rsidRDefault="00000000" w:rsidRPr="00000000" w14:paraId="0000001C">
      <w:pPr>
        <w:spacing w:after="240" w:before="240" w:lineRule="auto"/>
        <w:rPr>
          <w:sz w:val="20"/>
          <w:szCs w:val="20"/>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color w:val="000000"/>
          <w:sz w:val="20"/>
          <w:szCs w:val="20"/>
        </w:rPr>
      </w:pPr>
      <w:bookmarkStart w:colFirst="0" w:colLast="0" w:name="_q7zfn9hmaklv" w:id="1"/>
      <w:bookmarkEnd w:id="1"/>
      <w:r w:rsidDel="00000000" w:rsidR="00000000" w:rsidRPr="00000000">
        <w:rPr>
          <w:color w:val="000000"/>
          <w:sz w:val="20"/>
          <w:szCs w:val="20"/>
          <w:rtl w:val="0"/>
        </w:rPr>
        <w:t xml:space="preserve">Mapa interactivo</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El mapa muestra la distribución territorial de las lenguas indígenas según su familia lingüística. Cada marcador representa una lengua ubicada en el lugar donde se habla, e indica a qué familia pertenece. Al observar el mapa, se nota que las lenguas quechuas están concentradas principalmente en la zona andina, mientras que las lenguas de la familia arawak se extienden por regiones amazónicas.</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Familias con menos lenguas, como Harakmbut o Zaparoan, aparecen de forma más aislada, generalmente en puntos específicos de la selva. En conjunto, el mapa permite ver que la diversidad lingüística del Perú no solo es amplia, sino también geográficamente dispersa, y que cada familia tiene una distribución particular en el territorio.</w:t>
      </w:r>
    </w:p>
    <w:p w:rsidR="00000000" w:rsidDel="00000000" w:rsidP="00000000" w:rsidRDefault="00000000" w:rsidRPr="00000000" w14:paraId="00000020">
      <w:pPr>
        <w:spacing w:after="240" w:before="240" w:lineRule="auto"/>
        <w:rPr>
          <w:sz w:val="20"/>
          <w:szCs w:val="20"/>
        </w:rPr>
      </w:pPr>
      <w:r w:rsidDel="00000000" w:rsidR="00000000" w:rsidRPr="00000000">
        <w:rPr>
          <w:rtl w:val="0"/>
        </w:rPr>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gráfico circular:</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La distribución de contenido revela una predominancia clara de las películas, que representan el 69.6% del total, frente al 30.4% de las series. Esta desproporción evidencia una orientación marcada hacia el formato cinematográfico, lo cual podría responder a una estrategia de producción más ágil, menor compromiso de continuidad y una mayor facilidad de distribución global. A pesar del auge de las series en la era del streaming, el formato película sigue dominando ampliamente el catálogo.</w:t>
      </w:r>
    </w:p>
    <w:p w:rsidR="00000000" w:rsidDel="00000000" w:rsidP="00000000" w:rsidRDefault="00000000" w:rsidRPr="00000000" w14:paraId="00000023">
      <w:pPr>
        <w:spacing w:after="240" w:before="240" w:lineRule="auto"/>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200" w:before="200" w:lineRule="auto"/>
        <w:ind w:left="940" w:hanging="360"/>
        <w:rPr>
          <w:sz w:val="20"/>
          <w:szCs w:val="20"/>
        </w:rPr>
      </w:pPr>
      <w:r w:rsidDel="00000000" w:rsidR="00000000" w:rsidRPr="00000000">
        <w:rPr>
          <w:color w:val="222222"/>
          <w:sz w:val="20"/>
          <w:szCs w:val="20"/>
          <w:rtl w:val="0"/>
        </w:rPr>
        <w:t xml:space="preserve">l enlace a un video:</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color w:val="1d2125"/>
          <w:sz w:val="20"/>
          <w:szCs w:val="20"/>
        </w:rPr>
      </w:pPr>
      <w:hyperlink r:id="rId6">
        <w:r w:rsidDel="00000000" w:rsidR="00000000" w:rsidRPr="00000000">
          <w:rPr>
            <w:color w:val="1155cc"/>
            <w:sz w:val="20"/>
            <w:szCs w:val="20"/>
            <w:u w:val="single"/>
            <w:rtl w:val="0"/>
          </w:rPr>
          <w:t xml:space="preserve">https://drive.google.com/file/d/1DW2CPiUE9YyIJKcj-UX-uL6APp8wuim5/view?usp=sharing</w:t>
        </w:r>
      </w:hyperlink>
      <w:r w:rsidDel="00000000" w:rsidR="00000000" w:rsidRPr="00000000">
        <w:rPr>
          <w:rtl w:val="0"/>
        </w:rPr>
      </w:r>
    </w:p>
    <w:p w:rsidR="00000000" w:rsidDel="00000000" w:rsidP="00000000" w:rsidRDefault="00000000" w:rsidRPr="00000000" w14:paraId="00000028">
      <w:pPr>
        <w:rPr>
          <w:color w:val="1d2125"/>
          <w:sz w:val="20"/>
          <w:szCs w:val="20"/>
        </w:rPr>
      </w:pPr>
      <w:r w:rsidDel="00000000" w:rsidR="00000000" w:rsidRPr="00000000">
        <w:rPr>
          <w:rtl w:val="0"/>
        </w:rPr>
      </w:r>
    </w:p>
    <w:p w:rsidR="00000000" w:rsidDel="00000000" w:rsidP="00000000" w:rsidRDefault="00000000" w:rsidRPr="00000000" w14:paraId="00000029">
      <w:pPr>
        <w:rPr>
          <w:color w:val="1d2125"/>
          <w:sz w:val="20"/>
          <w:szCs w:val="20"/>
        </w:rPr>
      </w:pPr>
      <w:r w:rsidDel="00000000" w:rsidR="00000000" w:rsidRPr="00000000">
        <w:rPr>
          <w:rtl w:val="0"/>
        </w:rPr>
      </w:r>
    </w:p>
    <w:p w:rsidR="00000000" w:rsidDel="00000000" w:rsidP="00000000" w:rsidRDefault="00000000" w:rsidRPr="00000000" w14:paraId="0000002A">
      <w:pPr>
        <w:rPr>
          <w:color w:val="1d2125"/>
          <w:sz w:val="20"/>
          <w:szCs w:val="20"/>
        </w:rPr>
      </w:pPr>
      <w:hyperlink r:id="rId7">
        <w:r w:rsidDel="00000000" w:rsidR="00000000" w:rsidRPr="00000000">
          <w:rPr>
            <w:color w:val="1155cc"/>
            <w:sz w:val="20"/>
            <w:szCs w:val="20"/>
            <w:u w:val="single"/>
            <w:rtl w:val="0"/>
          </w:rPr>
          <w:t xml:space="preserve">https://drive.google.com/file/d/1jhA_7SI3BQrz7TRb3wIIcg272MgB6rOW/view?usp=sharing</w:t>
        </w:r>
      </w:hyperlink>
      <w:r w:rsidDel="00000000" w:rsidR="00000000" w:rsidRPr="00000000">
        <w:rPr>
          <w:rtl w:val="0"/>
        </w:rPr>
      </w:r>
    </w:p>
    <w:p w:rsidR="00000000" w:rsidDel="00000000" w:rsidP="00000000" w:rsidRDefault="00000000" w:rsidRPr="00000000" w14:paraId="0000002B">
      <w:pPr>
        <w:rPr>
          <w:rFonts w:ascii="Roboto" w:cs="Roboto" w:eastAsia="Roboto" w:hAnsi="Roboto"/>
          <w:color w:val="1d2125"/>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W2CPiUE9YyIJKcj-UX-uL6APp8wuim5/view?usp=sharing" TargetMode="External"/><Relationship Id="rId7" Type="http://schemas.openxmlformats.org/officeDocument/2006/relationships/hyperlink" Target="https://drive.google.com/file/d/1jhA_7SI3BQrz7TRb3wIIcg272MgB6rOW/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