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36"/>
          <w:szCs w:val="36"/>
        </w:rPr>
      </w:pPr>
      <w:r>
        <w:rPr>
          <w:rFonts w:ascii="SourceSansPro-Regular" w:hAnsi="SourceSansPro-Regular" w:cs="SourceSansPro-Regular"/>
          <w:sz w:val="36"/>
          <w:szCs w:val="36"/>
        </w:rPr>
        <w:t>Changing the Data Source for a PBIX File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36"/>
          <w:szCs w:val="36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When you create a Power BI data model (PBIX file), you begin by choosing a data source. When you save the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 xml:space="preserve">PBIX file, the path to the data source(s) used in the file </w:t>
      </w:r>
      <w:proofErr w:type="gramStart"/>
      <w:r>
        <w:rPr>
          <w:rFonts w:ascii="SourceSansPro-Regular" w:hAnsi="SourceSansPro-Regular" w:cs="SourceSansPro-Regular"/>
          <w:sz w:val="23"/>
          <w:szCs w:val="23"/>
        </w:rPr>
        <w:t>are saved</w:t>
      </w:r>
      <w:proofErr w:type="gramEnd"/>
      <w:r>
        <w:rPr>
          <w:rFonts w:ascii="SourceSansPro-Regular" w:hAnsi="SourceSansPro-Regular" w:cs="SourceSansPro-Regular"/>
          <w:sz w:val="23"/>
          <w:szCs w:val="23"/>
        </w:rPr>
        <w:t xml:space="preserve"> in the PBIX. There are many reasons you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might wish to change your data source, including: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• To reconnect to a data source that </w:t>
      </w:r>
      <w:proofErr w:type="gramStart"/>
      <w:r>
        <w:rPr>
          <w:rFonts w:ascii="SourceSansPro-Regular" w:hAnsi="SourceSansPro-Regular" w:cs="SourceSansPro-Regular"/>
          <w:sz w:val="23"/>
          <w:szCs w:val="23"/>
        </w:rPr>
        <w:t>has been moved or copied to a new location, for example, if you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downloaded the exercise</w:t>
      </w:r>
      <w:proofErr w:type="gramEnd"/>
      <w:r>
        <w:rPr>
          <w:rFonts w:ascii="SourceSansPro-Regular" w:hAnsi="SourceSansPro-Regular" w:cs="SourceSansPro-Regular"/>
          <w:sz w:val="23"/>
          <w:szCs w:val="23"/>
        </w:rPr>
        <w:t xml:space="preserve"> files for this course and wish to use the PBIX files that are included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It" w:hAnsi="SourceSansPro-It" w:cs="SourceSansPro-It"/>
          <w:i/>
          <w:iCs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• To use a more current set of data – </w:t>
      </w:r>
      <w:r>
        <w:rPr>
          <w:rFonts w:ascii="SourceSansPro-It" w:hAnsi="SourceSansPro-It" w:cs="SourceSansPro-It"/>
          <w:i/>
          <w:iCs/>
          <w:sz w:val="23"/>
          <w:szCs w:val="23"/>
        </w:rPr>
        <w:t xml:space="preserve">2021sales.xlsx </w:t>
      </w:r>
      <w:r>
        <w:rPr>
          <w:rFonts w:ascii="SourceSansPro-Regular" w:hAnsi="SourceSansPro-Regular" w:cs="SourceSansPro-Regular"/>
          <w:sz w:val="23"/>
          <w:szCs w:val="23"/>
        </w:rPr>
        <w:t xml:space="preserve">rather than </w:t>
      </w:r>
      <w:r>
        <w:rPr>
          <w:rFonts w:ascii="SourceSansPro-It" w:hAnsi="SourceSansPro-It" w:cs="SourceSansPro-It"/>
          <w:i/>
          <w:iCs/>
          <w:sz w:val="23"/>
          <w:szCs w:val="23"/>
        </w:rPr>
        <w:t>2020sales.xlsx</w:t>
      </w:r>
    </w:p>
    <w:p w:rsidR="007D048F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• To use an entirely different set of data that contains the same columns, for example, using a report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created fora particular SharePoint list with a different list with columns with the same names and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data types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When you open a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file and Power BI Desktop cannot connect to the report’s data source, it will display a Data Source Error on a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yellow background at the top of the report window.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noProof/>
          <w:lang w:eastAsia="en-AU"/>
        </w:rPr>
        <w:drawing>
          <wp:inline distT="0" distB="0" distL="0" distR="0" wp14:anchorId="1F4D3606" wp14:editId="475AD000">
            <wp:extent cx="5568509" cy="11970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43" t="45395" r="26938" b="30292"/>
                    <a:stretch/>
                  </pic:blipFill>
                  <pic:spPr bwMode="auto">
                    <a:xfrm>
                      <a:off x="0" y="0"/>
                      <a:ext cx="5632918" cy="121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When this happens, you must change the data source to the corresponding XLSX files, wherever you chose to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store the downloaded exercise files.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Follow these steps to change the file data source for a Power BI report: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1. On the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Home </w:t>
      </w:r>
      <w:r>
        <w:rPr>
          <w:rFonts w:ascii="SourceSansPro-Regular" w:hAnsi="SourceSansPro-Regular" w:cs="SourceSansPro-Regular"/>
          <w:sz w:val="23"/>
          <w:szCs w:val="23"/>
        </w:rPr>
        <w:t xml:space="preserve">tab of the ribbon, click the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Transform data </w:t>
      </w:r>
      <w:r>
        <w:rPr>
          <w:rFonts w:ascii="SourceSansPro-Regular" w:hAnsi="SourceSansPro-Regular" w:cs="SourceSansPro-Regular"/>
          <w:sz w:val="23"/>
          <w:szCs w:val="23"/>
        </w:rPr>
        <w:t xml:space="preserve">drop-down menu and choose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>Data Source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Settings </w:t>
      </w:r>
      <w:r>
        <w:rPr>
          <w:rFonts w:ascii="SourceSansPro-Regular" w:hAnsi="SourceSansPro-Regular" w:cs="SourceSansPro-Regular"/>
          <w:sz w:val="23"/>
          <w:szCs w:val="23"/>
        </w:rPr>
        <w:t xml:space="preserve">to open the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Data Source Settings </w:t>
      </w:r>
      <w:r>
        <w:rPr>
          <w:rFonts w:ascii="SourceSansPro-Regular" w:hAnsi="SourceSansPro-Regular" w:cs="SourceSansPro-Regular"/>
          <w:sz w:val="23"/>
          <w:szCs w:val="23"/>
        </w:rPr>
        <w:t>dialog box.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2. Select the data source you need to change, </w:t>
      </w:r>
      <w:proofErr w:type="gramStart"/>
      <w:r>
        <w:rPr>
          <w:rFonts w:ascii="SourceSansPro-Regular" w:hAnsi="SourceSansPro-Regular" w:cs="SourceSansPro-Regular"/>
          <w:sz w:val="23"/>
          <w:szCs w:val="23"/>
        </w:rPr>
        <w:t>then</w:t>
      </w:r>
      <w:proofErr w:type="gramEnd"/>
      <w:r>
        <w:rPr>
          <w:rFonts w:ascii="SourceSansPro-Regular" w:hAnsi="SourceSansPro-Regular" w:cs="SourceSansPro-Regular"/>
          <w:sz w:val="23"/>
          <w:szCs w:val="23"/>
        </w:rPr>
        <w:t xml:space="preserve"> click the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 xml:space="preserve">Change Source </w:t>
      </w:r>
      <w:r>
        <w:rPr>
          <w:rFonts w:ascii="SourceSansPro-Regular" w:hAnsi="SourceSansPro-Regular" w:cs="SourceSansPro-Regular"/>
          <w:sz w:val="23"/>
          <w:szCs w:val="23"/>
        </w:rPr>
        <w:t>button to open the dialog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Regular" w:hAnsi="SourceSansPro-Regular" w:cs="SourceSansPro-Regular"/>
          <w:sz w:val="23"/>
          <w:szCs w:val="23"/>
        </w:rPr>
        <w:t>box for that data connection.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3. Browse to locate and select your new data source. Click </w:t>
      </w:r>
      <w:r>
        <w:rPr>
          <w:rFonts w:ascii="SourceSansPro-Bold" w:hAnsi="SourceSansPro-Bold" w:cs="SourceSansPro-Bold"/>
          <w:b/>
          <w:bCs/>
          <w:sz w:val="23"/>
          <w:szCs w:val="23"/>
        </w:rPr>
        <w:t>OK</w:t>
      </w:r>
      <w:r>
        <w:rPr>
          <w:rFonts w:ascii="SourceSansPro-Regular" w:hAnsi="SourceSansPro-Regular" w:cs="SourceSansPro-Regular"/>
          <w:sz w:val="23"/>
          <w:szCs w:val="23"/>
        </w:rPr>
        <w:t>.</w:t>
      </w:r>
    </w:p>
    <w:p w:rsidR="00547D23" w:rsidRDefault="00547D23" w:rsidP="00547D23">
      <w:pPr>
        <w:autoSpaceDE w:val="0"/>
        <w:autoSpaceDN w:val="0"/>
        <w:adjustRightInd w:val="0"/>
        <w:spacing w:after="0" w:line="240" w:lineRule="auto"/>
        <w:jc w:val="center"/>
      </w:pPr>
      <w:bookmarkStart w:id="0" w:name="_GoBack"/>
      <w:r>
        <w:rPr>
          <w:noProof/>
          <w:lang w:eastAsia="en-AU"/>
        </w:rPr>
        <w:drawing>
          <wp:inline distT="0" distB="0" distL="0" distR="0" wp14:anchorId="53E6CB9E" wp14:editId="04FD2B55">
            <wp:extent cx="4011841" cy="14630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97" t="49916" r="37357" b="22305"/>
                    <a:stretch/>
                  </pic:blipFill>
                  <pic:spPr bwMode="auto">
                    <a:xfrm>
                      <a:off x="0" y="0"/>
                      <a:ext cx="4035703" cy="147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23"/>
    <w:rsid w:val="00547D23"/>
    <w:rsid w:val="007B3A5E"/>
    <w:rsid w:val="00A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017E"/>
  <w15:chartTrackingRefBased/>
  <w15:docId w15:val="{FD096FCC-10E3-464C-9136-AE3E2D8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Shahabi Lotfabadi</dc:creator>
  <cp:keywords/>
  <dc:description/>
  <cp:lastModifiedBy>Maryam Shahabi Lotfabadi</cp:lastModifiedBy>
  <cp:revision>1</cp:revision>
  <dcterms:created xsi:type="dcterms:W3CDTF">2021-10-20T05:59:00Z</dcterms:created>
  <dcterms:modified xsi:type="dcterms:W3CDTF">2021-10-20T06:04:00Z</dcterms:modified>
</cp:coreProperties>
</file>