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889EAC" w14:textId="5099E099" w:rsidR="00BA6AD2" w:rsidRDefault="00984079" w:rsidP="00984079">
      <w:pPr>
        <w:spacing w:line="240" w:lineRule="auto"/>
        <w:rPr>
          <w:bCs/>
        </w:rPr>
      </w:pPr>
      <w:r>
        <w:rPr>
          <w:bCs/>
        </w:rPr>
        <w:t>Nathan Burlison</w:t>
      </w:r>
    </w:p>
    <w:p w14:paraId="4C9A4C17" w14:textId="1B1C8F24" w:rsidR="00984079" w:rsidRDefault="00984079" w:rsidP="00984079">
      <w:pPr>
        <w:spacing w:line="240" w:lineRule="auto"/>
        <w:rPr>
          <w:bCs/>
        </w:rPr>
      </w:pPr>
      <w:r>
        <w:rPr>
          <w:bCs/>
        </w:rPr>
        <w:t>CS</w:t>
      </w:r>
      <w:r w:rsidR="00AD296B">
        <w:rPr>
          <w:bCs/>
        </w:rPr>
        <w:t xml:space="preserve"> </w:t>
      </w:r>
      <w:r>
        <w:rPr>
          <w:bCs/>
        </w:rPr>
        <w:t>305 Software Security</w:t>
      </w:r>
    </w:p>
    <w:p w14:paraId="16D3DF26" w14:textId="7C788B65" w:rsidR="00BF766D" w:rsidRDefault="00984079" w:rsidP="00984079">
      <w:pPr>
        <w:spacing w:line="240" w:lineRule="auto"/>
        <w:rPr>
          <w:bCs/>
        </w:rPr>
      </w:pPr>
      <w:r w:rsidRPr="00BA6AD2">
        <w:rPr>
          <w:bCs/>
        </w:rPr>
        <w:t>Artemis Financial Encryption Recommendation</w:t>
      </w:r>
    </w:p>
    <w:p w14:paraId="6C99027D" w14:textId="10FF321A" w:rsidR="00984079" w:rsidRDefault="00984079" w:rsidP="00984079">
      <w:pPr>
        <w:spacing w:line="240" w:lineRule="auto"/>
        <w:rPr>
          <w:bCs/>
        </w:rPr>
      </w:pPr>
      <w:r>
        <w:rPr>
          <w:bCs/>
        </w:rPr>
        <w:t>September 27, 2026</w:t>
      </w:r>
    </w:p>
    <w:p w14:paraId="74C7CCA3" w14:textId="77777777" w:rsidR="00984079" w:rsidRPr="00BA6AD2" w:rsidRDefault="00984079" w:rsidP="00984079">
      <w:pPr>
        <w:spacing w:line="240" w:lineRule="auto"/>
        <w:rPr>
          <w:bCs/>
        </w:rPr>
      </w:pPr>
    </w:p>
    <w:p w14:paraId="7DC92748" w14:textId="77777777" w:rsidR="00D04164" w:rsidRDefault="00984079" w:rsidP="00D04164">
      <w:r>
        <w:rPr>
          <w:b/>
        </w:rPr>
        <w:t>Algorithm Cipher Recommendation</w:t>
      </w:r>
    </w:p>
    <w:p w14:paraId="5CCAFA7E" w14:textId="30D87E78" w:rsidR="00D04164" w:rsidRDefault="00984079" w:rsidP="00D04164">
      <w:r>
        <w:t xml:space="preserve">For Artemis </w:t>
      </w:r>
      <w:r w:rsidR="00BA6AD2">
        <w:t>Financials’</w:t>
      </w:r>
      <w:r>
        <w:t xml:space="preserve"> long-term archive files, I recommend AES-256 in Galois/Counter Mode, using Java’s AES/GCM/NoPadding transformation. AES is a NIST standard with 128-, 192-, and 256-bit keys, and Java supports AES/GCM with 256-bit keys (Oracle, 2026; National Institute of Standards and Technology [NIST], 2023). GCM is appropriate because it provides authenticated encryption, protecting confidentiality and detecting unauthorized changes (NIST, 2007).</w:t>
      </w:r>
    </w:p>
    <w:p w14:paraId="3CEBBAA7" w14:textId="5EDCEF08" w:rsidR="00BF766D" w:rsidRDefault="00984079" w:rsidP="00D04164">
      <w:r>
        <w:t>Artemis should generate keys with a trusted key-management system, keep them separate from the archives, restrict access, and rotate them when required. Each encryption must use a unique random 96-bit initialization vector (IV). The IV can be stored with the encrypted file along with the authentication tag and key identifier. The largest risks are key compromise, lost keys, and IV reuse. If Artemis is covered by the FTC Safeguards Rule, customer information must be encrypted at rest and in transit unless an approved alternative safeguard is used (Federal Trade Commission [FTC], n.d.). Federal systems or contracts may also require FIPS 140-3 validated cryptographic modules (NIST, 2019).</w:t>
      </w:r>
    </w:p>
    <w:p w14:paraId="277A5E15" w14:textId="77777777" w:rsidR="00D04164" w:rsidRDefault="00984079" w:rsidP="00D04164">
      <w:r>
        <w:rPr>
          <w:b/>
        </w:rPr>
        <w:t>Justification</w:t>
      </w:r>
    </w:p>
    <w:p w14:paraId="29B4451C" w14:textId="77777777" w:rsidR="00D04164" w:rsidRDefault="00984079" w:rsidP="00D04164">
      <w:r>
        <w:t xml:space="preserve">Because AES is a symmetric cipher, Artemis would rely on one shared secret key for both encryption and recovery of its archived files. That approach is efficient for large amounts of stored data and avoids using slower public-key algorithms such as RSA for the entire file. When an archive has to be sent to another party, public-key encryption can instead be used only to protect or exchange the AES key. AES always works on 128-bit data blocks, while the 256 in </w:t>
      </w:r>
      <w:r>
        <w:lastRenderedPageBreak/>
        <w:t>AES-256 refers to the size of the encryption key. Choosing 256 bits gives Artemis a wider long-term security margin, although AES-128 may still be reasonable where older systems or performance constraints matter.</w:t>
      </w:r>
    </w:p>
    <w:p w14:paraId="3B202E2C" w14:textId="77777777" w:rsidR="00D04164" w:rsidRDefault="00984079" w:rsidP="00D04164">
      <w:r>
        <w:t>Hashing serves a different purpose from encryption: rather than producing data that can later be decrypted, a hash creates a fixed-value digest for integrity-related checks. Within GCM, GHASH contributes to the authentication tag that is checked when the archive is decrypted. If that verification does not succeed, Artemis should treat the archive as altered or invalid and refuse it. SHA-256 can be useful as an independent checksum, but it is not a substitute for authenticated encryption. Secure randomness is equally important because AES keys must not be predictable, and every GCM operation performed with the same key must use a distinct IV.</w:t>
      </w:r>
    </w:p>
    <w:p w14:paraId="6E9FAFDC" w14:textId="6CD82569" w:rsidR="00BF766D" w:rsidRDefault="00984079" w:rsidP="00D04164">
      <w:r>
        <w:t>Encryption standards have changed as older designs became easier to attack. DES is no longer appropriate because its key length is too small for modern protection, and Triple DES has likewise been phased out for new encryption. NIST selected AES in 2000 and issued the standard in 2001; when FIPS 197 was updated in 2023, the underlying AES algorithm remained unchanged (NIST, 2023). For Artemis, AES-256-GCM is therefore a strong fit because it combines modern security protections with Java compatibility and a design that should remain practical for long-term archives.</w:t>
      </w:r>
    </w:p>
    <w:p w14:paraId="2D14BF48" w14:textId="77777777" w:rsidR="00BA6AD2" w:rsidRDefault="00BA6AD2">
      <w:pPr>
        <w:rPr>
          <w:b/>
        </w:rPr>
      </w:pPr>
    </w:p>
    <w:p w14:paraId="2A374E1B" w14:textId="77777777" w:rsidR="00BA6AD2" w:rsidRDefault="00BA6AD2">
      <w:pPr>
        <w:rPr>
          <w:b/>
        </w:rPr>
      </w:pPr>
    </w:p>
    <w:p w14:paraId="1CDEF146" w14:textId="77777777" w:rsidR="00BA6AD2" w:rsidRDefault="00BA6AD2">
      <w:pPr>
        <w:rPr>
          <w:b/>
        </w:rPr>
      </w:pPr>
    </w:p>
    <w:p w14:paraId="78B69C4A" w14:textId="77777777" w:rsidR="00BA6AD2" w:rsidRDefault="00BA6AD2">
      <w:pPr>
        <w:rPr>
          <w:b/>
        </w:rPr>
      </w:pPr>
    </w:p>
    <w:p w14:paraId="03EC278D" w14:textId="77777777" w:rsidR="00BA6AD2" w:rsidRDefault="00BA6AD2">
      <w:pPr>
        <w:rPr>
          <w:b/>
        </w:rPr>
      </w:pPr>
    </w:p>
    <w:p w14:paraId="0358999B" w14:textId="77777777" w:rsidR="00BA6AD2" w:rsidRDefault="00BA6AD2">
      <w:pPr>
        <w:rPr>
          <w:b/>
        </w:rPr>
      </w:pPr>
    </w:p>
    <w:p w14:paraId="7E863832" w14:textId="77777777" w:rsidR="00BA6AD2" w:rsidRDefault="00BA6AD2">
      <w:pPr>
        <w:rPr>
          <w:b/>
        </w:rPr>
      </w:pPr>
    </w:p>
    <w:p w14:paraId="7F2A8700" w14:textId="79098D7F" w:rsidR="00BF766D" w:rsidRDefault="00984079">
      <w:r>
        <w:rPr>
          <w:b/>
        </w:rPr>
        <w:t>References</w:t>
      </w:r>
    </w:p>
    <w:p w14:paraId="30BA649A" w14:textId="77777777" w:rsidR="00AF2C5C" w:rsidRDefault="00984079" w:rsidP="00BA6AD2">
      <w:pPr>
        <w:spacing w:line="240" w:lineRule="auto"/>
        <w:ind w:left="720" w:hanging="720"/>
      </w:pPr>
      <w:r>
        <w:t>Federal Trade Commission. (n.d.). FTC Safeguards Rule: What your business needs to know.</w:t>
      </w:r>
    </w:p>
    <w:p w14:paraId="1D8A036A" w14:textId="58603815" w:rsidR="00BF766D" w:rsidRDefault="00AD296B" w:rsidP="00BA6AD2">
      <w:pPr>
        <w:spacing w:line="240" w:lineRule="auto"/>
        <w:ind w:left="720" w:hanging="720"/>
      </w:pPr>
      <w:hyperlink r:id="rId6" w:history="1">
        <w:r w:rsidR="00BA6AD2" w:rsidRPr="006A56F9">
          <w:rPr>
            <w:rStyle w:val="Hyperlink"/>
          </w:rPr>
          <w:t>https://www.ftc.gov/business-guidance/resources/ftc-safeguards-rule-what-your-business-needs-know</w:t>
        </w:r>
      </w:hyperlink>
    </w:p>
    <w:p w14:paraId="331B973D" w14:textId="77777777" w:rsidR="005176F5" w:rsidRDefault="005176F5" w:rsidP="00BA6AD2">
      <w:pPr>
        <w:spacing w:line="240" w:lineRule="auto"/>
        <w:ind w:left="720" w:hanging="720"/>
      </w:pPr>
    </w:p>
    <w:p w14:paraId="3B934071" w14:textId="458C5166" w:rsidR="005176F5" w:rsidRDefault="00984079" w:rsidP="00BA6AD2">
      <w:pPr>
        <w:spacing w:line="240" w:lineRule="auto"/>
        <w:ind w:left="720" w:hanging="720"/>
      </w:pPr>
      <w:r>
        <w:t>National Institute of Standards and Technology. (2007). Recommendation for block cipher</w:t>
      </w:r>
    </w:p>
    <w:p w14:paraId="3EB95ACD" w14:textId="77777777" w:rsidR="005176F5" w:rsidRDefault="00984079" w:rsidP="00BA6AD2">
      <w:pPr>
        <w:spacing w:line="240" w:lineRule="auto"/>
        <w:ind w:left="720" w:hanging="720"/>
      </w:pPr>
      <w:r>
        <w:t>modes of operation: Galois/Counter Mode (GCM) and GMAC (NIST SP 800-38D).</w:t>
      </w:r>
    </w:p>
    <w:p w14:paraId="52B1A916" w14:textId="7C96EF1A" w:rsidR="00BF766D" w:rsidRDefault="00AD296B" w:rsidP="00BA6AD2">
      <w:pPr>
        <w:spacing w:line="240" w:lineRule="auto"/>
        <w:ind w:left="720" w:hanging="720"/>
      </w:pPr>
      <w:hyperlink r:id="rId7" w:history="1">
        <w:r w:rsidR="005176F5" w:rsidRPr="006A56F9">
          <w:rPr>
            <w:rStyle w:val="Hyperlink"/>
          </w:rPr>
          <w:t>https://doi.org/10.6028/NIST.SP.800-38D</w:t>
        </w:r>
      </w:hyperlink>
    </w:p>
    <w:p w14:paraId="2D2E12C6" w14:textId="77777777" w:rsidR="005176F5" w:rsidRDefault="005176F5" w:rsidP="00BA6AD2">
      <w:pPr>
        <w:spacing w:line="240" w:lineRule="auto"/>
        <w:ind w:left="720" w:hanging="720"/>
      </w:pPr>
    </w:p>
    <w:p w14:paraId="60B9B0A7" w14:textId="77777777" w:rsidR="005176F5" w:rsidRDefault="00984079" w:rsidP="00BA6AD2">
      <w:pPr>
        <w:spacing w:line="240" w:lineRule="auto"/>
        <w:ind w:left="720" w:hanging="720"/>
      </w:pPr>
      <w:r>
        <w:t>National Institute of Standards and Technology. (2019). Security requirements for cryptographic</w:t>
      </w:r>
    </w:p>
    <w:p w14:paraId="04B097F3" w14:textId="59B2C9DB" w:rsidR="00BF766D" w:rsidRDefault="00984079" w:rsidP="00BA6AD2">
      <w:pPr>
        <w:spacing w:line="240" w:lineRule="auto"/>
        <w:ind w:left="720" w:hanging="720"/>
      </w:pPr>
      <w:r>
        <w:t xml:space="preserve">modules (FIPS PUB 140-3). </w:t>
      </w:r>
      <w:hyperlink r:id="rId8" w:history="1">
        <w:r w:rsidR="005176F5" w:rsidRPr="006A56F9">
          <w:rPr>
            <w:rStyle w:val="Hyperlink"/>
          </w:rPr>
          <w:t>https://doi.org/10.6028/NIST.FIPS.140-3</w:t>
        </w:r>
      </w:hyperlink>
    </w:p>
    <w:p w14:paraId="00869E58" w14:textId="77777777" w:rsidR="005176F5" w:rsidRDefault="005176F5" w:rsidP="00BA6AD2">
      <w:pPr>
        <w:spacing w:line="240" w:lineRule="auto"/>
        <w:ind w:left="720" w:hanging="720"/>
      </w:pPr>
    </w:p>
    <w:p w14:paraId="0E6A25DB" w14:textId="77777777" w:rsidR="005176F5" w:rsidRDefault="00984079" w:rsidP="00BA6AD2">
      <w:pPr>
        <w:spacing w:line="240" w:lineRule="auto"/>
        <w:ind w:left="720" w:hanging="720"/>
      </w:pPr>
      <w:r>
        <w:t>National Institute of Standards and Technology. (2023). Advanced Encryption Standard (AES)</w:t>
      </w:r>
    </w:p>
    <w:p w14:paraId="05C1E86C" w14:textId="4437093C" w:rsidR="00BF766D" w:rsidRDefault="00984079" w:rsidP="00BA6AD2">
      <w:pPr>
        <w:spacing w:line="240" w:lineRule="auto"/>
        <w:ind w:left="720" w:hanging="720"/>
      </w:pPr>
      <w:r>
        <w:t xml:space="preserve">(FIPS PUB 197). </w:t>
      </w:r>
      <w:hyperlink r:id="rId9" w:history="1">
        <w:r w:rsidR="005176F5" w:rsidRPr="006A56F9">
          <w:rPr>
            <w:rStyle w:val="Hyperlink"/>
          </w:rPr>
          <w:t>https://csrc.nist.gov/pubs/fips/197/final</w:t>
        </w:r>
      </w:hyperlink>
    </w:p>
    <w:p w14:paraId="28E9BC37" w14:textId="77777777" w:rsidR="005176F5" w:rsidRDefault="005176F5" w:rsidP="00BA6AD2">
      <w:pPr>
        <w:spacing w:line="240" w:lineRule="auto"/>
        <w:ind w:left="720" w:hanging="720"/>
      </w:pPr>
    </w:p>
    <w:p w14:paraId="7C7759EB" w14:textId="77777777" w:rsidR="005176F5" w:rsidRDefault="00984079" w:rsidP="00BA6AD2">
      <w:pPr>
        <w:spacing w:line="240" w:lineRule="auto"/>
        <w:ind w:left="720" w:hanging="720"/>
      </w:pPr>
      <w:r>
        <w:t>Oracle. (2026). Java Security Standard Algorithm Names.</w:t>
      </w:r>
    </w:p>
    <w:p w14:paraId="7AFE31FA" w14:textId="34BE35AB" w:rsidR="00BF766D" w:rsidRDefault="00AD296B" w:rsidP="00BA6AD2">
      <w:pPr>
        <w:spacing w:line="240" w:lineRule="auto"/>
        <w:ind w:left="720" w:hanging="720"/>
      </w:pPr>
      <w:hyperlink r:id="rId10" w:history="1">
        <w:r w:rsidR="005176F5" w:rsidRPr="006A56F9">
          <w:rPr>
            <w:rStyle w:val="Hyperlink"/>
          </w:rPr>
          <w:t>https://docs.oracle.com/en/java/javase/26/docs/specs/security/standard-names.html</w:t>
        </w:r>
      </w:hyperlink>
    </w:p>
    <w:p w14:paraId="7FA5275E" w14:textId="77777777" w:rsidR="005176F5" w:rsidRDefault="005176F5">
      <w:pPr>
        <w:ind w:left="720" w:hanging="720"/>
      </w:pPr>
    </w:p>
    <w:sectPr w:rsidR="005176F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1388967">
    <w:abstractNumId w:val="8"/>
  </w:num>
  <w:num w:numId="2" w16cid:durableId="909926220">
    <w:abstractNumId w:val="6"/>
  </w:num>
  <w:num w:numId="3" w16cid:durableId="1189488278">
    <w:abstractNumId w:val="5"/>
  </w:num>
  <w:num w:numId="4" w16cid:durableId="1000277128">
    <w:abstractNumId w:val="4"/>
  </w:num>
  <w:num w:numId="5" w16cid:durableId="1271662048">
    <w:abstractNumId w:val="7"/>
  </w:num>
  <w:num w:numId="6" w16cid:durableId="951327369">
    <w:abstractNumId w:val="3"/>
  </w:num>
  <w:num w:numId="7" w16cid:durableId="1628972526">
    <w:abstractNumId w:val="2"/>
  </w:num>
  <w:num w:numId="8" w16cid:durableId="467941864">
    <w:abstractNumId w:val="1"/>
  </w:num>
  <w:num w:numId="9" w16cid:durableId="1866670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76F5"/>
    <w:rsid w:val="00984079"/>
    <w:rsid w:val="00AA1D8D"/>
    <w:rsid w:val="00AD296B"/>
    <w:rsid w:val="00AF2C5C"/>
    <w:rsid w:val="00B47730"/>
    <w:rsid w:val="00BA6AD2"/>
    <w:rsid w:val="00BF766D"/>
    <w:rsid w:val="00CB0664"/>
    <w:rsid w:val="00D041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E30F67F-5B88-404D-81C5-53DAB1607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04164"/>
    <w:rPr>
      <w:color w:val="0000FF" w:themeColor="hyperlink"/>
      <w:u w:val="single"/>
    </w:rPr>
  </w:style>
  <w:style w:type="character" w:styleId="UnresolvedMention">
    <w:name w:val="Unresolved Mention"/>
    <w:basedOn w:val="DefaultParagraphFont"/>
    <w:uiPriority w:val="99"/>
    <w:semiHidden/>
    <w:unhideWhenUsed/>
    <w:rsid w:val="00D04164"/>
    <w:rPr>
      <w:color w:val="605E5C"/>
      <w:shd w:val="clear" w:color="auto" w:fill="E1DFDD"/>
    </w:rPr>
  </w:style>
  <w:style w:type="character" w:styleId="FollowedHyperlink">
    <w:name w:val="FollowedHyperlink"/>
    <w:basedOn w:val="DefaultParagraphFont"/>
    <w:uiPriority w:val="99"/>
    <w:semiHidden/>
    <w:unhideWhenUsed/>
    <w:rsid w:val="00D041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FIPS.140-3" TargetMode="External"/><Relationship Id="rId3" Type="http://schemas.openxmlformats.org/officeDocument/2006/relationships/styles" Target="styles.xml"/><Relationship Id="rId7" Type="http://schemas.openxmlformats.org/officeDocument/2006/relationships/hyperlink" Target="https://doi.org/10.6028/NIST.SP.800-38D"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tc.gov/business-guidance/resources/ftc-safeguards-rule-what-your-business-needs-know"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oracle.com/en/java/javase/26/docs/specs/security/standard-names.html" TargetMode="External"/><Relationship Id="rId4" Type="http://schemas.openxmlformats.org/officeDocument/2006/relationships/settings" Target="settings.xml"/><Relationship Id="rId9" Type="http://schemas.openxmlformats.org/officeDocument/2006/relationships/hyperlink" Target="https://csrc.nist.gov/pubs/fips/197/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663</Words>
  <Characters>3781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Burlison</cp:lastModifiedBy>
  <cp:revision>7</cp:revision>
  <dcterms:created xsi:type="dcterms:W3CDTF">2013-12-23T23:15:00Z</dcterms:created>
  <dcterms:modified xsi:type="dcterms:W3CDTF">2026-09-27T03:47:00Z</dcterms:modified>
  <cp:category/>
</cp:coreProperties>
</file>