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i w:val="0"/>
          <w:color w:val="0E7490"/>
          <w:sz w:val="20"/>
        </w:rPr>
        <w:t>TECHNICAL APPROVAL &amp; IMPLEMENTATION RUNBOOK</w:t>
      </w:r>
    </w:p>
    <w:p>
      <w:pPr>
        <w:pStyle w:val="Title"/>
      </w:pPr>
      <w:r>
        <w:t>ContractConnect migration to self-hosted Supabase</w:t>
      </w:r>
    </w:p>
    <w:p>
      <w:pPr>
        <w:pStyle w:val="Subtitle"/>
      </w:pPr>
      <w:r>
        <w:t>Deployment on Windows Server 2019 using a Hyper-V hosted Linux virtual machine</w:t>
      </w:r>
    </w:p>
    <w:p>
      <w:pPr>
        <w:spacing w:after="40"/>
      </w:pPr>
      <w:r>
        <w:rPr>
          <w:rFonts w:ascii="Calibri" w:hAnsi="Calibri"/>
          <w:b/>
          <w:i w:val="0"/>
          <w:color w:val="1F2937"/>
          <w:sz w:val="21"/>
        </w:rPr>
        <w:t xml:space="preserve">To: </w:t>
      </w:r>
      <w:r>
        <w:rPr>
          <w:rFonts w:ascii="Calibri" w:hAnsi="Calibri"/>
          <w:b w:val="0"/>
          <w:i w:val="0"/>
          <w:color w:val="1F2937"/>
          <w:sz w:val="21"/>
        </w:rPr>
        <w:t>Technical Manager / Infrastructure Approver</w:t>
      </w:r>
    </w:p>
    <w:p>
      <w:pPr>
        <w:spacing w:after="40"/>
      </w:pPr>
      <w:r>
        <w:rPr>
          <w:rFonts w:ascii="Calibri" w:hAnsi="Calibri"/>
          <w:b/>
          <w:i w:val="0"/>
          <w:color w:val="1F2937"/>
          <w:sz w:val="21"/>
        </w:rPr>
        <w:t xml:space="preserve">From: </w:t>
      </w:r>
      <w:r>
        <w:rPr>
          <w:rFonts w:ascii="Calibri" w:hAnsi="Calibri"/>
          <w:b w:val="0"/>
          <w:i w:val="0"/>
          <w:color w:val="1F2937"/>
          <w:sz w:val="21"/>
        </w:rPr>
        <w:t>ContractConnect Project Team</w:t>
      </w:r>
    </w:p>
    <w:p>
      <w:pPr>
        <w:spacing w:after="40"/>
      </w:pPr>
      <w:r>
        <w:rPr>
          <w:rFonts w:ascii="Calibri" w:hAnsi="Calibri"/>
          <w:b/>
          <w:i w:val="0"/>
          <w:color w:val="1F2937"/>
          <w:sz w:val="21"/>
        </w:rPr>
        <w:t xml:space="preserve">Date: </w:t>
      </w:r>
      <w:r>
        <w:rPr>
          <w:rFonts w:ascii="Calibri" w:hAnsi="Calibri"/>
          <w:b w:val="0"/>
          <w:i w:val="0"/>
          <w:color w:val="1F2937"/>
          <w:sz w:val="21"/>
        </w:rPr>
        <w:t>17 August 2026</w:t>
      </w:r>
    </w:p>
    <w:p>
      <w:pPr>
        <w:spacing w:after="40"/>
      </w:pPr>
      <w:r>
        <w:rPr>
          <w:rFonts w:ascii="Calibri" w:hAnsi="Calibri"/>
          <w:b/>
          <w:i w:val="0"/>
          <w:color w:val="1F2937"/>
          <w:sz w:val="21"/>
        </w:rPr>
        <w:t xml:space="preserve">Status: </w:t>
      </w:r>
      <w:r>
        <w:rPr>
          <w:rFonts w:ascii="Calibri" w:hAnsi="Calibri"/>
          <w:b w:val="0"/>
          <w:i w:val="0"/>
          <w:color w:val="1F2937"/>
          <w:sz w:val="21"/>
        </w:rPr>
        <w:t>Approval requested before infrastructure changes and data migration</w:t>
      </w:r>
    </w:p>
    <w:p>
      <w:pPr>
        <w:spacing w:after="40"/>
      </w:pPr>
      <w:r>
        <w:rPr>
          <w:rFonts w:ascii="Calibri" w:hAnsi="Calibri"/>
          <w:b/>
          <w:i w:val="0"/>
          <w:color w:val="1F2937"/>
          <w:sz w:val="21"/>
        </w:rPr>
        <w:t xml:space="preserve">Environment: </w:t>
      </w:r>
      <w:r>
        <w:rPr>
          <w:rFonts w:ascii="Calibri" w:hAnsi="Calibri"/>
          <w:b w:val="0"/>
          <w:i w:val="0"/>
          <w:color w:val="1F2937"/>
          <w:sz w:val="21"/>
        </w:rPr>
        <w:t>Windows Server 2019, 16 GB RAM, x64, Hyper-V detected</w:t>
      </w:r>
    </w:p>
    <w:p>
      <w:pPr>
        <w:shd w:fill="E6F3F6"/>
        <w:spacing w:before="80" w:after="140"/>
        <w:ind w:left="216" w:right="216"/>
      </w:pPr>
      <w:r>
        <w:rPr>
          <w:rFonts w:ascii="Calibri" w:hAnsi="Calibri"/>
          <w:b/>
          <w:i w:val="0"/>
          <w:color w:val="164E63"/>
          <w:sz w:val="21"/>
        </w:rPr>
        <w:t xml:space="preserve">Recommendation  </w:t>
      </w:r>
      <w:r>
        <w:rPr>
          <w:rFonts w:ascii="Calibri" w:hAnsi="Calibri"/>
          <w:b w:val="0"/>
          <w:i w:val="0"/>
          <w:color w:val="1F2937"/>
          <w:sz w:val="21"/>
        </w:rPr>
        <w:t>Approve a controlled pilot in a dedicated Ubuntu Server VM under the already-detected Hyper-V hypervisor. Do not install Docker Desktop on Windows Server. Progress to production only after restore, security, performance and rollback tests pass.</w:t>
      </w:r>
    </w:p>
    <w:p>
      <w:pPr>
        <w:pStyle w:val="Heading1"/>
      </w:pPr>
      <w:r>
        <w:t>Decision requested</w:t>
      </w:r>
    </w:p>
    <w:p>
      <w:pPr>
        <w:pStyle w:val="ListBullet"/>
        <w:spacing w:after="60"/>
      </w:pPr>
      <w:r>
        <w:t>Authorize creation of one dedicated Linux virtual machine on the existing Hyper-V host.</w:t>
      </w:r>
    </w:p>
    <w:p>
      <w:pPr>
        <w:pStyle w:val="ListBullet"/>
        <w:spacing w:after="60"/>
      </w:pPr>
      <w:r>
        <w:t>Authorize installation and operation of Docker Engine, Docker Compose and the self-hosted Supabase stack inside that VM.</w:t>
      </w:r>
    </w:p>
    <w:p>
      <w:pPr>
        <w:pStyle w:val="ListBullet"/>
        <w:spacing w:after="60"/>
      </w:pPr>
      <w:r>
        <w:t>Approve internal DNS, TLS certificate, SMTP relay, firewall rules and restricted administrative access.</w:t>
      </w:r>
    </w:p>
    <w:p>
      <w:pPr>
        <w:pStyle w:val="ListBullet"/>
        <w:spacing w:after="60"/>
      </w:pPr>
      <w:r>
        <w:t>Approve a rehearsal migration followed by a scheduled production cutover from managed Supabase.</w:t>
      </w:r>
    </w:p>
    <w:p>
      <w:pPr>
        <w:pStyle w:val="ListBullet"/>
        <w:spacing w:after="60"/>
      </w:pPr>
      <w:r>
        <w:t>Assign operational owners for patching, monitoring, backups, restore testing and incident response.</w:t>
      </w:r>
    </w:p>
    <w:p>
      <w:pPr>
        <w:pStyle w:val="Heading1"/>
      </w:pPr>
      <w:r>
        <w:t>Executive technical assessment</w:t>
      </w:r>
    </w:p>
    <w:p>
      <w:r>
        <w:t>The host hardware is adequate for a small internal ContractConnect deployment, subject to confirmation of SSD-backed capacity and competing workloads. Hyper-V has already been detected, so hypervisor installation is not part of the proposed change. The supported design is to run Linux containers inside an Ubuntu Server VM. Docker Desktop is not supported on Windows Server 2019, and Supabase's production stack is composed for Linux containers.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vAlign w:val="center"/>
            <w:tcMar>
              <w:top w:w="80" w:type="dxa"/>
              <w:start w:w="110" w:type="dxa"/>
              <w:bottom w:w="80" w:type="dxa"/>
              <w:end w:w="110" w:type="dxa"/>
            </w:tcMar>
            <w:shd w:fill="164E63"/>
          </w:tcPr>
          <w:p>
            <w:pPr>
              <w:spacing w:after="0"/>
            </w:pPr>
            <w:r>
              <w:rPr>
                <w:rFonts w:ascii="Calibri" w:hAnsi="Calibri"/>
                <w:b/>
                <w:i w:val="0"/>
                <w:color w:val="FFFFFF"/>
                <w:sz w:val="18"/>
              </w:rPr>
              <w:t>Item</w:t>
            </w:r>
          </w:p>
        </w:tc>
        <w:tc>
          <w:tcPr>
            <w:tcW w:type="dxa" w:w="3456"/>
            <w:vAlign w:val="center"/>
            <w:tcMar>
              <w:top w:w="80" w:type="dxa"/>
              <w:start w:w="110" w:type="dxa"/>
              <w:bottom w:w="80" w:type="dxa"/>
              <w:end w:w="110" w:type="dxa"/>
            </w:tcMar>
            <w:shd w:fill="164E63"/>
          </w:tcPr>
          <w:p>
            <w:pPr>
              <w:spacing w:after="0"/>
            </w:pPr>
            <w:r>
              <w:rPr>
                <w:rFonts w:ascii="Calibri" w:hAnsi="Calibri"/>
                <w:b/>
                <w:i w:val="0"/>
                <w:color w:val="FFFFFF"/>
                <w:sz w:val="18"/>
              </w:rPr>
              <w:t>Observed / proposed</w:t>
            </w:r>
          </w:p>
        </w:tc>
        <w:tc>
          <w:tcPr>
            <w:tcW w:type="dxa" w:w="5040"/>
            <w:vAlign w:val="center"/>
            <w:tcMar>
              <w:top w:w="80" w:type="dxa"/>
              <w:start w:w="110" w:type="dxa"/>
              <w:bottom w:w="80" w:type="dxa"/>
              <w:end w:w="110" w:type="dxa"/>
            </w:tcMar>
            <w:shd w:fill="164E63"/>
          </w:tcPr>
          <w:p>
            <w:pPr>
              <w:spacing w:after="0"/>
            </w:pPr>
            <w:r>
              <w:rPr>
                <w:rFonts w:ascii="Calibri" w:hAnsi="Calibri"/>
                <w:b/>
                <w:i w:val="0"/>
                <w:color w:val="FFFFFF"/>
                <w:sz w:val="18"/>
              </w:rPr>
              <w:t>Assessment</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Host OS</w:t>
            </w:r>
          </w:p>
        </w:tc>
        <w:tc>
          <w:tcPr>
            <w:tcW w:type="dxa" w:w="3456"/>
            <w:vAlign w:val="center"/>
            <w:tcMar>
              <w:top w:w="80" w:type="dxa"/>
              <w:start w:w="110" w:type="dxa"/>
              <w:bottom w:w="80" w:type="dxa"/>
              <w:end w:w="110" w:type="dxa"/>
            </w:tcMar>
          </w:tcPr>
          <w:p>
            <w:pPr>
              <w:spacing w:after="0"/>
            </w:pPr>
            <w:r>
              <w:rPr>
                <w:rFonts w:ascii="Calibri" w:hAnsi="Calibri"/>
                <w:b w:val="0"/>
                <w:i w:val="0"/>
                <w:color w:val="1F2937"/>
                <w:sz w:val="18"/>
              </w:rPr>
              <w:t>Windows Server 2019, build 17763.379</w:t>
            </w:r>
          </w:p>
        </w:tc>
        <w:tc>
          <w:tcPr>
            <w:tcW w:type="dxa" w:w="5040"/>
            <w:vAlign w:val="center"/>
            <w:tcMar>
              <w:top w:w="80" w:type="dxa"/>
              <w:start w:w="110" w:type="dxa"/>
              <w:bottom w:w="80" w:type="dxa"/>
              <w:end w:w="110" w:type="dxa"/>
            </w:tcMar>
          </w:tcPr>
          <w:p>
            <w:pPr>
              <w:spacing w:after="0"/>
            </w:pPr>
            <w:r>
              <w:rPr>
                <w:rFonts w:ascii="Calibri" w:hAnsi="Calibri"/>
                <w:b w:val="0"/>
                <w:i w:val="0"/>
                <w:color w:val="1F2937"/>
                <w:sz w:val="18"/>
              </w:rPr>
              <w:t>Usable as Hyper-V host; fully patch before deployment</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Hypervisor</w:t>
            </w:r>
          </w:p>
        </w:tc>
        <w:tc>
          <w:tcPr>
            <w:tcW w:type="dxa" w:w="3456"/>
            <w:vAlign w:val="center"/>
            <w:tcMar>
              <w:top w:w="80" w:type="dxa"/>
              <w:start w:w="110" w:type="dxa"/>
              <w:bottom w:w="80" w:type="dxa"/>
              <w:end w:w="110" w:type="dxa"/>
            </w:tcMar>
            <w:shd w:fill="F2F4F7"/>
          </w:tcPr>
          <w:p>
            <w:pPr>
              <w:spacing w:after="0"/>
            </w:pPr>
            <w:r>
              <w:rPr>
                <w:rFonts w:ascii="Calibri" w:hAnsi="Calibri"/>
                <w:b w:val="0"/>
                <w:i w:val="0"/>
                <w:color w:val="1F2937"/>
                <w:sz w:val="18"/>
              </w:rPr>
              <w:t>Hyper-V detected</w:t>
            </w:r>
          </w:p>
        </w:tc>
        <w:tc>
          <w:tcPr>
            <w:tcW w:type="dxa" w:w="5040"/>
            <w:vAlign w:val="center"/>
            <w:tcMar>
              <w:top w:w="80" w:type="dxa"/>
              <w:start w:w="110" w:type="dxa"/>
              <w:bottom w:w="80" w:type="dxa"/>
              <w:end w:w="110" w:type="dxa"/>
            </w:tcMar>
            <w:shd w:fill="F2F4F7"/>
          </w:tcPr>
          <w:p>
            <w:pPr>
              <w:spacing w:after="0"/>
            </w:pPr>
            <w:r>
              <w:rPr>
                <w:rFonts w:ascii="Calibri" w:hAnsi="Calibri"/>
                <w:b w:val="0"/>
                <w:i w:val="0"/>
                <w:color w:val="1F2937"/>
                <w:sz w:val="18"/>
              </w:rPr>
              <w:t>Prerequisite satisfied; validate VM creation rights and virtual switch</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Memory</w:t>
            </w:r>
          </w:p>
        </w:tc>
        <w:tc>
          <w:tcPr>
            <w:tcW w:type="dxa" w:w="3456"/>
            <w:vAlign w:val="center"/>
            <w:tcMar>
              <w:top w:w="80" w:type="dxa"/>
              <w:start w:w="110" w:type="dxa"/>
              <w:bottom w:w="80" w:type="dxa"/>
              <w:end w:w="110" w:type="dxa"/>
            </w:tcMar>
          </w:tcPr>
          <w:p>
            <w:pPr>
              <w:spacing w:after="0"/>
            </w:pPr>
            <w:r>
              <w:rPr>
                <w:rFonts w:ascii="Calibri" w:hAnsi="Calibri"/>
                <w:b w:val="0"/>
                <w:i w:val="0"/>
                <w:color w:val="1F2937"/>
                <w:sz w:val="18"/>
              </w:rPr>
              <w:t>16 GB host RAM</w:t>
            </w:r>
          </w:p>
        </w:tc>
        <w:tc>
          <w:tcPr>
            <w:tcW w:type="dxa" w:w="5040"/>
            <w:vAlign w:val="center"/>
            <w:tcMar>
              <w:top w:w="80" w:type="dxa"/>
              <w:start w:w="110" w:type="dxa"/>
              <w:bottom w:w="80" w:type="dxa"/>
              <w:end w:w="110" w:type="dxa"/>
            </w:tcMar>
          </w:tcPr>
          <w:p>
            <w:pPr>
              <w:spacing w:after="0"/>
            </w:pPr>
            <w:r>
              <w:rPr>
                <w:rFonts w:ascii="Calibri" w:hAnsi="Calibri"/>
                <w:b w:val="0"/>
                <w:i w:val="0"/>
                <w:color w:val="1F2937"/>
                <w:sz w:val="18"/>
              </w:rPr>
              <w:t>Allocate 8 GB to VM only if host has no heavy competing workload</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CPU</w:t>
            </w:r>
          </w:p>
        </w:tc>
        <w:tc>
          <w:tcPr>
            <w:tcW w:type="dxa" w:w="3456"/>
            <w:vAlign w:val="center"/>
            <w:tcMar>
              <w:top w:w="80" w:type="dxa"/>
              <w:start w:w="110" w:type="dxa"/>
              <w:bottom w:w="80" w:type="dxa"/>
              <w:end w:w="110" w:type="dxa"/>
            </w:tcMar>
            <w:shd w:fill="F2F4F7"/>
          </w:tcPr>
          <w:p>
            <w:pPr>
              <w:spacing w:after="0"/>
            </w:pPr>
            <w:r>
              <w:rPr>
                <w:rFonts w:ascii="Calibri" w:hAnsi="Calibri"/>
                <w:b w:val="0"/>
                <w:i w:val="0"/>
                <w:color w:val="1F2937"/>
                <w:sz w:val="18"/>
              </w:rPr>
              <w:t>2 x Xeon E5-2620 v2</w:t>
            </w:r>
          </w:p>
        </w:tc>
        <w:tc>
          <w:tcPr>
            <w:tcW w:type="dxa" w:w="5040"/>
            <w:vAlign w:val="center"/>
            <w:tcMar>
              <w:top w:w="80" w:type="dxa"/>
              <w:start w:w="110" w:type="dxa"/>
              <w:bottom w:w="80" w:type="dxa"/>
              <w:end w:w="110" w:type="dxa"/>
            </w:tcMar>
            <w:shd w:fill="F2F4F7"/>
          </w:tcPr>
          <w:p>
            <w:pPr>
              <w:spacing w:after="0"/>
            </w:pPr>
            <w:r>
              <w:rPr>
                <w:rFonts w:ascii="Calibri" w:hAnsi="Calibri"/>
                <w:b w:val="0"/>
                <w:i w:val="0"/>
                <w:color w:val="1F2937"/>
                <w:sz w:val="18"/>
              </w:rPr>
              <w:t>Adequate; allocate 4-6 vCPU</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Storage</w:t>
            </w:r>
          </w:p>
        </w:tc>
        <w:tc>
          <w:tcPr>
            <w:tcW w:type="dxa" w:w="3456"/>
            <w:vAlign w:val="center"/>
            <w:tcMar>
              <w:top w:w="80" w:type="dxa"/>
              <w:start w:w="110" w:type="dxa"/>
              <w:bottom w:w="80" w:type="dxa"/>
              <w:end w:w="110" w:type="dxa"/>
            </w:tcMar>
          </w:tcPr>
          <w:p>
            <w:pPr>
              <w:spacing w:after="0"/>
            </w:pPr>
            <w:r>
              <w:rPr>
                <w:rFonts w:ascii="Calibri" w:hAnsi="Calibri"/>
                <w:b w:val="0"/>
                <w:i w:val="0"/>
                <w:color w:val="1F2937"/>
                <w:sz w:val="18"/>
              </w:rPr>
              <w:t>Not yet confirmed</w:t>
            </w:r>
          </w:p>
        </w:tc>
        <w:tc>
          <w:tcPr>
            <w:tcW w:type="dxa" w:w="5040"/>
            <w:vAlign w:val="center"/>
            <w:tcMar>
              <w:top w:w="80" w:type="dxa"/>
              <w:start w:w="110" w:type="dxa"/>
              <w:bottom w:w="80" w:type="dxa"/>
              <w:end w:w="110" w:type="dxa"/>
            </w:tcMar>
          </w:tcPr>
          <w:p>
            <w:pPr>
              <w:spacing w:after="0"/>
            </w:pPr>
            <w:r>
              <w:rPr>
                <w:rFonts w:ascii="Calibri" w:hAnsi="Calibri"/>
                <w:b w:val="0"/>
                <w:i w:val="0"/>
                <w:color w:val="1F2937"/>
                <w:sz w:val="18"/>
              </w:rPr>
              <w:t>Approval gate: 100-150 GB SSD-backed capacity plus off-server backup</w:t>
            </w:r>
          </w:p>
        </w:tc>
      </w:tr>
    </w:tbl>
    <w:p>
      <w:pPr>
        <w:spacing w:after="20"/>
      </w:pPr>
    </w:p>
    <w:p>
      <w:r>
        <w:br w:type="page"/>
      </w:r>
    </w:p>
    <w:p>
      <w:pPr>
        <w:pStyle w:val="Heading1"/>
      </w:pPr>
      <w:r>
        <w:t>1. Scope and target architecture</w:t>
      </w:r>
    </w:p>
    <w:p>
      <w:r>
        <w:t>This runbook covers infrastructure preparation, self-hosted Supabase installation, migration of the existing PostgreSQL data and authentication users, transfer of contract documents and avatars, ContractConnect configuration, acceptance testing, final cutover and rollback. It does not authorize deletion of the managed Supabase environment.</w:t>
      </w:r>
    </w:p>
    <w:p>
      <w:pPr>
        <w:pStyle w:val="Heading2"/>
      </w:pPr>
      <w:r>
        <w:t>Target architecture</w:t>
      </w:r>
    </w:p>
    <w:p>
      <w:pPr>
        <w:spacing w:after="0"/>
        <w:ind w:left="360" w:right="216"/>
        <w:shd w:fill="F5F7F9"/>
      </w:pPr>
      <w:r>
        <w:rPr>
          <w:rFonts w:ascii="Consolas" w:hAnsi="Consolas"/>
          <w:b w:val="0"/>
          <w:i w:val="0"/>
          <w:color w:val="263238"/>
          <w:sz w:val="17"/>
        </w:rPr>
        <w:t>Internal users (HTTPS 443)</w:t>
      </w:r>
    </w:p>
    <w:p>
      <w:pPr>
        <w:spacing w:after="0"/>
        <w:ind w:left="360" w:right="216"/>
        <w:shd w:fill="F5F7F9"/>
      </w:pPr>
      <w:r>
        <w:rPr>
          <w:rFonts w:ascii="Consolas" w:hAnsi="Consolas"/>
          <w:b w:val="0"/>
          <w:i w:val="0"/>
          <w:color w:val="263238"/>
          <w:sz w:val="17"/>
        </w:rPr>
        <w:t xml:space="preserve">        |</w:t>
      </w:r>
    </w:p>
    <w:p>
      <w:pPr>
        <w:spacing w:after="0"/>
        <w:ind w:left="360" w:right="216"/>
        <w:shd w:fill="F5F7F9"/>
      </w:pPr>
      <w:r>
        <w:rPr>
          <w:rFonts w:ascii="Consolas" w:hAnsi="Consolas"/>
          <w:b w:val="0"/>
          <w:i w:val="0"/>
          <w:color w:val="263238"/>
          <w:sz w:val="17"/>
        </w:rPr>
        <w:t xml:space="preserve">        +--&gt; ContractConnect web application</w:t>
      </w:r>
    </w:p>
    <w:p>
      <w:pPr>
        <w:spacing w:after="0"/>
        <w:ind w:left="360" w:right="216"/>
        <w:shd w:fill="F5F7F9"/>
      </w:pPr>
      <w:r>
        <w:rPr>
          <w:rFonts w:ascii="Consolas" w:hAnsi="Consolas"/>
          <w:b w:val="0"/>
          <w:i w:val="0"/>
          <w:color w:val="263238"/>
          <w:sz w:val="17"/>
        </w:rPr>
        <w:t xml:space="preserve">        |</w:t>
      </w:r>
    </w:p>
    <w:p>
      <w:pPr>
        <w:spacing w:after="0"/>
        <w:ind w:left="360" w:right="216"/>
        <w:shd w:fill="F5F7F9"/>
      </w:pPr>
      <w:r>
        <w:rPr>
          <w:rFonts w:ascii="Consolas" w:hAnsi="Consolas"/>
          <w:b w:val="0"/>
          <w:i w:val="0"/>
          <w:color w:val="263238"/>
          <w:sz w:val="17"/>
        </w:rPr>
        <w:t xml:space="preserve">        +--&gt; Internal reverse proxy / WAF</w:t>
      </w:r>
    </w:p>
    <w:p>
      <w:pPr>
        <w:spacing w:after="0"/>
        <w:ind w:left="360" w:right="216"/>
        <w:shd w:fill="F5F7F9"/>
      </w:pPr>
      <w:r>
        <w:rPr>
          <w:rFonts w:ascii="Consolas" w:hAnsi="Consolas"/>
          <w:b w:val="0"/>
          <w:i w:val="0"/>
          <w:color w:val="263238"/>
          <w:sz w:val="17"/>
        </w:rPr>
        <w:t xml:space="preserve">                 |</w:t>
      </w:r>
    </w:p>
    <w:p>
      <w:pPr>
        <w:spacing w:after="0"/>
        <w:ind w:left="360" w:right="216"/>
        <w:shd w:fill="F5F7F9"/>
      </w:pPr>
      <w:r>
        <w:rPr>
          <w:rFonts w:ascii="Consolas" w:hAnsi="Consolas"/>
          <w:b w:val="0"/>
          <w:i w:val="0"/>
          <w:color w:val="263238"/>
          <w:sz w:val="17"/>
        </w:rPr>
        <w:t>Windows Server 2019 Hyper-V host</w:t>
      </w:r>
    </w:p>
    <w:p>
      <w:pPr>
        <w:spacing w:after="0"/>
        <w:ind w:left="360" w:right="216"/>
        <w:shd w:fill="F5F7F9"/>
      </w:pPr>
      <w:r>
        <w:rPr>
          <w:rFonts w:ascii="Consolas" w:hAnsi="Consolas"/>
          <w:b w:val="0"/>
          <w:i w:val="0"/>
          <w:color w:val="263238"/>
          <w:sz w:val="17"/>
        </w:rPr>
        <w:t xml:space="preserve">  `-- Ubuntu Server VM</w:t>
      </w:r>
    </w:p>
    <w:p>
      <w:pPr>
        <w:spacing w:after="0"/>
        <w:ind w:left="360" w:right="216"/>
        <w:shd w:fill="F5F7F9"/>
      </w:pPr>
      <w:r>
        <w:rPr>
          <w:rFonts w:ascii="Consolas" w:hAnsi="Consolas"/>
          <w:b w:val="0"/>
          <w:i w:val="0"/>
          <w:color w:val="263238"/>
          <w:sz w:val="17"/>
        </w:rPr>
        <w:t xml:space="preserve">        |-- Docker Engine + Compose</w:t>
      </w:r>
    </w:p>
    <w:p>
      <w:pPr>
        <w:spacing w:after="0"/>
        <w:ind w:left="360" w:right="216"/>
        <w:shd w:fill="F5F7F9"/>
      </w:pPr>
      <w:r>
        <w:rPr>
          <w:rFonts w:ascii="Consolas" w:hAnsi="Consolas"/>
          <w:b w:val="0"/>
          <w:i w:val="0"/>
          <w:color w:val="263238"/>
          <w:sz w:val="17"/>
        </w:rPr>
        <w:t xml:space="preserve">        |-- Supabase API gateway</w:t>
      </w:r>
    </w:p>
    <w:p>
      <w:pPr>
        <w:spacing w:after="0"/>
        <w:ind w:left="360" w:right="216"/>
        <w:shd w:fill="F5F7F9"/>
      </w:pPr>
      <w:r>
        <w:rPr>
          <w:rFonts w:ascii="Consolas" w:hAnsi="Consolas"/>
          <w:b w:val="0"/>
          <w:i w:val="0"/>
          <w:color w:val="263238"/>
          <w:sz w:val="17"/>
        </w:rPr>
        <w:t xml:space="preserve">        |-- Authentication service</w:t>
      </w:r>
    </w:p>
    <w:p>
      <w:pPr>
        <w:spacing w:after="0"/>
        <w:ind w:left="360" w:right="216"/>
        <w:shd w:fill="F5F7F9"/>
      </w:pPr>
      <w:r>
        <w:rPr>
          <w:rFonts w:ascii="Consolas" w:hAnsi="Consolas"/>
          <w:b w:val="0"/>
          <w:i w:val="0"/>
          <w:color w:val="263238"/>
          <w:sz w:val="17"/>
        </w:rPr>
        <w:t xml:space="preserve">        |-- PostgreSQL / connection pooler</w:t>
      </w:r>
    </w:p>
    <w:p>
      <w:pPr>
        <w:spacing w:after="0"/>
        <w:ind w:left="360" w:right="216"/>
        <w:shd w:fill="F5F7F9"/>
      </w:pPr>
      <w:r>
        <w:rPr>
          <w:rFonts w:ascii="Consolas" w:hAnsi="Consolas"/>
          <w:b w:val="0"/>
          <w:i w:val="0"/>
          <w:color w:val="263238"/>
          <w:sz w:val="17"/>
        </w:rPr>
        <w:t xml:space="preserve">        |-- Storage service</w:t>
      </w:r>
    </w:p>
    <w:p>
      <w:pPr>
        <w:spacing w:after="0"/>
        <w:ind w:left="360" w:right="216"/>
        <w:shd w:fill="F5F7F9"/>
      </w:pPr>
      <w:r>
        <w:rPr>
          <w:rFonts w:ascii="Consolas" w:hAnsi="Consolas"/>
          <w:b w:val="0"/>
          <w:i w:val="0"/>
          <w:color w:val="263238"/>
          <w:sz w:val="17"/>
        </w:rPr>
        <w:t xml:space="preserve">        `-- Studio (administrator-restricted)</w:t>
      </w:r>
    </w:p>
    <w:p>
      <w:pPr>
        <w:spacing w:after="20"/>
      </w:pPr>
    </w:p>
    <w:p>
      <w:pPr>
        <w:pStyle w:val="Heading2"/>
      </w:pPr>
      <w:r>
        <w:t>Design principles</w:t>
      </w:r>
    </w:p>
    <w:p>
      <w:pPr>
        <w:pStyle w:val="ListBullet"/>
        <w:spacing w:after="60"/>
      </w:pPr>
      <w:r>
        <w:t>No Docker Desktop on Windows Server.</w:t>
      </w:r>
    </w:p>
    <w:p>
      <w:pPr>
        <w:pStyle w:val="ListBullet"/>
        <w:spacing w:after="60"/>
      </w:pPr>
      <w:r>
        <w:t>No direct PostgreSQL access from user workstations or the React browser application.</w:t>
      </w:r>
    </w:p>
    <w:p>
      <w:pPr>
        <w:pStyle w:val="ListBullet"/>
        <w:spacing w:after="60"/>
      </w:pPr>
      <w:r>
        <w:t>All user and API traffic uses HTTPS, including internal traffic.</w:t>
      </w:r>
    </w:p>
    <w:p>
      <w:pPr>
        <w:pStyle w:val="ListBullet"/>
        <w:spacing w:after="60"/>
      </w:pPr>
      <w:r>
        <w:t>Persistent database and storage data reside on backed-up, SSD-backed storage.</w:t>
      </w:r>
    </w:p>
    <w:p>
      <w:pPr>
        <w:pStyle w:val="ListBullet"/>
        <w:spacing w:after="60"/>
      </w:pPr>
      <w:r>
        <w:t>Studio, SSH and database administration are restricted to approved administrators.</w:t>
      </w:r>
    </w:p>
    <w:p>
      <w:pPr>
        <w:pStyle w:val="ListBullet"/>
        <w:spacing w:after="60"/>
      </w:pPr>
      <w:r>
        <w:t>The cloud environment remains available as a time-limited rollback source.</w:t>
      </w:r>
    </w:p>
    <w:p>
      <w:pPr>
        <w:pStyle w:val="Heading1"/>
      </w:pPr>
      <w:r>
        <w:t>2. Approval prerequisites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vAlign w:val="center"/>
            <w:tcMar>
              <w:top w:w="80" w:type="dxa"/>
              <w:start w:w="110" w:type="dxa"/>
              <w:bottom w:w="80" w:type="dxa"/>
              <w:end w:w="110" w:type="dxa"/>
            </w:tcMar>
            <w:shd w:fill="164E63"/>
          </w:tcPr>
          <w:p>
            <w:pPr>
              <w:spacing w:after="0"/>
            </w:pPr>
            <w:r>
              <w:rPr>
                <w:rFonts w:ascii="Calibri" w:hAnsi="Calibri"/>
                <w:b/>
                <w:i w:val="0"/>
                <w:color w:val="FFFFFF"/>
                <w:sz w:val="18"/>
              </w:rPr>
              <w:t>Decision / input</w:t>
            </w:r>
          </w:p>
        </w:tc>
        <w:tc>
          <w:tcPr>
            <w:tcW w:type="dxa" w:w="5976"/>
            <w:vAlign w:val="center"/>
            <w:tcMar>
              <w:top w:w="80" w:type="dxa"/>
              <w:start w:w="110" w:type="dxa"/>
              <w:bottom w:w="80" w:type="dxa"/>
              <w:end w:w="110" w:type="dxa"/>
            </w:tcMar>
            <w:shd w:fill="164E63"/>
          </w:tcPr>
          <w:p>
            <w:pPr>
              <w:spacing w:after="0"/>
            </w:pPr>
            <w:r>
              <w:rPr>
                <w:rFonts w:ascii="Calibri" w:hAnsi="Calibri"/>
                <w:b/>
                <w:i w:val="0"/>
                <w:color w:val="FFFFFF"/>
                <w:sz w:val="18"/>
              </w:rPr>
              <w:t>Required outcome</w:t>
            </w:r>
          </w:p>
        </w:tc>
        <w:tc>
          <w:tcPr>
            <w:tcW w:type="dxa" w:w="2448"/>
            <w:vAlign w:val="center"/>
            <w:tcMar>
              <w:top w:w="80" w:type="dxa"/>
              <w:start w:w="110" w:type="dxa"/>
              <w:bottom w:w="80" w:type="dxa"/>
              <w:end w:w="110" w:type="dxa"/>
            </w:tcMar>
            <w:shd w:fill="164E63"/>
          </w:tcPr>
          <w:p>
            <w:pPr>
              <w:spacing w:after="0"/>
            </w:pPr>
            <w:r>
              <w:rPr>
                <w:rFonts w:ascii="Calibri" w:hAnsi="Calibri"/>
                <w:b/>
                <w:i w:val="0"/>
                <w:color w:val="FFFFFF"/>
                <w:sz w:val="18"/>
              </w:rPr>
              <w:t>Owner</w:t>
            </w:r>
          </w:p>
        </w:tc>
      </w:tr>
      <w:tr>
        <w:tc>
          <w:tcPr>
            <w:tcW w:type="dxa" w:w="1800"/>
            <w:vAlign w:val="center"/>
            <w:tcMar>
              <w:top w:w="80" w:type="dxa"/>
              <w:start w:w="110" w:type="dxa"/>
              <w:bottom w:w="80" w:type="dxa"/>
              <w:end w:w="110" w:type="dxa"/>
            </w:tcMar>
          </w:tcPr>
          <w:p>
            <w:pPr>
              <w:spacing w:after="0"/>
            </w:pPr>
            <w:r>
              <w:rPr>
                <w:rFonts w:ascii="Calibri" w:hAnsi="Calibri"/>
                <w:b w:val="0"/>
                <w:i w:val="0"/>
                <w:color w:val="1F2937"/>
                <w:sz w:val="18"/>
              </w:rPr>
              <w:t>Host utilization</w:t>
            </w:r>
          </w:p>
        </w:tc>
        <w:tc>
          <w:tcPr>
            <w:tcW w:type="dxa" w:w="5976"/>
            <w:vAlign w:val="center"/>
            <w:tcMar>
              <w:top w:w="80" w:type="dxa"/>
              <w:start w:w="110" w:type="dxa"/>
              <w:bottom w:w="80" w:type="dxa"/>
              <w:end w:w="110" w:type="dxa"/>
            </w:tcMar>
          </w:tcPr>
          <w:p>
            <w:pPr>
              <w:spacing w:after="0"/>
            </w:pPr>
            <w:r>
              <w:rPr>
                <w:rFonts w:ascii="Calibri" w:hAnsi="Calibri"/>
                <w:b w:val="0"/>
                <w:i w:val="0"/>
                <w:color w:val="1F2937"/>
                <w:sz w:val="18"/>
              </w:rPr>
              <w:t>Confirm at least 8 GB RAM and 4 vCPU remain available</w:t>
            </w:r>
          </w:p>
        </w:tc>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Infrastructure</w:t>
            </w:r>
          </w:p>
        </w:tc>
      </w:tr>
      <w:tr>
        <w:tc>
          <w:tcPr>
            <w:tcW w:type="dxa" w:w="1800"/>
            <w:vAlign w:val="center"/>
            <w:tcMar>
              <w:top w:w="80" w:type="dxa"/>
              <w:start w:w="110" w:type="dxa"/>
              <w:bottom w:w="80" w:type="dxa"/>
              <w:end w:w="110" w:type="dxa"/>
            </w:tcMar>
            <w:shd w:fill="F2F4F7"/>
          </w:tcPr>
          <w:p>
            <w:pPr>
              <w:spacing w:after="0"/>
            </w:pPr>
            <w:r>
              <w:rPr>
                <w:rFonts w:ascii="Calibri" w:hAnsi="Calibri"/>
                <w:b w:val="0"/>
                <w:i w:val="0"/>
                <w:color w:val="1F2937"/>
                <w:sz w:val="18"/>
              </w:rPr>
              <w:t>Storage</w:t>
            </w:r>
          </w:p>
        </w:tc>
        <w:tc>
          <w:tcPr>
            <w:tcW w:type="dxa" w:w="5976"/>
            <w:vAlign w:val="center"/>
            <w:tcMar>
              <w:top w:w="80" w:type="dxa"/>
              <w:start w:w="110" w:type="dxa"/>
              <w:bottom w:w="80" w:type="dxa"/>
              <w:end w:w="110" w:type="dxa"/>
            </w:tcMar>
            <w:shd w:fill="F2F4F7"/>
          </w:tcPr>
          <w:p>
            <w:pPr>
              <w:spacing w:after="0"/>
            </w:pPr>
            <w:r>
              <w:rPr>
                <w:rFonts w:ascii="Calibri" w:hAnsi="Calibri"/>
                <w:b w:val="0"/>
                <w:i w:val="0"/>
                <w:color w:val="1F2937"/>
                <w:sz w:val="18"/>
              </w:rPr>
              <w:t>Approve 100-150 GB initial SSD-backed VM disk and growth monitoring</w:t>
            </w:r>
          </w:p>
        </w:tc>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Infrastructure</w:t>
            </w:r>
          </w:p>
        </w:tc>
      </w:tr>
      <w:tr>
        <w:tc>
          <w:tcPr>
            <w:tcW w:type="dxa" w:w="1800"/>
            <w:vAlign w:val="center"/>
            <w:tcMar>
              <w:top w:w="80" w:type="dxa"/>
              <w:start w:w="110" w:type="dxa"/>
              <w:bottom w:w="80" w:type="dxa"/>
              <w:end w:w="110" w:type="dxa"/>
            </w:tcMar>
          </w:tcPr>
          <w:p>
            <w:pPr>
              <w:spacing w:after="0"/>
            </w:pPr>
            <w:r>
              <w:rPr>
                <w:rFonts w:ascii="Calibri" w:hAnsi="Calibri"/>
                <w:b w:val="0"/>
                <w:i w:val="0"/>
                <w:color w:val="1F2937"/>
                <w:sz w:val="18"/>
              </w:rPr>
              <w:t>Network</w:t>
            </w:r>
          </w:p>
        </w:tc>
        <w:tc>
          <w:tcPr>
            <w:tcW w:type="dxa" w:w="5976"/>
            <w:vAlign w:val="center"/>
            <w:tcMar>
              <w:top w:w="80" w:type="dxa"/>
              <w:start w:w="110" w:type="dxa"/>
              <w:bottom w:w="80" w:type="dxa"/>
              <w:end w:w="110" w:type="dxa"/>
            </w:tcMar>
          </w:tcPr>
          <w:p>
            <w:pPr>
              <w:spacing w:after="0"/>
            </w:pPr>
            <w:r>
              <w:rPr>
                <w:rFonts w:ascii="Calibri" w:hAnsi="Calibri"/>
                <w:b w:val="0"/>
                <w:i w:val="0"/>
                <w:color w:val="1F2937"/>
                <w:sz w:val="18"/>
              </w:rPr>
              <w:t>Static IP, production VLAN and Hyper-V virtual switch</w:t>
            </w:r>
          </w:p>
        </w:tc>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Network team</w:t>
            </w:r>
          </w:p>
        </w:tc>
      </w:tr>
      <w:tr>
        <w:tc>
          <w:tcPr>
            <w:tcW w:type="dxa" w:w="1800"/>
            <w:vAlign w:val="center"/>
            <w:tcMar>
              <w:top w:w="80" w:type="dxa"/>
              <w:start w:w="110" w:type="dxa"/>
              <w:bottom w:w="80" w:type="dxa"/>
              <w:end w:w="110" w:type="dxa"/>
            </w:tcMar>
            <w:shd w:fill="F2F4F7"/>
          </w:tcPr>
          <w:p>
            <w:pPr>
              <w:spacing w:after="0"/>
            </w:pPr>
            <w:r>
              <w:rPr>
                <w:rFonts w:ascii="Calibri" w:hAnsi="Calibri"/>
                <w:b w:val="0"/>
                <w:i w:val="0"/>
                <w:color w:val="1F2937"/>
                <w:sz w:val="18"/>
              </w:rPr>
              <w:t>DNS</w:t>
            </w:r>
          </w:p>
        </w:tc>
        <w:tc>
          <w:tcPr>
            <w:tcW w:type="dxa" w:w="5976"/>
            <w:vAlign w:val="center"/>
            <w:tcMar>
              <w:top w:w="80" w:type="dxa"/>
              <w:start w:w="110" w:type="dxa"/>
              <w:bottom w:w="80" w:type="dxa"/>
              <w:end w:w="110" w:type="dxa"/>
            </w:tcMar>
            <w:shd w:fill="F2F4F7"/>
          </w:tcPr>
          <w:p>
            <w:pPr>
              <w:spacing w:after="0"/>
            </w:pPr>
            <w:r>
              <w:rPr>
                <w:rFonts w:ascii="Calibri" w:hAnsi="Calibri"/>
                <w:b w:val="0"/>
                <w:i w:val="0"/>
                <w:color w:val="1F2937"/>
                <w:sz w:val="18"/>
              </w:rPr>
              <w:t>Internal names for application and Supabase API</w:t>
            </w:r>
          </w:p>
        </w:tc>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DNS administrator</w:t>
            </w:r>
          </w:p>
        </w:tc>
      </w:tr>
      <w:tr>
        <w:tc>
          <w:tcPr>
            <w:tcW w:type="dxa" w:w="1800"/>
            <w:vAlign w:val="center"/>
            <w:tcMar>
              <w:top w:w="80" w:type="dxa"/>
              <w:start w:w="110" w:type="dxa"/>
              <w:bottom w:w="80" w:type="dxa"/>
              <w:end w:w="110" w:type="dxa"/>
            </w:tcMar>
          </w:tcPr>
          <w:p>
            <w:pPr>
              <w:spacing w:after="0"/>
            </w:pPr>
            <w:r>
              <w:rPr>
                <w:rFonts w:ascii="Calibri" w:hAnsi="Calibri"/>
                <w:b w:val="0"/>
                <w:i w:val="0"/>
                <w:color w:val="1F2937"/>
                <w:sz w:val="18"/>
              </w:rPr>
              <w:t>TLS</w:t>
            </w:r>
          </w:p>
        </w:tc>
        <w:tc>
          <w:tcPr>
            <w:tcW w:type="dxa" w:w="5976"/>
            <w:vAlign w:val="center"/>
            <w:tcMar>
              <w:top w:w="80" w:type="dxa"/>
              <w:start w:w="110" w:type="dxa"/>
              <w:bottom w:w="80" w:type="dxa"/>
              <w:end w:w="110" w:type="dxa"/>
            </w:tcMar>
          </w:tcPr>
          <w:p>
            <w:pPr>
              <w:spacing w:after="0"/>
            </w:pPr>
            <w:r>
              <w:rPr>
                <w:rFonts w:ascii="Calibri" w:hAnsi="Calibri"/>
                <w:b w:val="0"/>
                <w:i w:val="0"/>
                <w:color w:val="1F2937"/>
                <w:sz w:val="18"/>
              </w:rPr>
              <w:t>Certificate trusted by all internal clients</w:t>
            </w:r>
          </w:p>
        </w:tc>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Security / PKI</w:t>
            </w:r>
          </w:p>
        </w:tc>
      </w:tr>
      <w:tr>
        <w:tc>
          <w:tcPr>
            <w:tcW w:type="dxa" w:w="1800"/>
            <w:vAlign w:val="center"/>
            <w:tcMar>
              <w:top w:w="80" w:type="dxa"/>
              <w:start w:w="110" w:type="dxa"/>
              <w:bottom w:w="80" w:type="dxa"/>
              <w:end w:w="110" w:type="dxa"/>
            </w:tcMar>
            <w:shd w:fill="F2F4F7"/>
          </w:tcPr>
          <w:p>
            <w:pPr>
              <w:spacing w:after="0"/>
            </w:pPr>
            <w:r>
              <w:rPr>
                <w:rFonts w:ascii="Calibri" w:hAnsi="Calibri"/>
                <w:b w:val="0"/>
                <w:i w:val="0"/>
                <w:color w:val="1F2937"/>
                <w:sz w:val="18"/>
              </w:rPr>
              <w:t>SMTP</w:t>
            </w:r>
          </w:p>
        </w:tc>
        <w:tc>
          <w:tcPr>
            <w:tcW w:type="dxa" w:w="5976"/>
            <w:vAlign w:val="center"/>
            <w:tcMar>
              <w:top w:w="80" w:type="dxa"/>
              <w:start w:w="110" w:type="dxa"/>
              <w:bottom w:w="80" w:type="dxa"/>
              <w:end w:w="110" w:type="dxa"/>
            </w:tcMar>
            <w:shd w:fill="F2F4F7"/>
          </w:tcPr>
          <w:p>
            <w:pPr>
              <w:spacing w:after="0"/>
            </w:pPr>
            <w:r>
              <w:rPr>
                <w:rFonts w:ascii="Calibri" w:hAnsi="Calibri"/>
                <w:b w:val="0"/>
                <w:i w:val="0"/>
                <w:color w:val="1F2937"/>
                <w:sz w:val="18"/>
              </w:rPr>
              <w:t>Relay account and permitted sender for verification/reset email</w:t>
            </w:r>
          </w:p>
        </w:tc>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Messaging team</w:t>
            </w:r>
          </w:p>
        </w:tc>
      </w:tr>
      <w:tr>
        <w:tc>
          <w:tcPr>
            <w:tcW w:type="dxa" w:w="1800"/>
            <w:vAlign w:val="center"/>
            <w:tcMar>
              <w:top w:w="80" w:type="dxa"/>
              <w:start w:w="110" w:type="dxa"/>
              <w:bottom w:w="80" w:type="dxa"/>
              <w:end w:w="110" w:type="dxa"/>
            </w:tcMar>
          </w:tcPr>
          <w:p>
            <w:pPr>
              <w:spacing w:after="0"/>
            </w:pPr>
            <w:r>
              <w:rPr>
                <w:rFonts w:ascii="Calibri" w:hAnsi="Calibri"/>
                <w:b w:val="0"/>
                <w:i w:val="0"/>
                <w:color w:val="1F2937"/>
                <w:sz w:val="18"/>
              </w:rPr>
              <w:t>Backup</w:t>
            </w:r>
          </w:p>
        </w:tc>
        <w:tc>
          <w:tcPr>
            <w:tcW w:type="dxa" w:w="5976"/>
            <w:vAlign w:val="center"/>
            <w:tcMar>
              <w:top w:w="80" w:type="dxa"/>
              <w:start w:w="110" w:type="dxa"/>
              <w:bottom w:w="80" w:type="dxa"/>
              <w:end w:w="110" w:type="dxa"/>
            </w:tcMar>
          </w:tcPr>
          <w:p>
            <w:pPr>
              <w:spacing w:after="0"/>
            </w:pPr>
            <w:r>
              <w:rPr>
                <w:rFonts w:ascii="Calibri" w:hAnsi="Calibri"/>
                <w:b w:val="0"/>
                <w:i w:val="0"/>
                <w:color w:val="1F2937"/>
                <w:sz w:val="18"/>
              </w:rPr>
              <w:t>Off-server destination, retention, encryption and restore-test owner</w:t>
            </w:r>
          </w:p>
        </w:tc>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Infrastructure / DBA</w:t>
            </w:r>
          </w:p>
        </w:tc>
      </w:tr>
      <w:tr>
        <w:tc>
          <w:tcPr>
            <w:tcW w:type="dxa" w:w="1800"/>
            <w:vAlign w:val="center"/>
            <w:tcMar>
              <w:top w:w="80" w:type="dxa"/>
              <w:start w:w="110" w:type="dxa"/>
              <w:bottom w:w="80" w:type="dxa"/>
              <w:end w:w="110" w:type="dxa"/>
            </w:tcMar>
            <w:shd w:fill="F2F4F7"/>
          </w:tcPr>
          <w:p>
            <w:pPr>
              <w:spacing w:after="0"/>
            </w:pPr>
            <w:r>
              <w:rPr>
                <w:rFonts w:ascii="Calibri" w:hAnsi="Calibri"/>
                <w:b w:val="0"/>
                <w:i w:val="0"/>
                <w:color w:val="1F2937"/>
                <w:sz w:val="18"/>
              </w:rPr>
              <w:t>Security</w:t>
            </w:r>
          </w:p>
        </w:tc>
        <w:tc>
          <w:tcPr>
            <w:tcW w:type="dxa" w:w="5976"/>
            <w:vAlign w:val="center"/>
            <w:tcMar>
              <w:top w:w="80" w:type="dxa"/>
              <w:start w:w="110" w:type="dxa"/>
              <w:bottom w:w="80" w:type="dxa"/>
              <w:end w:w="110" w:type="dxa"/>
            </w:tcMar>
            <w:shd w:fill="F2F4F7"/>
          </w:tcPr>
          <w:p>
            <w:pPr>
              <w:spacing w:after="0"/>
            </w:pPr>
            <w:r>
              <w:rPr>
                <w:rFonts w:ascii="Calibri" w:hAnsi="Calibri"/>
                <w:b w:val="0"/>
                <w:i w:val="0"/>
                <w:color w:val="1F2937"/>
                <w:sz w:val="18"/>
              </w:rPr>
              <w:t>Firewall, vulnerability scanning, logging and WAF/reverse proxy review</w:t>
            </w:r>
          </w:p>
        </w:tc>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Security</w:t>
            </w:r>
          </w:p>
        </w:tc>
      </w:tr>
      <w:tr>
        <w:tc>
          <w:tcPr>
            <w:tcW w:type="dxa" w:w="1800"/>
            <w:vAlign w:val="center"/>
            <w:tcMar>
              <w:top w:w="80" w:type="dxa"/>
              <w:start w:w="110" w:type="dxa"/>
              <w:bottom w:w="80" w:type="dxa"/>
              <w:end w:w="110" w:type="dxa"/>
            </w:tcMar>
          </w:tcPr>
          <w:p>
            <w:pPr>
              <w:spacing w:after="0"/>
            </w:pPr>
            <w:r>
              <w:rPr>
                <w:rFonts w:ascii="Calibri" w:hAnsi="Calibri"/>
                <w:b w:val="0"/>
                <w:i w:val="0"/>
                <w:color w:val="1F2937"/>
                <w:sz w:val="18"/>
              </w:rPr>
              <w:t>Cutover</w:t>
            </w:r>
          </w:p>
        </w:tc>
        <w:tc>
          <w:tcPr>
            <w:tcW w:type="dxa" w:w="5976"/>
            <w:vAlign w:val="center"/>
            <w:tcMar>
              <w:top w:w="80" w:type="dxa"/>
              <w:start w:w="110" w:type="dxa"/>
              <w:bottom w:w="80" w:type="dxa"/>
              <w:end w:w="110" w:type="dxa"/>
            </w:tcMar>
          </w:tcPr>
          <w:p>
            <w:pPr>
              <w:spacing w:after="0"/>
            </w:pPr>
            <w:r>
              <w:rPr>
                <w:rFonts w:ascii="Calibri" w:hAnsi="Calibri"/>
                <w:b w:val="0"/>
                <w:i w:val="0"/>
                <w:color w:val="1F2937"/>
                <w:sz w:val="18"/>
              </w:rPr>
              <w:t>Maintenance window and rollback decision authority</w:t>
            </w:r>
          </w:p>
        </w:tc>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Application owner</w:t>
            </w:r>
          </w:p>
        </w:tc>
      </w:tr>
    </w:tbl>
    <w:p>
      <w:pPr>
        <w:spacing w:after="20"/>
      </w:pPr>
    </w:p>
    <w:p>
      <w:pPr>
        <w:shd w:fill="FCE8E8"/>
        <w:spacing w:before="80" w:after="140"/>
        <w:ind w:left="216" w:right="216"/>
      </w:pPr>
      <w:r>
        <w:rPr>
          <w:rFonts w:ascii="Calibri" w:hAnsi="Calibri"/>
          <w:b/>
          <w:i w:val="0"/>
          <w:color w:val="9B1C1C"/>
          <w:sz w:val="21"/>
        </w:rPr>
        <w:t xml:space="preserve">Approval gate  </w:t>
      </w:r>
      <w:r>
        <w:rPr>
          <w:rFonts w:ascii="Calibri" w:hAnsi="Calibri"/>
          <w:b w:val="0"/>
          <w:i w:val="0"/>
          <w:color w:val="1F2937"/>
          <w:sz w:val="21"/>
        </w:rPr>
        <w:t>Do not proceed to production installation until storage, networking, DNS, TLS, SMTP, backup ownership and the maintenance window have named owners and approved values.</w:t>
      </w:r>
    </w:p>
    <w:p>
      <w:r>
        <w:br w:type="page"/>
      </w:r>
    </w:p>
    <w:p>
      <w:pPr>
        <w:pStyle w:val="Heading1"/>
      </w:pPr>
      <w:r>
        <w:t>3. Phase A - Prepare the Windows and Hyper-V host</w:t>
      </w:r>
    </w:p>
    <w:p>
      <w:r>
        <w:t>Hyper-V detection confirms that the hypervisor is already active. The following checks validate capacity and readiness; they do not reinstall Hyper-V.</w:t>
      </w:r>
    </w:p>
    <w:p>
      <w:pPr>
        <w:pStyle w:val="Heading2"/>
      </w:pPr>
      <w:r>
        <w:t>Step A1 - Patch and baseline the host</w:t>
      </w:r>
    </w:p>
    <w:p>
      <w:pPr>
        <w:pStyle w:val="ListNumber"/>
        <w:spacing w:after="80"/>
      </w:pPr>
      <w:r>
        <w:t>Apply the organization's approved Windows Server 2019 cumulative and security updates.</w:t>
      </w:r>
    </w:p>
    <w:p>
      <w:pPr>
        <w:pStyle w:val="ListNumber"/>
        <w:spacing w:after="80"/>
      </w:pPr>
      <w:r>
        <w:t>Confirm endpoint protection, time synchronization and centralized logging are healthy.</w:t>
      </w:r>
    </w:p>
    <w:p>
      <w:pPr>
        <w:pStyle w:val="ListNumber"/>
        <w:spacing w:after="80"/>
      </w:pPr>
      <w:r>
        <w:t>Record current CPU, memory, disk and network utilization over a representative period.</w:t>
      </w:r>
    </w:p>
    <w:p>
      <w:pPr>
        <w:pStyle w:val="ListNumber"/>
        <w:spacing w:after="80"/>
      </w:pPr>
      <w:r>
        <w:t>Confirm whether the Windows host is physical. If it is itself virtual, verify nested virtualization support with the upstream hypervisor administrator.</w:t>
      </w:r>
    </w:p>
    <w:p>
      <w:pPr>
        <w:pStyle w:val="Heading2"/>
      </w:pPr>
      <w:r>
        <w:t>Step A2 - Record capacity</w:t>
      </w:r>
    </w:p>
    <w:p>
      <w:pPr>
        <w:spacing w:after="0"/>
        <w:ind w:left="360" w:right="216"/>
        <w:shd w:fill="F5F7F9"/>
      </w:pPr>
      <w:r>
        <w:rPr>
          <w:rFonts w:ascii="Consolas" w:hAnsi="Consolas"/>
          <w:b w:val="0"/>
          <w:i w:val="0"/>
          <w:color w:val="263238"/>
          <w:sz w:val="17"/>
        </w:rPr>
        <w:t>Get-CimInstance Win32_ComputerSystem |</w:t>
      </w:r>
    </w:p>
    <w:p>
      <w:pPr>
        <w:spacing w:after="0"/>
        <w:ind w:left="360" w:right="216"/>
        <w:shd w:fill="F5F7F9"/>
      </w:pPr>
      <w:r>
        <w:rPr>
          <w:rFonts w:ascii="Consolas" w:hAnsi="Consolas"/>
          <w:b w:val="0"/>
          <w:i w:val="0"/>
          <w:color w:val="263238"/>
          <w:sz w:val="17"/>
        </w:rPr>
        <w:t xml:space="preserve">  Select-Object TotalPhysicalMemory, NumberOfLogicalProcessors</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Get-Volume |</w:t>
      </w:r>
    </w:p>
    <w:p>
      <w:pPr>
        <w:spacing w:after="0"/>
        <w:ind w:left="360" w:right="216"/>
        <w:shd w:fill="F5F7F9"/>
      </w:pPr>
      <w:r>
        <w:rPr>
          <w:rFonts w:ascii="Consolas" w:hAnsi="Consolas"/>
          <w:b w:val="0"/>
          <w:i w:val="0"/>
          <w:color w:val="263238"/>
          <w:sz w:val="17"/>
        </w:rPr>
        <w:t xml:space="preserve">  Select-Object DriveLetter, FileSystemLabel, Size, SizeRemaining</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Get-VMHost | Select-Object VirtualHardDiskPath, VirtualMachinePath</w:t>
      </w:r>
    </w:p>
    <w:p>
      <w:pPr>
        <w:spacing w:after="0"/>
        <w:ind w:left="360" w:right="216"/>
        <w:shd w:fill="F5F7F9"/>
      </w:pPr>
      <w:r>
        <w:rPr>
          <w:rFonts w:ascii="Consolas" w:hAnsi="Consolas"/>
          <w:b w:val="0"/>
          <w:i w:val="0"/>
          <w:color w:val="263238"/>
          <w:sz w:val="17"/>
        </w:rPr>
        <w:t>Get-VMSwitch</w:t>
      </w:r>
    </w:p>
    <w:p>
      <w:pPr>
        <w:spacing w:after="20"/>
      </w:pPr>
    </w:p>
    <w:p>
      <w:pPr>
        <w:pStyle w:val="Heading2"/>
      </w:pPr>
      <w:r>
        <w:t>Step A3 - Create the VM</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448"/>
            <w:vAlign w:val="center"/>
            <w:tcMar>
              <w:top w:w="80" w:type="dxa"/>
              <w:start w:w="110" w:type="dxa"/>
              <w:bottom w:w="80" w:type="dxa"/>
              <w:end w:w="110" w:type="dxa"/>
            </w:tcMar>
            <w:shd w:fill="164E63"/>
          </w:tcPr>
          <w:p>
            <w:pPr>
              <w:spacing w:after="0"/>
            </w:pPr>
            <w:r>
              <w:rPr>
                <w:rFonts w:ascii="Calibri" w:hAnsi="Calibri"/>
                <w:b/>
                <w:i w:val="0"/>
                <w:color w:val="FFFFFF"/>
                <w:sz w:val="18"/>
              </w:rPr>
              <w:t>Setting</w:t>
            </w:r>
          </w:p>
        </w:tc>
        <w:tc>
          <w:tcPr>
            <w:tcW w:type="dxa" w:w="7776"/>
            <w:vAlign w:val="center"/>
            <w:tcMar>
              <w:top w:w="80" w:type="dxa"/>
              <w:start w:w="110" w:type="dxa"/>
              <w:bottom w:w="80" w:type="dxa"/>
              <w:end w:w="110" w:type="dxa"/>
            </w:tcMar>
            <w:shd w:fill="164E63"/>
          </w:tcPr>
          <w:p>
            <w:pPr>
              <w:spacing w:after="0"/>
            </w:pPr>
            <w:r>
              <w:rPr>
                <w:rFonts w:ascii="Calibri" w:hAnsi="Calibri"/>
                <w:b/>
                <w:i w:val="0"/>
                <w:color w:val="FFFFFF"/>
                <w:sz w:val="18"/>
              </w:rPr>
              <w:t>Recommended value</w:t>
            </w:r>
          </w:p>
        </w:tc>
      </w:tr>
      <w:tr>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Name</w:t>
            </w:r>
          </w:p>
        </w:tc>
        <w:tc>
          <w:tcPr>
            <w:tcW w:type="dxa" w:w="7776"/>
            <w:vAlign w:val="center"/>
            <w:tcMar>
              <w:top w:w="80" w:type="dxa"/>
              <w:start w:w="110" w:type="dxa"/>
              <w:bottom w:w="80" w:type="dxa"/>
              <w:end w:w="110" w:type="dxa"/>
            </w:tcMar>
          </w:tcPr>
          <w:p>
            <w:pPr>
              <w:spacing w:after="0"/>
            </w:pPr>
            <w:r>
              <w:rPr>
                <w:rFonts w:ascii="Calibri" w:hAnsi="Calibri"/>
                <w:b w:val="0"/>
                <w:i w:val="0"/>
                <w:color w:val="1F2937"/>
                <w:sz w:val="18"/>
              </w:rPr>
              <w:t>ContractConnect-Supabase</w:t>
            </w:r>
          </w:p>
        </w:tc>
      </w:tr>
      <w:tr>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Generation</w:t>
            </w:r>
          </w:p>
        </w:tc>
        <w:tc>
          <w:tcPr>
            <w:tcW w:type="dxa" w:w="7776"/>
            <w:vAlign w:val="center"/>
            <w:tcMar>
              <w:top w:w="80" w:type="dxa"/>
              <w:start w:w="110" w:type="dxa"/>
              <w:bottom w:w="80" w:type="dxa"/>
              <w:end w:w="110" w:type="dxa"/>
            </w:tcMar>
            <w:shd w:fill="F2F4F7"/>
          </w:tcPr>
          <w:p>
            <w:pPr>
              <w:spacing w:after="0"/>
            </w:pPr>
            <w:r>
              <w:rPr>
                <w:rFonts w:ascii="Calibri" w:hAnsi="Calibri"/>
                <w:b w:val="0"/>
                <w:i w:val="0"/>
                <w:color w:val="1F2937"/>
                <w:sz w:val="18"/>
              </w:rPr>
              <w:t>Generation 2</w:t>
            </w:r>
          </w:p>
        </w:tc>
      </w:tr>
      <w:tr>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Guest OS</w:t>
            </w:r>
          </w:p>
        </w:tc>
        <w:tc>
          <w:tcPr>
            <w:tcW w:type="dxa" w:w="7776"/>
            <w:vAlign w:val="center"/>
            <w:tcMar>
              <w:top w:w="80" w:type="dxa"/>
              <w:start w:w="110" w:type="dxa"/>
              <w:bottom w:w="80" w:type="dxa"/>
              <w:end w:w="110" w:type="dxa"/>
            </w:tcMar>
          </w:tcPr>
          <w:p>
            <w:pPr>
              <w:spacing w:after="0"/>
            </w:pPr>
            <w:r>
              <w:rPr>
                <w:rFonts w:ascii="Calibri" w:hAnsi="Calibri"/>
                <w:b w:val="0"/>
                <w:i w:val="0"/>
                <w:color w:val="1F2937"/>
                <w:sz w:val="18"/>
              </w:rPr>
              <w:t>Ubuntu Server 24.04 LTS or approved supported Linux</w:t>
            </w:r>
          </w:p>
        </w:tc>
      </w:tr>
      <w:tr>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Memory</w:t>
            </w:r>
          </w:p>
        </w:tc>
        <w:tc>
          <w:tcPr>
            <w:tcW w:type="dxa" w:w="7776"/>
            <w:vAlign w:val="center"/>
            <w:tcMar>
              <w:top w:w="80" w:type="dxa"/>
              <w:start w:w="110" w:type="dxa"/>
              <w:bottom w:w="80" w:type="dxa"/>
              <w:end w:w="110" w:type="dxa"/>
            </w:tcMar>
            <w:shd w:fill="F2F4F7"/>
          </w:tcPr>
          <w:p>
            <w:pPr>
              <w:spacing w:after="0"/>
            </w:pPr>
            <w:r>
              <w:rPr>
                <w:rFonts w:ascii="Calibri" w:hAnsi="Calibri"/>
                <w:b w:val="0"/>
                <w:i w:val="0"/>
                <w:color w:val="1F2937"/>
                <w:sz w:val="18"/>
              </w:rPr>
              <w:t>8 GB static; avoid dynamic memory for predictable PostgreSQL operation</w:t>
            </w:r>
          </w:p>
        </w:tc>
      </w:tr>
      <w:tr>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Processors</w:t>
            </w:r>
          </w:p>
        </w:tc>
        <w:tc>
          <w:tcPr>
            <w:tcW w:type="dxa" w:w="7776"/>
            <w:vAlign w:val="center"/>
            <w:tcMar>
              <w:top w:w="80" w:type="dxa"/>
              <w:start w:w="110" w:type="dxa"/>
              <w:bottom w:w="80" w:type="dxa"/>
              <w:end w:w="110" w:type="dxa"/>
            </w:tcMar>
          </w:tcPr>
          <w:p>
            <w:pPr>
              <w:spacing w:after="0"/>
            </w:pPr>
            <w:r>
              <w:rPr>
                <w:rFonts w:ascii="Calibri" w:hAnsi="Calibri"/>
                <w:b w:val="0"/>
                <w:i w:val="0"/>
                <w:color w:val="1F2937"/>
                <w:sz w:val="18"/>
              </w:rPr>
              <w:t>4-6 virtual CPUs</w:t>
            </w:r>
          </w:p>
        </w:tc>
      </w:tr>
      <w:tr>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Disk</w:t>
            </w:r>
          </w:p>
        </w:tc>
        <w:tc>
          <w:tcPr>
            <w:tcW w:type="dxa" w:w="7776"/>
            <w:vAlign w:val="center"/>
            <w:tcMar>
              <w:top w:w="80" w:type="dxa"/>
              <w:start w:w="110" w:type="dxa"/>
              <w:bottom w:w="80" w:type="dxa"/>
              <w:end w:w="110" w:type="dxa"/>
            </w:tcMar>
            <w:shd w:fill="F2F4F7"/>
          </w:tcPr>
          <w:p>
            <w:pPr>
              <w:spacing w:after="0"/>
            </w:pPr>
            <w:r>
              <w:rPr>
                <w:rFonts w:ascii="Calibri" w:hAnsi="Calibri"/>
                <w:b w:val="0"/>
                <w:i w:val="0"/>
                <w:color w:val="1F2937"/>
                <w:sz w:val="18"/>
              </w:rPr>
              <w:t>100-150 GB VHDX on SSD-backed resilient storage</w:t>
            </w:r>
          </w:p>
        </w:tc>
      </w:tr>
      <w:tr>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Network</w:t>
            </w:r>
          </w:p>
        </w:tc>
        <w:tc>
          <w:tcPr>
            <w:tcW w:type="dxa" w:w="7776"/>
            <w:vAlign w:val="center"/>
            <w:tcMar>
              <w:top w:w="80" w:type="dxa"/>
              <w:start w:w="110" w:type="dxa"/>
              <w:bottom w:w="80" w:type="dxa"/>
              <w:end w:w="110" w:type="dxa"/>
            </w:tcMar>
          </w:tcPr>
          <w:p>
            <w:pPr>
              <w:spacing w:after="0"/>
            </w:pPr>
            <w:r>
              <w:rPr>
                <w:rFonts w:ascii="Calibri" w:hAnsi="Calibri"/>
                <w:b w:val="0"/>
                <w:i w:val="0"/>
                <w:color w:val="1F2937"/>
                <w:sz w:val="18"/>
              </w:rPr>
              <w:t>Approved production virtual switch, static IP and internal DNS</w:t>
            </w:r>
          </w:p>
        </w:tc>
      </w:tr>
      <w:tr>
        <w:tc>
          <w:tcPr>
            <w:tcW w:type="dxa" w:w="2448"/>
            <w:vAlign w:val="center"/>
            <w:tcMar>
              <w:top w:w="80" w:type="dxa"/>
              <w:start w:w="110" w:type="dxa"/>
              <w:bottom w:w="80" w:type="dxa"/>
              <w:end w:w="110" w:type="dxa"/>
            </w:tcMar>
            <w:shd w:fill="F2F4F7"/>
          </w:tcPr>
          <w:p>
            <w:pPr>
              <w:spacing w:after="0"/>
            </w:pPr>
            <w:r>
              <w:rPr>
                <w:rFonts w:ascii="Calibri" w:hAnsi="Calibri"/>
                <w:b w:val="0"/>
                <w:i w:val="0"/>
                <w:color w:val="1F2937"/>
                <w:sz w:val="18"/>
              </w:rPr>
              <w:t>Secure Boot</w:t>
            </w:r>
          </w:p>
        </w:tc>
        <w:tc>
          <w:tcPr>
            <w:tcW w:type="dxa" w:w="7776"/>
            <w:vAlign w:val="center"/>
            <w:tcMar>
              <w:top w:w="80" w:type="dxa"/>
              <w:start w:w="110" w:type="dxa"/>
              <w:bottom w:w="80" w:type="dxa"/>
              <w:end w:w="110" w:type="dxa"/>
            </w:tcMar>
            <w:shd w:fill="F2F4F7"/>
          </w:tcPr>
          <w:p>
            <w:pPr>
              <w:spacing w:after="0"/>
            </w:pPr>
            <w:r>
              <w:rPr>
                <w:rFonts w:ascii="Calibri" w:hAnsi="Calibri"/>
                <w:b w:val="0"/>
                <w:i w:val="0"/>
                <w:color w:val="1F2937"/>
                <w:sz w:val="18"/>
              </w:rPr>
              <w:t>Microsoft UEFI Certificate Authority</w:t>
            </w:r>
          </w:p>
        </w:tc>
      </w:tr>
      <w:tr>
        <w:tc>
          <w:tcPr>
            <w:tcW w:type="dxa" w:w="2448"/>
            <w:vAlign w:val="center"/>
            <w:tcMar>
              <w:top w:w="80" w:type="dxa"/>
              <w:start w:w="110" w:type="dxa"/>
              <w:bottom w:w="80" w:type="dxa"/>
              <w:end w:w="110" w:type="dxa"/>
            </w:tcMar>
          </w:tcPr>
          <w:p>
            <w:pPr>
              <w:spacing w:after="0"/>
            </w:pPr>
            <w:r>
              <w:rPr>
                <w:rFonts w:ascii="Calibri" w:hAnsi="Calibri"/>
                <w:b w:val="0"/>
                <w:i w:val="0"/>
                <w:color w:val="1F2937"/>
                <w:sz w:val="18"/>
              </w:rPr>
              <w:t>Startup</w:t>
            </w:r>
          </w:p>
        </w:tc>
        <w:tc>
          <w:tcPr>
            <w:tcW w:type="dxa" w:w="7776"/>
            <w:vAlign w:val="center"/>
            <w:tcMar>
              <w:top w:w="80" w:type="dxa"/>
              <w:start w:w="110" w:type="dxa"/>
              <w:bottom w:w="80" w:type="dxa"/>
              <w:end w:w="110" w:type="dxa"/>
            </w:tcMar>
          </w:tcPr>
          <w:p>
            <w:pPr>
              <w:spacing w:after="0"/>
            </w:pPr>
            <w:r>
              <w:rPr>
                <w:rFonts w:ascii="Calibri" w:hAnsi="Calibri"/>
                <w:b w:val="0"/>
                <w:i w:val="0"/>
                <w:color w:val="1F2937"/>
                <w:sz w:val="18"/>
              </w:rPr>
              <w:t>Automatic start with defined startup delay</w:t>
            </w:r>
          </w:p>
        </w:tc>
      </w:tr>
    </w:tbl>
    <w:p>
      <w:pPr>
        <w:spacing w:after="20"/>
      </w:pPr>
    </w:p>
    <w:p>
      <w:r>
        <w:t>Install Ubuntu Server using the organization's standard build. Create a named administrative account, disable direct root login, restrict SSH by source network and register the VM in configuration management.</w:t>
      </w:r>
    </w:p>
    <w:p>
      <w:pPr>
        <w:pStyle w:val="Heading2"/>
      </w:pPr>
      <w:r>
        <w:t>Step A4 - Configure Linux storage and OS controls</w:t>
      </w:r>
    </w:p>
    <w:p>
      <w:pPr>
        <w:pStyle w:val="ListBullet"/>
        <w:spacing w:after="60"/>
      </w:pPr>
      <w:r>
        <w:t>Use a stable mount point for Docker/Supabase persistent data.</w:t>
      </w:r>
    </w:p>
    <w:p>
      <w:pPr>
        <w:pStyle w:val="ListBullet"/>
        <w:spacing w:after="60"/>
      </w:pPr>
      <w:r>
        <w:t>Configure NTP, DNS and the Linux firewall.</w:t>
      </w:r>
    </w:p>
    <w:p>
      <w:pPr>
        <w:pStyle w:val="ListBullet"/>
        <w:spacing w:after="60"/>
      </w:pPr>
      <w:r>
        <w:t>Enable approved unattended security updates or include the VM in monthly patching.</w:t>
      </w:r>
    </w:p>
    <w:p>
      <w:pPr>
        <w:pStyle w:val="ListBullet"/>
        <w:spacing w:after="60"/>
      </w:pPr>
      <w:r>
        <w:t>Configure monitoring for RAM, CPU, disk, container health and certificate expiry.</w:t>
      </w:r>
    </w:p>
    <w:p>
      <w:r>
        <w:br w:type="page"/>
      </w:r>
    </w:p>
    <w:p>
      <w:pPr>
        <w:pStyle w:val="Heading1"/>
      </w:pPr>
      <w:r>
        <w:t>4. Phase B - Install Docker and self-hosted Supabase</w:t>
      </w:r>
    </w:p>
    <w:p>
      <w:pPr>
        <w:pStyle w:val="Heading2"/>
      </w:pPr>
      <w:r>
        <w:t>Step B1 - Install Docker Engine</w:t>
      </w:r>
    </w:p>
    <w:p>
      <w:r>
        <w:t>Install Docker Engine and the Docker Compose plugin from Docker's official Ubuntu repository, following the current vendor instructions. Validate the installation:</w:t>
      </w:r>
    </w:p>
    <w:p>
      <w:pPr>
        <w:spacing w:after="0"/>
        <w:ind w:left="360" w:right="216"/>
        <w:shd w:fill="F5F7F9"/>
      </w:pPr>
      <w:r>
        <w:rPr>
          <w:rFonts w:ascii="Consolas" w:hAnsi="Consolas"/>
          <w:b w:val="0"/>
          <w:i w:val="0"/>
          <w:color w:val="263238"/>
          <w:sz w:val="17"/>
        </w:rPr>
        <w:t>docker --version</w:t>
      </w:r>
    </w:p>
    <w:p>
      <w:pPr>
        <w:spacing w:after="0"/>
        <w:ind w:left="360" w:right="216"/>
        <w:shd w:fill="F5F7F9"/>
      </w:pPr>
      <w:r>
        <w:rPr>
          <w:rFonts w:ascii="Consolas" w:hAnsi="Consolas"/>
          <w:b w:val="0"/>
          <w:i w:val="0"/>
          <w:color w:val="263238"/>
          <w:sz w:val="17"/>
        </w:rPr>
        <w:t>docker compose version</w:t>
      </w:r>
    </w:p>
    <w:p>
      <w:pPr>
        <w:spacing w:after="0"/>
        <w:ind w:left="360" w:right="216"/>
        <w:shd w:fill="F5F7F9"/>
      </w:pPr>
      <w:r>
        <w:rPr>
          <w:rFonts w:ascii="Consolas" w:hAnsi="Consolas"/>
          <w:b w:val="0"/>
          <w:i w:val="0"/>
          <w:color w:val="263238"/>
          <w:sz w:val="17"/>
        </w:rPr>
        <w:t>sudo systemctl enable --now docker</w:t>
      </w:r>
    </w:p>
    <w:p>
      <w:pPr>
        <w:spacing w:after="0"/>
        <w:ind w:left="360" w:right="216"/>
        <w:shd w:fill="F5F7F9"/>
      </w:pPr>
      <w:r>
        <w:rPr>
          <w:rFonts w:ascii="Consolas" w:hAnsi="Consolas"/>
          <w:b w:val="0"/>
          <w:i w:val="0"/>
          <w:color w:val="263238"/>
          <w:sz w:val="17"/>
        </w:rPr>
        <w:t>sudo systemctl status docker</w:t>
      </w:r>
    </w:p>
    <w:p>
      <w:pPr>
        <w:spacing w:after="20"/>
      </w:pPr>
    </w:p>
    <w:p>
      <w:pPr>
        <w:pStyle w:val="Heading2"/>
      </w:pPr>
      <w:r>
        <w:t>Step B2 - Obtain the Supabase deployment</w:t>
      </w:r>
    </w:p>
    <w:p>
      <w:r>
        <w:t>Use the official Supabase Docker self-hosting repository. The manual path is preferred for change-controlled production environments because the exact configuration can be reviewed before execution:</w:t>
      </w:r>
    </w:p>
    <w:p>
      <w:pPr>
        <w:spacing w:after="0"/>
        <w:ind w:left="360" w:right="216"/>
        <w:shd w:fill="F5F7F9"/>
      </w:pPr>
      <w:r>
        <w:rPr>
          <w:rFonts w:ascii="Consolas" w:hAnsi="Consolas"/>
          <w:b w:val="0"/>
          <w:i w:val="0"/>
          <w:color w:val="263238"/>
          <w:sz w:val="17"/>
        </w:rPr>
        <w:t>git clone --depth 1 https://github.com/supabase/supabase</w:t>
      </w:r>
    </w:p>
    <w:p>
      <w:pPr>
        <w:spacing w:after="0"/>
        <w:ind w:left="360" w:right="216"/>
        <w:shd w:fill="F5F7F9"/>
      </w:pPr>
      <w:r>
        <w:rPr>
          <w:rFonts w:ascii="Consolas" w:hAnsi="Consolas"/>
          <w:b w:val="0"/>
          <w:i w:val="0"/>
          <w:color w:val="263238"/>
          <w:sz w:val="17"/>
        </w:rPr>
        <w:t>mkdir supabase-project</w:t>
      </w:r>
    </w:p>
    <w:p>
      <w:pPr>
        <w:spacing w:after="0"/>
        <w:ind w:left="360" w:right="216"/>
        <w:shd w:fill="F5F7F9"/>
      </w:pPr>
      <w:r>
        <w:rPr>
          <w:rFonts w:ascii="Consolas" w:hAnsi="Consolas"/>
          <w:b w:val="0"/>
          <w:i w:val="0"/>
          <w:color w:val="263238"/>
          <w:sz w:val="17"/>
        </w:rPr>
        <w:t>cp -rf supabase/docker/* supabase-project</w:t>
      </w:r>
    </w:p>
    <w:p>
      <w:pPr>
        <w:spacing w:after="0"/>
        <w:ind w:left="360" w:right="216"/>
        <w:shd w:fill="F5F7F9"/>
      </w:pPr>
      <w:r>
        <w:rPr>
          <w:rFonts w:ascii="Consolas" w:hAnsi="Consolas"/>
          <w:b w:val="0"/>
          <w:i w:val="0"/>
          <w:color w:val="263238"/>
          <w:sz w:val="17"/>
        </w:rPr>
        <w:t>cp supabase/docker/.env.example supabase-project/.env</w:t>
      </w:r>
    </w:p>
    <w:p>
      <w:pPr>
        <w:spacing w:after="0"/>
        <w:ind w:left="360" w:right="216"/>
        <w:shd w:fill="F5F7F9"/>
      </w:pPr>
      <w:r>
        <w:rPr>
          <w:rFonts w:ascii="Consolas" w:hAnsi="Consolas"/>
          <w:b w:val="0"/>
          <w:i w:val="0"/>
          <w:color w:val="263238"/>
          <w:sz w:val="17"/>
        </w:rPr>
        <w:t>cd supabase-project</w:t>
      </w:r>
    </w:p>
    <w:p>
      <w:pPr>
        <w:spacing w:after="0"/>
        <w:ind w:left="360" w:right="216"/>
        <w:shd w:fill="F5F7F9"/>
      </w:pPr>
      <w:r>
        <w:rPr>
          <w:rFonts w:ascii="Consolas" w:hAnsi="Consolas"/>
          <w:b w:val="0"/>
          <w:i w:val="0"/>
          <w:color w:val="263238"/>
          <w:sz w:val="17"/>
        </w:rPr>
        <w:t>docker compose pull</w:t>
      </w:r>
    </w:p>
    <w:p>
      <w:pPr>
        <w:spacing w:after="20"/>
      </w:pPr>
    </w:p>
    <w:p>
      <w:pPr>
        <w:pStyle w:val="Heading2"/>
      </w:pPr>
      <w:r>
        <w:t>Step B3 - Generate and protect secrets</w:t>
      </w:r>
    </w:p>
    <w:p>
      <w:pPr>
        <w:spacing w:after="0"/>
        <w:ind w:left="360" w:right="216"/>
        <w:shd w:fill="F5F7F9"/>
      </w:pPr>
      <w:r>
        <w:rPr>
          <w:rFonts w:ascii="Consolas" w:hAnsi="Consolas"/>
          <w:b w:val="0"/>
          <w:i w:val="0"/>
          <w:color w:val="263238"/>
          <w:sz w:val="17"/>
        </w:rPr>
        <w:t>sh utils/generate-keys.sh</w:t>
      </w:r>
    </w:p>
    <w:p>
      <w:pPr>
        <w:spacing w:after="0"/>
        <w:ind w:left="360" w:right="216"/>
        <w:shd w:fill="F5F7F9"/>
      </w:pPr>
      <w:r>
        <w:rPr>
          <w:rFonts w:ascii="Consolas" w:hAnsi="Consolas"/>
          <w:b w:val="0"/>
          <w:i w:val="0"/>
          <w:color w:val="263238"/>
          <w:sz w:val="17"/>
        </w:rPr>
        <w:t>sh utils/add-new-auth-keys.sh</w:t>
      </w:r>
    </w:p>
    <w:p>
      <w:pPr>
        <w:spacing w:after="20"/>
      </w:pPr>
    </w:p>
    <w:p>
      <w:pPr>
        <w:pStyle w:val="ListBullet"/>
        <w:spacing w:after="60"/>
      </w:pPr>
      <w:r>
        <w:t>Replace all example passwords and keys before startup.</w:t>
      </w:r>
    </w:p>
    <w:p>
      <w:pPr>
        <w:pStyle w:val="ListBullet"/>
        <w:spacing w:after="60"/>
      </w:pPr>
      <w:r>
        <w:t>Store the server .env file with root-only permissions and never commit it to source control.</w:t>
      </w:r>
    </w:p>
    <w:p>
      <w:pPr>
        <w:pStyle w:val="ListBullet"/>
        <w:spacing w:after="60"/>
      </w:pPr>
      <w:r>
        <w:t>Store recovery copies of production secrets in the approved credential vault.</w:t>
      </w:r>
    </w:p>
    <w:p>
      <w:pPr>
        <w:pStyle w:val="ListBullet"/>
        <w:spacing w:after="60"/>
      </w:pPr>
      <w:r>
        <w:t>Never expose SUPABASE_SECRET_KEY, POSTGRES_PASSWORD or SMTP credentials in ContractConnect frontend variables.</w:t>
      </w:r>
    </w:p>
    <w:p>
      <w:pPr>
        <w:pStyle w:val="Heading2"/>
      </w:pPr>
      <w:r>
        <w:t>Step B4 - Configure internal URLs</w:t>
      </w:r>
    </w:p>
    <w:p>
      <w:pPr>
        <w:spacing w:after="0"/>
        <w:ind w:left="360" w:right="216"/>
        <w:shd w:fill="F5F7F9"/>
      </w:pPr>
      <w:r>
        <w:rPr>
          <w:rFonts w:ascii="Consolas" w:hAnsi="Consolas"/>
          <w:b w:val="0"/>
          <w:i w:val="0"/>
          <w:color w:val="263238"/>
          <w:sz w:val="17"/>
        </w:rPr>
        <w:t>SUPABASE_PUBLIC_URL=https://supabase-contractconnect.company.local</w:t>
      </w:r>
    </w:p>
    <w:p>
      <w:pPr>
        <w:spacing w:after="0"/>
        <w:ind w:left="360" w:right="216"/>
        <w:shd w:fill="F5F7F9"/>
      </w:pPr>
      <w:r>
        <w:rPr>
          <w:rFonts w:ascii="Consolas" w:hAnsi="Consolas"/>
          <w:b w:val="0"/>
          <w:i w:val="0"/>
          <w:color w:val="263238"/>
          <w:sz w:val="17"/>
        </w:rPr>
        <w:t>API_EXTERNAL_URL=https://supabase-contractconnect.company.local/auth/v1</w:t>
      </w:r>
    </w:p>
    <w:p>
      <w:pPr>
        <w:spacing w:after="0"/>
        <w:ind w:left="360" w:right="216"/>
        <w:shd w:fill="F5F7F9"/>
      </w:pPr>
      <w:r>
        <w:rPr>
          <w:rFonts w:ascii="Consolas" w:hAnsi="Consolas"/>
          <w:b w:val="0"/>
          <w:i w:val="0"/>
          <w:color w:val="263238"/>
          <w:sz w:val="17"/>
        </w:rPr>
        <w:t>SITE_URL=https://contractconnect.company.local</w:t>
      </w:r>
    </w:p>
    <w:p>
      <w:pPr>
        <w:spacing w:after="0"/>
        <w:ind w:left="360" w:right="216"/>
        <w:shd w:fill="F5F7F9"/>
      </w:pPr>
      <w:r>
        <w:rPr>
          <w:rFonts w:ascii="Consolas" w:hAnsi="Consolas"/>
          <w:b w:val="0"/>
          <w:i w:val="0"/>
          <w:color w:val="263238"/>
          <w:sz w:val="17"/>
        </w:rPr>
        <w:t>ADDITIONAL_REDIRECT_URLS=https://contractconnect.company.local/**</w:t>
      </w:r>
    </w:p>
    <w:p>
      <w:pPr>
        <w:spacing w:after="20"/>
      </w:pPr>
    </w:p>
    <w:p>
      <w:r>
        <w:t>Replace the example domains with the approved internal DNS names. Configure the corporate SMTP relay for user verification and password-reset messages.</w:t>
      </w:r>
    </w:p>
    <w:p>
      <w:pPr>
        <w:pStyle w:val="Heading2"/>
      </w:pPr>
      <w:r>
        <w:t>Step B5 - Start and health-check</w:t>
      </w:r>
    </w:p>
    <w:p>
      <w:pPr>
        <w:spacing w:after="0"/>
        <w:ind w:left="360" w:right="216"/>
        <w:shd w:fill="F5F7F9"/>
      </w:pPr>
      <w:r>
        <w:rPr>
          <w:rFonts w:ascii="Consolas" w:hAnsi="Consolas"/>
          <w:b w:val="0"/>
          <w:i w:val="0"/>
          <w:color w:val="263238"/>
          <w:sz w:val="17"/>
        </w:rPr>
        <w:t>sh run.sh start</w:t>
      </w:r>
    </w:p>
    <w:p>
      <w:pPr>
        <w:spacing w:after="0"/>
        <w:ind w:left="360" w:right="216"/>
        <w:shd w:fill="F5F7F9"/>
      </w:pPr>
      <w:r>
        <w:rPr>
          <w:rFonts w:ascii="Consolas" w:hAnsi="Consolas"/>
          <w:b w:val="0"/>
          <w:i w:val="0"/>
          <w:color w:val="263238"/>
          <w:sz w:val="17"/>
        </w:rPr>
        <w:t>docker compose ps</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 If a service is unhealthy:</w:t>
      </w:r>
    </w:p>
    <w:p>
      <w:pPr>
        <w:spacing w:after="0"/>
        <w:ind w:left="360" w:right="216"/>
        <w:shd w:fill="F5F7F9"/>
      </w:pPr>
      <w:r>
        <w:rPr>
          <w:rFonts w:ascii="Consolas" w:hAnsi="Consolas"/>
          <w:b w:val="0"/>
          <w:i w:val="0"/>
          <w:color w:val="263238"/>
          <w:sz w:val="17"/>
        </w:rPr>
        <w:t>sh tests/test-container-logs.sh</w:t>
      </w:r>
    </w:p>
    <w:p>
      <w:pPr>
        <w:spacing w:after="0"/>
        <w:ind w:left="360" w:right="216"/>
        <w:shd w:fill="F5F7F9"/>
      </w:pPr>
      <w:r>
        <w:rPr>
          <w:rFonts w:ascii="Consolas" w:hAnsi="Consolas"/>
          <w:b w:val="0"/>
          <w:i w:val="0"/>
          <w:color w:val="263238"/>
          <w:sz w:val="17"/>
        </w:rPr>
        <w:t>sh run.sh logs storage</w:t>
      </w:r>
    </w:p>
    <w:p>
      <w:pPr>
        <w:spacing w:after="20"/>
      </w:pPr>
    </w:p>
    <w:p>
      <w:r>
        <w:t>Do not proceed until required containers report healthy and the REST, Auth and Storage endpoints respond through the internal reverse proxy.</w:t>
      </w:r>
    </w:p>
    <w:p>
      <w:r>
        <w:br w:type="page"/>
      </w:r>
    </w:p>
    <w:p>
      <w:pPr>
        <w:pStyle w:val="Heading1"/>
      </w:pPr>
      <w:r>
        <w:t>5. Phase C - Network, TLS and security configuration</w:t>
      </w:r>
    </w:p>
    <w:p>
      <w:pPr>
        <w:pStyle w:val="Heading2"/>
      </w:pPr>
      <w:r>
        <w:t>Step C1 - Reverse proxy and TLS</w:t>
      </w:r>
    </w:p>
    <w:p>
      <w:pPr>
        <w:pStyle w:val="ListBullet"/>
        <w:spacing w:after="60"/>
      </w:pPr>
      <w:r>
        <w:t>Terminate TLS on the approved reverse proxy using an internally trusted certificate.</w:t>
      </w:r>
    </w:p>
    <w:p>
      <w:pPr>
        <w:pStyle w:val="ListBullet"/>
        <w:spacing w:after="60"/>
      </w:pPr>
      <w:r>
        <w:t>Forward requests to the Supabase API gateway inside the VM.</w:t>
      </w:r>
    </w:p>
    <w:p>
      <w:pPr>
        <w:pStyle w:val="ListBullet"/>
        <w:spacing w:after="60"/>
      </w:pPr>
      <w:r>
        <w:t>Preserve WebSocket upgrade headers for Realtime functionality.</w:t>
      </w:r>
    </w:p>
    <w:p>
      <w:pPr>
        <w:pStyle w:val="ListBullet"/>
        <w:spacing w:after="60"/>
      </w:pPr>
      <w:r>
        <w:t>Set upload limits appropriate to expected contract-document sizes.</w:t>
      </w:r>
    </w:p>
    <w:p>
      <w:pPr>
        <w:pStyle w:val="ListBullet"/>
        <w:spacing w:after="60"/>
      </w:pPr>
      <w:r>
        <w:t>Restrict Studio routes to the administrator network or VPN.</w:t>
      </w:r>
    </w:p>
    <w:p>
      <w:pPr>
        <w:pStyle w:val="ListBullet"/>
        <w:spacing w:after="60"/>
      </w:pPr>
      <w:r>
        <w:t>Forward reverse-proxy and authentication logs to centralized monitoring.</w:t>
      </w:r>
    </w:p>
    <w:p>
      <w:pPr>
        <w:pStyle w:val="Heading2"/>
      </w:pPr>
      <w:r>
        <w:t>Step C2 - Firewall policy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vAlign w:val="center"/>
            <w:tcMar>
              <w:top w:w="80" w:type="dxa"/>
              <w:start w:w="110" w:type="dxa"/>
              <w:bottom w:w="80" w:type="dxa"/>
              <w:end w:w="110" w:type="dxa"/>
            </w:tcMar>
            <w:shd w:fill="164E63"/>
          </w:tcPr>
          <w:p>
            <w:pPr>
              <w:spacing w:after="0"/>
            </w:pPr>
            <w:r>
              <w:rPr>
                <w:rFonts w:ascii="Calibri" w:hAnsi="Calibri"/>
                <w:b/>
                <w:i w:val="0"/>
                <w:color w:val="FFFFFF"/>
                <w:sz w:val="18"/>
              </w:rPr>
              <w:t>Flow</w:t>
            </w:r>
          </w:p>
        </w:tc>
        <w:tc>
          <w:tcPr>
            <w:tcW w:type="dxa" w:w="1440"/>
            <w:vAlign w:val="center"/>
            <w:tcMar>
              <w:top w:w="80" w:type="dxa"/>
              <w:start w:w="110" w:type="dxa"/>
              <w:bottom w:w="80" w:type="dxa"/>
              <w:end w:w="110" w:type="dxa"/>
            </w:tcMar>
            <w:shd w:fill="164E63"/>
          </w:tcPr>
          <w:p>
            <w:pPr>
              <w:spacing w:after="0"/>
            </w:pPr>
            <w:r>
              <w:rPr>
                <w:rFonts w:ascii="Calibri" w:hAnsi="Calibri"/>
                <w:b/>
                <w:i w:val="0"/>
                <w:color w:val="FFFFFF"/>
                <w:sz w:val="18"/>
              </w:rPr>
              <w:t>Port</w:t>
            </w:r>
          </w:p>
        </w:tc>
        <w:tc>
          <w:tcPr>
            <w:tcW w:type="dxa" w:w="5760"/>
            <w:vAlign w:val="center"/>
            <w:tcMar>
              <w:top w:w="80" w:type="dxa"/>
              <w:start w:w="110" w:type="dxa"/>
              <w:bottom w:w="80" w:type="dxa"/>
              <w:end w:w="110" w:type="dxa"/>
            </w:tcMar>
            <w:shd w:fill="164E63"/>
          </w:tcPr>
          <w:p>
            <w:pPr>
              <w:spacing w:after="0"/>
            </w:pPr>
            <w:r>
              <w:rPr>
                <w:rFonts w:ascii="Calibri" w:hAnsi="Calibri"/>
                <w:b/>
                <w:i w:val="0"/>
                <w:color w:val="FFFFFF"/>
                <w:sz w:val="18"/>
              </w:rPr>
              <w:t>Policy</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Users to application/API</w:t>
            </w:r>
          </w:p>
        </w:tc>
        <w:tc>
          <w:tcPr>
            <w:tcW w:type="dxa" w:w="1440"/>
            <w:vAlign w:val="center"/>
            <w:tcMar>
              <w:top w:w="80" w:type="dxa"/>
              <w:start w:w="110" w:type="dxa"/>
              <w:bottom w:w="80" w:type="dxa"/>
              <w:end w:w="110" w:type="dxa"/>
            </w:tcMar>
          </w:tcPr>
          <w:p>
            <w:pPr>
              <w:spacing w:after="0"/>
            </w:pPr>
            <w:r>
              <w:rPr>
                <w:rFonts w:ascii="Calibri" w:hAnsi="Calibri"/>
                <w:b w:val="0"/>
                <w:i w:val="0"/>
                <w:color w:val="1F2937"/>
                <w:sz w:val="18"/>
              </w:rPr>
              <w:t>443/TCP</w:t>
            </w:r>
          </w:p>
        </w:tc>
        <w:tc>
          <w:tcPr>
            <w:tcW w:type="dxa" w:w="5760"/>
            <w:vAlign w:val="center"/>
            <w:tcMar>
              <w:top w:w="80" w:type="dxa"/>
              <w:start w:w="110" w:type="dxa"/>
              <w:bottom w:w="80" w:type="dxa"/>
              <w:end w:w="110" w:type="dxa"/>
            </w:tcMar>
          </w:tcPr>
          <w:p>
            <w:pPr>
              <w:spacing w:after="0"/>
            </w:pPr>
            <w:r>
              <w:rPr>
                <w:rFonts w:ascii="Calibri" w:hAnsi="Calibri"/>
                <w:b w:val="0"/>
                <w:i w:val="0"/>
                <w:color w:val="1F2937"/>
                <w:sz w:val="18"/>
              </w:rPr>
              <w:t>Allow from approved internal networks</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Administrators to Linux VM</w:t>
            </w:r>
          </w:p>
        </w:tc>
        <w:tc>
          <w:tcPr>
            <w:tcW w:type="dxa" w:w="1440"/>
            <w:vAlign w:val="center"/>
            <w:tcMar>
              <w:top w:w="80" w:type="dxa"/>
              <w:start w:w="110" w:type="dxa"/>
              <w:bottom w:w="80" w:type="dxa"/>
              <w:end w:w="110" w:type="dxa"/>
            </w:tcMar>
            <w:shd w:fill="F2F4F7"/>
          </w:tcPr>
          <w:p>
            <w:pPr>
              <w:spacing w:after="0"/>
            </w:pPr>
            <w:r>
              <w:rPr>
                <w:rFonts w:ascii="Calibri" w:hAnsi="Calibri"/>
                <w:b w:val="0"/>
                <w:i w:val="0"/>
                <w:color w:val="1F2937"/>
                <w:sz w:val="18"/>
              </w:rPr>
              <w:t>22/TCP</w:t>
            </w:r>
          </w:p>
        </w:tc>
        <w:tc>
          <w:tcPr>
            <w:tcW w:type="dxa" w:w="5760"/>
            <w:vAlign w:val="center"/>
            <w:tcMar>
              <w:top w:w="80" w:type="dxa"/>
              <w:start w:w="110" w:type="dxa"/>
              <w:bottom w:w="80" w:type="dxa"/>
              <w:end w:w="110" w:type="dxa"/>
            </w:tcMar>
            <w:shd w:fill="F2F4F7"/>
          </w:tcPr>
          <w:p>
            <w:pPr>
              <w:spacing w:after="0"/>
            </w:pPr>
            <w:r>
              <w:rPr>
                <w:rFonts w:ascii="Calibri" w:hAnsi="Calibri"/>
                <w:b w:val="0"/>
                <w:i w:val="0"/>
                <w:color w:val="1F2937"/>
                <w:sz w:val="18"/>
              </w:rPr>
              <w:t>Allow from administration network only</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DB administration / backup</w:t>
            </w:r>
          </w:p>
        </w:tc>
        <w:tc>
          <w:tcPr>
            <w:tcW w:type="dxa" w:w="1440"/>
            <w:vAlign w:val="center"/>
            <w:tcMar>
              <w:top w:w="80" w:type="dxa"/>
              <w:start w:w="110" w:type="dxa"/>
              <w:bottom w:w="80" w:type="dxa"/>
              <w:end w:w="110" w:type="dxa"/>
            </w:tcMar>
          </w:tcPr>
          <w:p>
            <w:pPr>
              <w:spacing w:after="0"/>
            </w:pPr>
            <w:r>
              <w:rPr>
                <w:rFonts w:ascii="Calibri" w:hAnsi="Calibri"/>
                <w:b w:val="0"/>
                <w:i w:val="0"/>
                <w:color w:val="1F2937"/>
                <w:sz w:val="18"/>
              </w:rPr>
              <w:t>5432/TCP</w:t>
            </w:r>
          </w:p>
        </w:tc>
        <w:tc>
          <w:tcPr>
            <w:tcW w:type="dxa" w:w="5760"/>
            <w:vAlign w:val="center"/>
            <w:tcMar>
              <w:top w:w="80" w:type="dxa"/>
              <w:start w:w="110" w:type="dxa"/>
              <w:bottom w:w="80" w:type="dxa"/>
              <w:end w:w="110" w:type="dxa"/>
            </w:tcMar>
          </w:tcPr>
          <w:p>
            <w:pPr>
              <w:spacing w:after="0"/>
            </w:pPr>
            <w:r>
              <w:rPr>
                <w:rFonts w:ascii="Calibri" w:hAnsi="Calibri"/>
                <w:b w:val="0"/>
                <w:i w:val="0"/>
                <w:color w:val="1F2937"/>
                <w:sz w:val="18"/>
              </w:rPr>
              <w:t>Allow only where operationally required</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Direct container ports</w:t>
            </w:r>
          </w:p>
        </w:tc>
        <w:tc>
          <w:tcPr>
            <w:tcW w:type="dxa" w:w="1440"/>
            <w:vAlign w:val="center"/>
            <w:tcMar>
              <w:top w:w="80" w:type="dxa"/>
              <w:start w:w="110" w:type="dxa"/>
              <w:bottom w:w="80" w:type="dxa"/>
              <w:end w:w="110" w:type="dxa"/>
            </w:tcMar>
            <w:shd w:fill="F2F4F7"/>
          </w:tcPr>
          <w:p>
            <w:pPr>
              <w:spacing w:after="0"/>
            </w:pPr>
            <w:r>
              <w:rPr>
                <w:rFonts w:ascii="Calibri" w:hAnsi="Calibri"/>
                <w:b w:val="0"/>
                <w:i w:val="0"/>
                <w:color w:val="1F2937"/>
                <w:sz w:val="18"/>
              </w:rPr>
              <w:t>Various</w:t>
            </w:r>
          </w:p>
        </w:tc>
        <w:tc>
          <w:tcPr>
            <w:tcW w:type="dxa" w:w="5760"/>
            <w:vAlign w:val="center"/>
            <w:tcMar>
              <w:top w:w="80" w:type="dxa"/>
              <w:start w:w="110" w:type="dxa"/>
              <w:bottom w:w="80" w:type="dxa"/>
              <w:end w:w="110" w:type="dxa"/>
            </w:tcMar>
            <w:shd w:fill="F2F4F7"/>
          </w:tcPr>
          <w:p>
            <w:pPr>
              <w:spacing w:after="0"/>
            </w:pPr>
            <w:r>
              <w:rPr>
                <w:rFonts w:ascii="Calibri" w:hAnsi="Calibri"/>
                <w:b w:val="0"/>
                <w:i w:val="0"/>
                <w:color w:val="1F2937"/>
                <w:sz w:val="18"/>
              </w:rPr>
              <w:t>Deny from user networks</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Outbound SMTP</w:t>
            </w:r>
          </w:p>
        </w:tc>
        <w:tc>
          <w:tcPr>
            <w:tcW w:type="dxa" w:w="1440"/>
            <w:vAlign w:val="center"/>
            <w:tcMar>
              <w:top w:w="80" w:type="dxa"/>
              <w:start w:w="110" w:type="dxa"/>
              <w:bottom w:w="80" w:type="dxa"/>
              <w:end w:w="110" w:type="dxa"/>
            </w:tcMar>
          </w:tcPr>
          <w:p>
            <w:pPr>
              <w:spacing w:after="0"/>
            </w:pPr>
            <w:r>
              <w:rPr>
                <w:rFonts w:ascii="Calibri" w:hAnsi="Calibri"/>
                <w:b w:val="0"/>
                <w:i w:val="0"/>
                <w:color w:val="1F2937"/>
                <w:sz w:val="18"/>
              </w:rPr>
              <w:t>25/465/587</w:t>
            </w:r>
          </w:p>
        </w:tc>
        <w:tc>
          <w:tcPr>
            <w:tcW w:type="dxa" w:w="5760"/>
            <w:vAlign w:val="center"/>
            <w:tcMar>
              <w:top w:w="80" w:type="dxa"/>
              <w:start w:w="110" w:type="dxa"/>
              <w:bottom w:w="80" w:type="dxa"/>
              <w:end w:w="110" w:type="dxa"/>
            </w:tcMar>
          </w:tcPr>
          <w:p>
            <w:pPr>
              <w:spacing w:after="0"/>
            </w:pPr>
            <w:r>
              <w:rPr>
                <w:rFonts w:ascii="Calibri" w:hAnsi="Calibri"/>
                <w:b w:val="0"/>
                <w:i w:val="0"/>
                <w:color w:val="1F2937"/>
                <w:sz w:val="18"/>
              </w:rPr>
              <w:t>Allow only to approved relay as applicable</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Outbound updates</w:t>
            </w:r>
          </w:p>
        </w:tc>
        <w:tc>
          <w:tcPr>
            <w:tcW w:type="dxa" w:w="1440"/>
            <w:vAlign w:val="center"/>
            <w:tcMar>
              <w:top w:w="80" w:type="dxa"/>
              <w:start w:w="110" w:type="dxa"/>
              <w:bottom w:w="80" w:type="dxa"/>
              <w:end w:w="110" w:type="dxa"/>
            </w:tcMar>
            <w:shd w:fill="F2F4F7"/>
          </w:tcPr>
          <w:p>
            <w:pPr>
              <w:spacing w:after="0"/>
            </w:pPr>
            <w:r>
              <w:rPr>
                <w:rFonts w:ascii="Calibri" w:hAnsi="Calibri"/>
                <w:b w:val="0"/>
                <w:i w:val="0"/>
                <w:color w:val="1F2937"/>
                <w:sz w:val="18"/>
              </w:rPr>
              <w:t>443/TCP</w:t>
            </w:r>
          </w:p>
        </w:tc>
        <w:tc>
          <w:tcPr>
            <w:tcW w:type="dxa" w:w="5760"/>
            <w:vAlign w:val="center"/>
            <w:tcMar>
              <w:top w:w="80" w:type="dxa"/>
              <w:start w:w="110" w:type="dxa"/>
              <w:bottom w:w="80" w:type="dxa"/>
              <w:end w:w="110" w:type="dxa"/>
            </w:tcMar>
            <w:shd w:fill="F2F4F7"/>
          </w:tcPr>
          <w:p>
            <w:pPr>
              <w:spacing w:after="0"/>
            </w:pPr>
            <w:r>
              <w:rPr>
                <w:rFonts w:ascii="Calibri" w:hAnsi="Calibri"/>
                <w:b w:val="0"/>
                <w:i w:val="0"/>
                <w:color w:val="1F2937"/>
                <w:sz w:val="18"/>
              </w:rPr>
              <w:t>Allow to approved repositories or internal mirror</w:t>
            </w:r>
          </w:p>
        </w:tc>
      </w:tr>
    </w:tbl>
    <w:p>
      <w:pPr>
        <w:spacing w:after="20"/>
      </w:pPr>
    </w:p>
    <w:p>
      <w:pPr>
        <w:pStyle w:val="Heading2"/>
      </w:pPr>
      <w:r>
        <w:t>Step C3 - Security acceptance</w:t>
      </w:r>
    </w:p>
    <w:p>
      <w:pPr>
        <w:pStyle w:val="ListBullet"/>
        <w:spacing w:after="60"/>
      </w:pPr>
      <w:r>
        <w:t>Scan the VM and exposed HTTPS endpoint before production cutover.</w:t>
      </w:r>
    </w:p>
    <w:p>
      <w:pPr>
        <w:pStyle w:val="ListBullet"/>
        <w:spacing w:after="60"/>
      </w:pPr>
      <w:r>
        <w:t>Confirm default/sample credentials have been removed.</w:t>
      </w:r>
    </w:p>
    <w:p>
      <w:pPr>
        <w:pStyle w:val="ListBullet"/>
        <w:spacing w:after="60"/>
      </w:pPr>
      <w:r>
        <w:t>Verify RLS with multiple ContractConnect roles.</w:t>
      </w:r>
    </w:p>
    <w:p>
      <w:pPr>
        <w:pStyle w:val="ListBullet"/>
        <w:spacing w:after="60"/>
      </w:pPr>
      <w:r>
        <w:t>Verify failed sign-ins and authorization failures are logged.</w:t>
      </w:r>
    </w:p>
    <w:p>
      <w:pPr>
        <w:pStyle w:val="ListBullet"/>
        <w:spacing w:after="60"/>
      </w:pPr>
      <w:r>
        <w:t>Confirm the database is not reachable from normal employee workstations.</w:t>
      </w:r>
    </w:p>
    <w:p>
      <w:pPr>
        <w:pStyle w:val="ListBullet"/>
        <w:spacing w:after="60"/>
      </w:pPr>
      <w:r>
        <w:t>Document security update, key rotation and incident-response procedures.</w:t>
      </w:r>
    </w:p>
    <w:p>
      <w:r>
        <w:br w:type="page"/>
      </w:r>
    </w:p>
    <w:p>
      <w:pPr>
        <w:pStyle w:val="Heading1"/>
      </w:pPr>
      <w:r>
        <w:t>6. Phase D - Rehearsal database migration</w:t>
      </w:r>
    </w:p>
    <w:p>
      <w:pPr>
        <w:shd w:fill="FFF4D6"/>
        <w:spacing w:before="80" w:after="140"/>
        <w:ind w:left="216" w:right="216"/>
      </w:pPr>
      <w:r>
        <w:rPr>
          <w:rFonts w:ascii="Calibri" w:hAnsi="Calibri"/>
          <w:b/>
          <w:i w:val="0"/>
          <w:color w:val="8A6100"/>
          <w:sz w:val="21"/>
        </w:rPr>
        <w:t xml:space="preserve">Mandatory rehearsal  </w:t>
      </w:r>
      <w:r>
        <w:rPr>
          <w:rFonts w:ascii="Calibri" w:hAnsi="Calibri"/>
          <w:b w:val="0"/>
          <w:i w:val="0"/>
          <w:color w:val="1F2937"/>
          <w:sz w:val="21"/>
        </w:rPr>
        <w:t>Run a complete migration against the non-production on-premises instance first. Resolve all version, extension, RLS, Auth and Storage issues before scheduling cutover.</w:t>
      </w:r>
    </w:p>
    <w:p>
      <w:pPr>
        <w:pStyle w:val="Heading2"/>
      </w:pPr>
      <w:r>
        <w:t>Step D1 - Capture the managed connection</w:t>
      </w:r>
    </w:p>
    <w:p>
      <w:r>
        <w:t>From the managed Supabase project, obtain the session-pooler or direct PostgreSQL connection string. Handle it as a production secret.</w:t>
      </w:r>
    </w:p>
    <w:p>
      <w:pPr>
        <w:pStyle w:val="Heading2"/>
      </w:pPr>
      <w:r>
        <w:t>Step D2 - Export roles, schema and data</w:t>
      </w:r>
    </w:p>
    <w:p>
      <w:pPr>
        <w:spacing w:after="0"/>
        <w:ind w:left="360" w:right="216"/>
        <w:shd w:fill="F5F7F9"/>
      </w:pPr>
      <w:r>
        <w:rPr>
          <w:rFonts w:ascii="Consolas" w:hAnsi="Consolas"/>
          <w:b w:val="0"/>
          <w:i w:val="0"/>
          <w:color w:val="263238"/>
          <w:sz w:val="17"/>
        </w:rPr>
        <w:t>supabase db dump --db-url "[MANAGED_CONNECTION_STRING]"   -f roles.sql --role-only</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supabase db dump --db-url "[MANAGED_CONNECTION_STRING]"   -f schema.sql</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supabase db dump --db-url "[MANAGED_CONNECTION_STRING]"   -f data.sql --use-copy --data-only</w:t>
      </w:r>
    </w:p>
    <w:p>
      <w:pPr>
        <w:spacing w:after="20"/>
      </w:pPr>
    </w:p>
    <w:p>
      <w:r>
        <w:t>Use supabase db dump rather than an unrestricted raw pg_dump because it applies Supabase-specific filtering for internal schemas and reserved roles.</w:t>
      </w:r>
    </w:p>
    <w:p>
      <w:pPr>
        <w:pStyle w:val="Heading2"/>
      </w:pPr>
      <w:r>
        <w:t>Step D3 - Check versions and extensions</w:t>
      </w:r>
    </w:p>
    <w:p>
      <w:pPr>
        <w:spacing w:after="0"/>
        <w:ind w:left="360" w:right="216"/>
        <w:shd w:fill="F5F7F9"/>
      </w:pPr>
      <w:r>
        <w:rPr>
          <w:rFonts w:ascii="Consolas" w:hAnsi="Consolas"/>
          <w:b w:val="0"/>
          <w:i w:val="0"/>
          <w:color w:val="263238"/>
          <w:sz w:val="17"/>
        </w:rPr>
        <w:t>-- Managed instance</w:t>
      </w:r>
    </w:p>
    <w:p>
      <w:pPr>
        <w:spacing w:after="0"/>
        <w:ind w:left="360" w:right="216"/>
        <w:shd w:fill="F5F7F9"/>
      </w:pPr>
      <w:r>
        <w:rPr>
          <w:rFonts w:ascii="Consolas" w:hAnsi="Consolas"/>
          <w:b w:val="0"/>
          <w:i w:val="0"/>
          <w:color w:val="263238"/>
          <w:sz w:val="17"/>
        </w:rPr>
        <w:t>select version();</w:t>
      </w:r>
    </w:p>
    <w:p>
      <w:pPr>
        <w:spacing w:after="0"/>
        <w:ind w:left="360" w:right="216"/>
        <w:shd w:fill="F5F7F9"/>
      </w:pPr>
      <w:r>
        <w:rPr>
          <w:rFonts w:ascii="Consolas" w:hAnsi="Consolas"/>
          <w:b w:val="0"/>
          <w:i w:val="0"/>
          <w:color w:val="263238"/>
          <w:sz w:val="17"/>
        </w:rPr>
        <w:t>select * from pg_extension;</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 Self-hosted instance</w:t>
      </w:r>
    </w:p>
    <w:p>
      <w:pPr>
        <w:spacing w:after="0"/>
        <w:ind w:left="360" w:right="216"/>
        <w:shd w:fill="F5F7F9"/>
      </w:pPr>
      <w:r>
        <w:rPr>
          <w:rFonts w:ascii="Consolas" w:hAnsi="Consolas"/>
          <w:b w:val="0"/>
          <w:i w:val="0"/>
          <w:color w:val="263238"/>
          <w:sz w:val="17"/>
        </w:rPr>
        <w:t>select version();</w:t>
      </w:r>
    </w:p>
    <w:p>
      <w:pPr>
        <w:spacing w:after="0"/>
        <w:ind w:left="360" w:right="216"/>
        <w:shd w:fill="F5F7F9"/>
      </w:pPr>
      <w:r>
        <w:rPr>
          <w:rFonts w:ascii="Consolas" w:hAnsi="Consolas"/>
          <w:b w:val="0"/>
          <w:i w:val="0"/>
          <w:color w:val="263238"/>
          <w:sz w:val="17"/>
        </w:rPr>
        <w:t>select * from pg_available_extensions;</w:t>
      </w:r>
    </w:p>
    <w:p>
      <w:pPr>
        <w:spacing w:after="20"/>
      </w:pPr>
    </w:p>
    <w:p>
      <w:r>
        <w:t>Enable required compatible extensions and test platform/self-hosted PostgreSQL version differences before restoring production data.</w:t>
      </w:r>
    </w:p>
    <w:p>
      <w:pPr>
        <w:pStyle w:val="Heading2"/>
      </w:pPr>
      <w:r>
        <w:t>Step D4 - Restore</w:t>
      </w:r>
    </w:p>
    <w:p>
      <w:pPr>
        <w:spacing w:after="0"/>
        <w:ind w:left="360" w:right="216"/>
        <w:shd w:fill="F5F7F9"/>
      </w:pPr>
      <w:r>
        <w:rPr>
          <w:rFonts w:ascii="Consolas" w:hAnsi="Consolas"/>
          <w:b w:val="0"/>
          <w:i w:val="0"/>
          <w:color w:val="263238"/>
          <w:sz w:val="17"/>
        </w:rPr>
        <w:t>psql   --single-transaction   --variable ON_ERROR_STOP=1   --file roles.sql   --file schema.sql   --command 'SET session_replication_role = replica'   --file data.sql   --dbname "[SELF_HOSTED_CONNECTION_STRING]"</w:t>
      </w:r>
    </w:p>
    <w:p>
      <w:pPr>
        <w:spacing w:after="20"/>
      </w:pPr>
    </w:p>
    <w:p>
      <w:pPr>
        <w:pStyle w:val="Heading2"/>
      </w:pPr>
      <w:r>
        <w:t>Step D5 - Validate database objects</w:t>
      </w:r>
    </w:p>
    <w:p>
      <w:pPr>
        <w:spacing w:after="0"/>
        <w:ind w:left="360" w:right="216"/>
        <w:shd w:fill="F5F7F9"/>
      </w:pPr>
      <w:r>
        <w:rPr>
          <w:rFonts w:ascii="Consolas" w:hAnsi="Consolas"/>
          <w:b w:val="0"/>
          <w:i w:val="0"/>
          <w:color w:val="263238"/>
          <w:sz w:val="17"/>
        </w:rPr>
        <w:t>select count(*) from auth.users;</w:t>
      </w:r>
    </w:p>
    <w:p>
      <w:pPr>
        <w:spacing w:after="0"/>
        <w:ind w:left="360" w:right="216"/>
        <w:shd w:fill="F5F7F9"/>
      </w:pPr>
      <w:r>
        <w:rPr>
          <w:rFonts w:ascii="Consolas" w:hAnsi="Consolas"/>
          <w:b w:val="0"/>
          <w:i w:val="0"/>
          <w:color w:val="263238"/>
          <w:sz w:val="17"/>
        </w:rPr>
        <w:t>select count(*) from public.companies;</w:t>
      </w:r>
    </w:p>
    <w:p>
      <w:pPr>
        <w:spacing w:after="0"/>
        <w:ind w:left="360" w:right="216"/>
        <w:shd w:fill="F5F7F9"/>
      </w:pPr>
      <w:r>
        <w:rPr>
          <w:rFonts w:ascii="Consolas" w:hAnsi="Consolas"/>
          <w:b w:val="0"/>
          <w:i w:val="0"/>
          <w:color w:val="263238"/>
          <w:sz w:val="17"/>
        </w:rPr>
        <w:t>select count(*) from public.contacts;</w:t>
      </w:r>
    </w:p>
    <w:p>
      <w:pPr>
        <w:spacing w:after="0"/>
        <w:ind w:left="360" w:right="216"/>
        <w:shd w:fill="F5F7F9"/>
      </w:pPr>
      <w:r>
        <w:rPr>
          <w:rFonts w:ascii="Consolas" w:hAnsi="Consolas"/>
          <w:b w:val="0"/>
          <w:i w:val="0"/>
          <w:color w:val="263238"/>
          <w:sz w:val="17"/>
        </w:rPr>
        <w:t>select count(*) from public.contracts;</w:t>
      </w:r>
    </w:p>
    <w:p>
      <w:pPr>
        <w:spacing w:after="0"/>
        <w:ind w:left="360" w:right="216"/>
        <w:shd w:fill="F5F7F9"/>
      </w:pPr>
      <w:r>
        <w:rPr>
          <w:rFonts w:ascii="Consolas" w:hAnsi="Consolas"/>
          <w:b w:val="0"/>
          <w:i w:val="0"/>
          <w:color w:val="263238"/>
          <w:sz w:val="17"/>
        </w:rPr>
        <w:t>select count(*) from public.interactions;</w:t>
      </w:r>
    </w:p>
    <w:p>
      <w:pPr>
        <w:spacing w:after="0"/>
        <w:ind w:left="360" w:right="216"/>
        <w:shd w:fill="F5F7F9"/>
      </w:pPr>
      <w:r>
        <w:rPr>
          <w:rFonts w:ascii="Consolas" w:hAnsi="Consolas"/>
          <w:b w:val="0"/>
          <w:i w:val="0"/>
          <w:color w:val="263238"/>
          <w:sz w:val="17"/>
        </w:rPr>
        <w:t>select count(*) from public.followups;</w:t>
      </w:r>
    </w:p>
    <w:p>
      <w:pPr>
        <w:spacing w:after="20"/>
      </w:pPr>
    </w:p>
    <w:p>
      <w:r>
        <w:t>Compare counts with the managed project and verify functions, triggers, RLS policies, user profiles, role mappings and audit records. Migrated users must sign in again because managed-instance JWTs will not be valid on the new instance.</w:t>
      </w:r>
    </w:p>
    <w:p>
      <w:r>
        <w:br w:type="page"/>
      </w:r>
    </w:p>
    <w:p>
      <w:pPr>
        <w:pStyle w:val="Heading1"/>
      </w:pPr>
      <w:r>
        <w:t>7. Phase E - Transfer Storage objects</w:t>
      </w:r>
    </w:p>
    <w:p>
      <w:r>
        <w:t>The database migration transfers Storage bucket definitions and metadata, but not the underlying contract documents or profile avatars. Transfer objects using the S3 protocol and rclone. Do not copy downloaded files directly into the Docker storage volume.</w:t>
      </w:r>
    </w:p>
    <w:p>
      <w:pPr>
        <w:pStyle w:val="Heading2"/>
      </w:pPr>
      <w:r>
        <w:t>Step E1 - Prepare S3 endpoints</w:t>
      </w:r>
    </w:p>
    <w:p>
      <w:pPr>
        <w:pStyle w:val="ListBullet"/>
        <w:spacing w:after="60"/>
      </w:pPr>
      <w:r>
        <w:t>Generate managed-project S3 credentials in the Supabase Storage configuration.</w:t>
      </w:r>
    </w:p>
    <w:p>
      <w:pPr>
        <w:pStyle w:val="ListBullet"/>
        <w:spacing w:after="60"/>
      </w:pPr>
      <w:r>
        <w:t>Configure self-hosted S3 protocol credentials and region variables.</w:t>
      </w:r>
    </w:p>
    <w:p>
      <w:pPr>
        <w:pStyle w:val="ListBullet"/>
        <w:spacing w:after="60"/>
      </w:pPr>
      <w:r>
        <w:t>Confirm destination bucket definitions exist after database restoration.</w:t>
      </w:r>
    </w:p>
    <w:p>
      <w:pPr>
        <w:pStyle w:val="Heading2"/>
      </w:pPr>
      <w:r>
        <w:t>Step E2 - Configure rclone</w:t>
      </w:r>
    </w:p>
    <w:p>
      <w:pPr>
        <w:spacing w:after="0"/>
        <w:ind w:left="360" w:right="216"/>
        <w:shd w:fill="F5F7F9"/>
      </w:pPr>
      <w:r>
        <w:rPr>
          <w:rFonts w:ascii="Consolas" w:hAnsi="Consolas"/>
          <w:b w:val="0"/>
          <w:i w:val="0"/>
          <w:color w:val="263238"/>
          <w:sz w:val="17"/>
        </w:rPr>
        <w:t>[platform]</w:t>
      </w:r>
    </w:p>
    <w:p>
      <w:pPr>
        <w:spacing w:after="0"/>
        <w:ind w:left="360" w:right="216"/>
        <w:shd w:fill="F5F7F9"/>
      </w:pPr>
      <w:r>
        <w:rPr>
          <w:rFonts w:ascii="Consolas" w:hAnsi="Consolas"/>
          <w:b w:val="0"/>
          <w:i w:val="0"/>
          <w:color w:val="263238"/>
          <w:sz w:val="17"/>
        </w:rPr>
        <w:t>type = s3</w:t>
      </w:r>
    </w:p>
    <w:p>
      <w:pPr>
        <w:spacing w:after="0"/>
        <w:ind w:left="360" w:right="216"/>
        <w:shd w:fill="F5F7F9"/>
      </w:pPr>
      <w:r>
        <w:rPr>
          <w:rFonts w:ascii="Consolas" w:hAnsi="Consolas"/>
          <w:b w:val="0"/>
          <w:i w:val="0"/>
          <w:color w:val="263238"/>
          <w:sz w:val="17"/>
        </w:rPr>
        <w:t>provider = Other</w:t>
      </w:r>
    </w:p>
    <w:p>
      <w:pPr>
        <w:spacing w:after="0"/>
        <w:ind w:left="360" w:right="216"/>
        <w:shd w:fill="F5F7F9"/>
      </w:pPr>
      <w:r>
        <w:rPr>
          <w:rFonts w:ascii="Consolas" w:hAnsi="Consolas"/>
          <w:b w:val="0"/>
          <w:i w:val="0"/>
          <w:color w:val="263238"/>
          <w:sz w:val="17"/>
        </w:rPr>
        <w:t>access_key_id = &lt;managed-access-key&gt;</w:t>
      </w:r>
    </w:p>
    <w:p>
      <w:pPr>
        <w:spacing w:after="0"/>
        <w:ind w:left="360" w:right="216"/>
        <w:shd w:fill="F5F7F9"/>
      </w:pPr>
      <w:r>
        <w:rPr>
          <w:rFonts w:ascii="Consolas" w:hAnsi="Consolas"/>
          <w:b w:val="0"/>
          <w:i w:val="0"/>
          <w:color w:val="263238"/>
          <w:sz w:val="17"/>
        </w:rPr>
        <w:t>secret_access_key = &lt;managed-secret-key&gt;</w:t>
      </w:r>
    </w:p>
    <w:p>
      <w:pPr>
        <w:spacing w:after="0"/>
        <w:ind w:left="360" w:right="216"/>
        <w:shd w:fill="F5F7F9"/>
      </w:pPr>
      <w:r>
        <w:rPr>
          <w:rFonts w:ascii="Consolas" w:hAnsi="Consolas"/>
          <w:b w:val="0"/>
          <w:i w:val="0"/>
          <w:color w:val="263238"/>
          <w:sz w:val="17"/>
        </w:rPr>
        <w:t>endpoint = https://&lt;project-ref&gt;.supabase.co/storage/v1/s3</w:t>
      </w:r>
    </w:p>
    <w:p>
      <w:pPr>
        <w:spacing w:after="0"/>
        <w:ind w:left="360" w:right="216"/>
        <w:shd w:fill="F5F7F9"/>
      </w:pPr>
      <w:r>
        <w:rPr>
          <w:rFonts w:ascii="Consolas" w:hAnsi="Consolas"/>
          <w:b w:val="0"/>
          <w:i w:val="0"/>
          <w:color w:val="263238"/>
          <w:sz w:val="17"/>
        </w:rPr>
        <w:t>region = &lt;managed-region&gt;</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[self-hosted]</w:t>
      </w:r>
    </w:p>
    <w:p>
      <w:pPr>
        <w:spacing w:after="0"/>
        <w:ind w:left="360" w:right="216"/>
        <w:shd w:fill="F5F7F9"/>
      </w:pPr>
      <w:r>
        <w:rPr>
          <w:rFonts w:ascii="Consolas" w:hAnsi="Consolas"/>
          <w:b w:val="0"/>
          <w:i w:val="0"/>
          <w:color w:val="263238"/>
          <w:sz w:val="17"/>
        </w:rPr>
        <w:t>type = s3</w:t>
      </w:r>
    </w:p>
    <w:p>
      <w:pPr>
        <w:spacing w:after="0"/>
        <w:ind w:left="360" w:right="216"/>
        <w:shd w:fill="F5F7F9"/>
      </w:pPr>
      <w:r>
        <w:rPr>
          <w:rFonts w:ascii="Consolas" w:hAnsi="Consolas"/>
          <w:b w:val="0"/>
          <w:i w:val="0"/>
          <w:color w:val="263238"/>
          <w:sz w:val="17"/>
        </w:rPr>
        <w:t>provider = Other</w:t>
      </w:r>
    </w:p>
    <w:p>
      <w:pPr>
        <w:spacing w:after="0"/>
        <w:ind w:left="360" w:right="216"/>
        <w:shd w:fill="F5F7F9"/>
      </w:pPr>
      <w:r>
        <w:rPr>
          <w:rFonts w:ascii="Consolas" w:hAnsi="Consolas"/>
          <w:b w:val="0"/>
          <w:i w:val="0"/>
          <w:color w:val="263238"/>
          <w:sz w:val="17"/>
        </w:rPr>
        <w:t>access_key_id = &lt;on-prem-access-key&gt;</w:t>
      </w:r>
    </w:p>
    <w:p>
      <w:pPr>
        <w:spacing w:after="0"/>
        <w:ind w:left="360" w:right="216"/>
        <w:shd w:fill="F5F7F9"/>
      </w:pPr>
      <w:r>
        <w:rPr>
          <w:rFonts w:ascii="Consolas" w:hAnsi="Consolas"/>
          <w:b w:val="0"/>
          <w:i w:val="0"/>
          <w:color w:val="263238"/>
          <w:sz w:val="17"/>
        </w:rPr>
        <w:t>secret_access_key = &lt;on-prem-secret-key&gt;</w:t>
      </w:r>
    </w:p>
    <w:p>
      <w:pPr>
        <w:spacing w:after="0"/>
        <w:ind w:left="360" w:right="216"/>
        <w:shd w:fill="F5F7F9"/>
      </w:pPr>
      <w:r>
        <w:rPr>
          <w:rFonts w:ascii="Consolas" w:hAnsi="Consolas"/>
          <w:b w:val="0"/>
          <w:i w:val="0"/>
          <w:color w:val="263238"/>
          <w:sz w:val="17"/>
        </w:rPr>
        <w:t>endpoint = https://supabase-contractconnect.company.local/storage/v1/s3</w:t>
      </w:r>
    </w:p>
    <w:p>
      <w:pPr>
        <w:spacing w:after="0"/>
        <w:ind w:left="360" w:right="216"/>
        <w:shd w:fill="F5F7F9"/>
      </w:pPr>
      <w:r>
        <w:rPr>
          <w:rFonts w:ascii="Consolas" w:hAnsi="Consolas"/>
          <w:b w:val="0"/>
          <w:i w:val="0"/>
          <w:color w:val="263238"/>
          <w:sz w:val="17"/>
        </w:rPr>
        <w:t>region = &lt;on-prem-region&gt;</w:t>
      </w:r>
    </w:p>
    <w:p>
      <w:pPr>
        <w:spacing w:after="20"/>
      </w:pPr>
    </w:p>
    <w:p>
      <w:pPr>
        <w:pStyle w:val="Heading2"/>
      </w:pPr>
      <w:r>
        <w:t>Step E3 - Copy and verify</w:t>
      </w:r>
    </w:p>
    <w:p>
      <w:pPr>
        <w:spacing w:after="0"/>
        <w:ind w:left="360" w:right="216"/>
        <w:shd w:fill="F5F7F9"/>
      </w:pPr>
      <w:r>
        <w:rPr>
          <w:rFonts w:ascii="Consolas" w:hAnsi="Consolas"/>
          <w:b w:val="0"/>
          <w:i w:val="0"/>
          <w:color w:val="263238"/>
          <w:sz w:val="17"/>
        </w:rPr>
        <w:t>rclone lsd platform:</w:t>
      </w:r>
    </w:p>
    <w:p>
      <w:pPr>
        <w:spacing w:after="0"/>
        <w:ind w:left="360" w:right="216"/>
        <w:shd w:fill="F5F7F9"/>
      </w:pPr>
      <w:r>
        <w:rPr>
          <w:rFonts w:ascii="Consolas" w:hAnsi="Consolas"/>
          <w:b w:val="0"/>
          <w:i w:val="0"/>
          <w:color w:val="263238"/>
          <w:sz w:val="17"/>
        </w:rPr>
        <w:t>rclone lsd self-hosted:</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rclone copy platform:&lt;bucket&gt; self-hosted:&lt;bucket&gt; --progress</w:t>
      </w:r>
    </w:p>
    <w:p>
      <w:pPr>
        <w:spacing w:after="0"/>
        <w:ind w:left="360" w:right="216"/>
        <w:shd w:fill="F5F7F9"/>
      </w:pPr>
      <w:r>
        <w:rPr>
          <w:rFonts w:ascii="Consolas" w:hAnsi="Consolas"/>
          <w:b w:val="0"/>
          <w:i w:val="0"/>
          <w:color w:val="263238"/>
          <w:sz w:val="17"/>
        </w:rPr>
      </w:r>
    </w:p>
    <w:p>
      <w:pPr>
        <w:spacing w:after="0"/>
        <w:ind w:left="360" w:right="216"/>
        <w:shd w:fill="F5F7F9"/>
      </w:pPr>
      <w:r>
        <w:rPr>
          <w:rFonts w:ascii="Consolas" w:hAnsi="Consolas"/>
          <w:b w:val="0"/>
          <w:i w:val="0"/>
          <w:color w:val="263238"/>
          <w:sz w:val="17"/>
        </w:rPr>
        <w:t>rclone size platform:&lt;bucket&gt;</w:t>
      </w:r>
    </w:p>
    <w:p>
      <w:pPr>
        <w:spacing w:after="0"/>
        <w:ind w:left="360" w:right="216"/>
        <w:shd w:fill="F5F7F9"/>
      </w:pPr>
      <w:r>
        <w:rPr>
          <w:rFonts w:ascii="Consolas" w:hAnsi="Consolas"/>
          <w:b w:val="0"/>
          <w:i w:val="0"/>
          <w:color w:val="263238"/>
          <w:sz w:val="17"/>
        </w:rPr>
        <w:t>rclone size self-hosted:&lt;bucket&gt;</w:t>
      </w:r>
    </w:p>
    <w:p>
      <w:pPr>
        <w:spacing w:after="20"/>
      </w:pPr>
    </w:p>
    <w:p>
      <w:r>
        <w:t>Compare object counts and total bytes for every bucket, then open representative documents and avatars through ContractConnect using authorized user accounts.</w:t>
      </w:r>
    </w:p>
    <w:p>
      <w:r>
        <w:br w:type="page"/>
      </w:r>
    </w:p>
    <w:p>
      <w:pPr>
        <w:pStyle w:val="Heading1"/>
      </w:pPr>
      <w:r>
        <w:t>8. Phase F - Configure and validate ContractConnect</w:t>
      </w:r>
    </w:p>
    <w:p>
      <w:pPr>
        <w:pStyle w:val="Heading2"/>
      </w:pPr>
      <w:r>
        <w:t>Step F1 - Change frontend configuration</w:t>
      </w:r>
    </w:p>
    <w:p>
      <w:pPr>
        <w:spacing w:after="0"/>
        <w:ind w:left="360" w:right="216"/>
        <w:shd w:fill="F5F7F9"/>
      </w:pPr>
      <w:r>
        <w:rPr>
          <w:rFonts w:ascii="Consolas" w:hAnsi="Consolas"/>
          <w:b w:val="0"/>
          <w:i w:val="0"/>
          <w:color w:val="263238"/>
          <w:sz w:val="17"/>
        </w:rPr>
        <w:t>VITE_SUPABASE_URL=https://supabase-contractconnect.company.local</w:t>
      </w:r>
    </w:p>
    <w:p>
      <w:pPr>
        <w:spacing w:after="0"/>
        <w:ind w:left="360" w:right="216"/>
        <w:shd w:fill="F5F7F9"/>
      </w:pPr>
      <w:r>
        <w:rPr>
          <w:rFonts w:ascii="Consolas" w:hAnsi="Consolas"/>
          <w:b w:val="0"/>
          <w:i w:val="0"/>
          <w:color w:val="263238"/>
          <w:sz w:val="17"/>
        </w:rPr>
        <w:t>VITE_SUPABASE_ANON_KEY=&lt;self-hosted-publishable-key&gt;</w:t>
      </w:r>
    </w:p>
    <w:p>
      <w:pPr>
        <w:spacing w:after="20"/>
      </w:pPr>
    </w:p>
    <w:p>
      <w:r>
        <w:t>The existing variable name can initially hold the self-hosted publishable key. No database password, SMTP credential or Supabase secret key may be included in any VITE_ variable because Vite embeds those values in browser-delivered JavaScript.</w:t>
      </w:r>
    </w:p>
    <w:p>
      <w:pPr>
        <w:pStyle w:val="Heading2"/>
      </w:pPr>
      <w:r>
        <w:t>Step F2 - Build and deploy</w:t>
      </w:r>
    </w:p>
    <w:p>
      <w:pPr>
        <w:spacing w:after="0"/>
        <w:ind w:left="360" w:right="216"/>
        <w:shd w:fill="F5F7F9"/>
      </w:pPr>
      <w:r>
        <w:rPr>
          <w:rFonts w:ascii="Consolas" w:hAnsi="Consolas"/>
          <w:b w:val="0"/>
          <w:i w:val="0"/>
          <w:color w:val="263238"/>
          <w:sz w:val="17"/>
        </w:rPr>
        <w:t>npm ci</w:t>
      </w:r>
    </w:p>
    <w:p>
      <w:pPr>
        <w:spacing w:after="0"/>
        <w:ind w:left="360" w:right="216"/>
        <w:shd w:fill="F5F7F9"/>
      </w:pPr>
      <w:r>
        <w:rPr>
          <w:rFonts w:ascii="Consolas" w:hAnsi="Consolas"/>
          <w:b w:val="0"/>
          <w:i w:val="0"/>
          <w:color w:val="263238"/>
          <w:sz w:val="17"/>
        </w:rPr>
        <w:t>npm run build</w:t>
      </w:r>
    </w:p>
    <w:p>
      <w:pPr>
        <w:spacing w:after="20"/>
      </w:pPr>
    </w:p>
    <w:p>
      <w:r>
        <w:t>Deploy the generated static build to the approved internal web host. Confirm client machines trust the TLS chain and can resolve both internal DNS names.</w:t>
      </w:r>
    </w:p>
    <w:p>
      <w:pPr>
        <w:pStyle w:val="Heading2"/>
      </w:pPr>
      <w:r>
        <w:t>Step F3 - Acceptance test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vAlign w:val="center"/>
            <w:tcMar>
              <w:top w:w="80" w:type="dxa"/>
              <w:start w:w="110" w:type="dxa"/>
              <w:bottom w:w="80" w:type="dxa"/>
              <w:end w:w="110" w:type="dxa"/>
            </w:tcMar>
            <w:shd w:fill="164E63"/>
          </w:tcPr>
          <w:p>
            <w:pPr>
              <w:spacing w:after="0"/>
            </w:pPr>
            <w:r>
              <w:rPr>
                <w:rFonts w:ascii="Calibri" w:hAnsi="Calibri"/>
                <w:b/>
                <w:i w:val="0"/>
                <w:color w:val="FFFFFF"/>
                <w:sz w:val="18"/>
              </w:rPr>
              <w:t>Area</w:t>
            </w:r>
          </w:p>
        </w:tc>
        <w:tc>
          <w:tcPr>
            <w:tcW w:type="dxa" w:w="4824"/>
            <w:vAlign w:val="center"/>
            <w:tcMar>
              <w:top w:w="80" w:type="dxa"/>
              <w:start w:w="110" w:type="dxa"/>
              <w:bottom w:w="80" w:type="dxa"/>
              <w:end w:w="110" w:type="dxa"/>
            </w:tcMar>
            <w:shd w:fill="164E63"/>
          </w:tcPr>
          <w:p>
            <w:pPr>
              <w:spacing w:after="0"/>
            </w:pPr>
            <w:r>
              <w:rPr>
                <w:rFonts w:ascii="Calibri" w:hAnsi="Calibri"/>
                <w:b/>
                <w:i w:val="0"/>
                <w:color w:val="FFFFFF"/>
                <w:sz w:val="18"/>
              </w:rPr>
              <w:t>Required test</w:t>
            </w:r>
          </w:p>
        </w:tc>
        <w:tc>
          <w:tcPr>
            <w:tcW w:type="dxa" w:w="3672"/>
            <w:vAlign w:val="center"/>
            <w:tcMar>
              <w:top w:w="80" w:type="dxa"/>
              <w:start w:w="110" w:type="dxa"/>
              <w:bottom w:w="80" w:type="dxa"/>
              <w:end w:w="110" w:type="dxa"/>
            </w:tcMar>
            <w:shd w:fill="164E63"/>
          </w:tcPr>
          <w:p>
            <w:pPr>
              <w:spacing w:after="0"/>
            </w:pPr>
            <w:r>
              <w:rPr>
                <w:rFonts w:ascii="Calibri" w:hAnsi="Calibri"/>
                <w:b/>
                <w:i w:val="0"/>
                <w:color w:val="FFFFFF"/>
                <w:sz w:val="18"/>
              </w:rPr>
              <w:t>Pass criterion</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Authentication</w:t>
            </w:r>
          </w:p>
        </w:tc>
        <w:tc>
          <w:tcPr>
            <w:tcW w:type="dxa" w:w="4824"/>
            <w:vAlign w:val="center"/>
            <w:tcMar>
              <w:top w:w="80" w:type="dxa"/>
              <w:start w:w="110" w:type="dxa"/>
              <w:bottom w:w="80" w:type="dxa"/>
              <w:end w:w="110" w:type="dxa"/>
            </w:tcMar>
          </w:tcPr>
          <w:p>
            <w:pPr>
              <w:spacing w:after="0"/>
            </w:pPr>
            <w:r>
              <w:rPr>
                <w:rFonts w:ascii="Calibri" w:hAnsi="Calibri"/>
                <w:b w:val="0"/>
                <w:i w:val="0"/>
                <w:color w:val="1F2937"/>
                <w:sz w:val="18"/>
              </w:rPr>
              <w:t>Existing user login, logout, reset and verification</w:t>
            </w:r>
          </w:p>
        </w:tc>
        <w:tc>
          <w:tcPr>
            <w:tcW w:type="dxa" w:w="3672"/>
            <w:vAlign w:val="center"/>
            <w:tcMar>
              <w:top w:w="80" w:type="dxa"/>
              <w:start w:w="110" w:type="dxa"/>
              <w:bottom w:w="80" w:type="dxa"/>
              <w:end w:w="110" w:type="dxa"/>
            </w:tcMar>
          </w:tcPr>
          <w:p>
            <w:pPr>
              <w:spacing w:after="0"/>
            </w:pPr>
            <w:r>
              <w:rPr>
                <w:rFonts w:ascii="Calibri" w:hAnsi="Calibri"/>
                <w:b w:val="0"/>
                <w:i w:val="0"/>
                <w:color w:val="1F2937"/>
                <w:sz w:val="18"/>
              </w:rPr>
              <w:t>Correct user, redirect and email behavior</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Authorization</w:t>
            </w:r>
          </w:p>
        </w:tc>
        <w:tc>
          <w:tcPr>
            <w:tcW w:type="dxa" w:w="4824"/>
            <w:vAlign w:val="center"/>
            <w:tcMar>
              <w:top w:w="80" w:type="dxa"/>
              <w:start w:w="110" w:type="dxa"/>
              <w:bottom w:w="80" w:type="dxa"/>
              <w:end w:w="110" w:type="dxa"/>
            </w:tcMar>
            <w:shd w:fill="F2F4F7"/>
          </w:tcPr>
          <w:p>
            <w:pPr>
              <w:spacing w:after="0"/>
            </w:pPr>
            <w:r>
              <w:rPr>
                <w:rFonts w:ascii="Calibri" w:hAnsi="Calibri"/>
                <w:b w:val="0"/>
                <w:i w:val="0"/>
                <w:color w:val="1F2937"/>
                <w:sz w:val="18"/>
              </w:rPr>
              <w:t>Exercise every configured role</w:t>
            </w:r>
          </w:p>
        </w:tc>
        <w:tc>
          <w:tcPr>
            <w:tcW w:type="dxa" w:w="3672"/>
            <w:vAlign w:val="center"/>
            <w:tcMar>
              <w:top w:w="80" w:type="dxa"/>
              <w:start w:w="110" w:type="dxa"/>
              <w:bottom w:w="80" w:type="dxa"/>
              <w:end w:w="110" w:type="dxa"/>
            </w:tcMar>
            <w:shd w:fill="F2F4F7"/>
          </w:tcPr>
          <w:p>
            <w:pPr>
              <w:spacing w:after="0"/>
            </w:pPr>
            <w:r>
              <w:rPr>
                <w:rFonts w:ascii="Calibri" w:hAnsi="Calibri"/>
                <w:b w:val="0"/>
                <w:i w:val="0"/>
                <w:color w:val="1F2937"/>
                <w:sz w:val="18"/>
              </w:rPr>
              <w:t>RLS and UI actions match role matrix</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CRM records</w:t>
            </w:r>
          </w:p>
        </w:tc>
        <w:tc>
          <w:tcPr>
            <w:tcW w:type="dxa" w:w="4824"/>
            <w:vAlign w:val="center"/>
            <w:tcMar>
              <w:top w:w="80" w:type="dxa"/>
              <w:start w:w="110" w:type="dxa"/>
              <w:bottom w:w="80" w:type="dxa"/>
              <w:end w:w="110" w:type="dxa"/>
            </w:tcMar>
          </w:tcPr>
          <w:p>
            <w:pPr>
              <w:spacing w:after="0"/>
            </w:pPr>
            <w:r>
              <w:rPr>
                <w:rFonts w:ascii="Calibri" w:hAnsi="Calibri"/>
                <w:b w:val="0"/>
                <w:i w:val="0"/>
                <w:color w:val="1F2937"/>
                <w:sz w:val="18"/>
              </w:rPr>
              <w:t>Companies, contacts, contracts, interactions, follow-ups</w:t>
            </w:r>
          </w:p>
        </w:tc>
        <w:tc>
          <w:tcPr>
            <w:tcW w:type="dxa" w:w="3672"/>
            <w:vAlign w:val="center"/>
            <w:tcMar>
              <w:top w:w="80" w:type="dxa"/>
              <w:start w:w="110" w:type="dxa"/>
              <w:bottom w:w="80" w:type="dxa"/>
              <w:end w:w="110" w:type="dxa"/>
            </w:tcMar>
          </w:tcPr>
          <w:p>
            <w:pPr>
              <w:spacing w:after="0"/>
            </w:pPr>
            <w:r>
              <w:rPr>
                <w:rFonts w:ascii="Calibri" w:hAnsi="Calibri"/>
                <w:b w:val="0"/>
                <w:i w:val="0"/>
                <w:color w:val="1F2937"/>
                <w:sz w:val="18"/>
              </w:rPr>
              <w:t>CRUD and relationships operate correctly</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Documents</w:t>
            </w:r>
          </w:p>
        </w:tc>
        <w:tc>
          <w:tcPr>
            <w:tcW w:type="dxa" w:w="4824"/>
            <w:vAlign w:val="center"/>
            <w:tcMar>
              <w:top w:w="80" w:type="dxa"/>
              <w:start w:w="110" w:type="dxa"/>
              <w:bottom w:w="80" w:type="dxa"/>
              <w:end w:w="110" w:type="dxa"/>
            </w:tcMar>
            <w:shd w:fill="F2F4F7"/>
          </w:tcPr>
          <w:p>
            <w:pPr>
              <w:spacing w:after="0"/>
            </w:pPr>
            <w:r>
              <w:rPr>
                <w:rFonts w:ascii="Calibri" w:hAnsi="Calibri"/>
                <w:b w:val="0"/>
                <w:i w:val="0"/>
                <w:color w:val="1F2937"/>
                <w:sz w:val="18"/>
              </w:rPr>
              <w:t>Upload, view/download and delete</w:t>
            </w:r>
          </w:p>
        </w:tc>
        <w:tc>
          <w:tcPr>
            <w:tcW w:type="dxa" w:w="3672"/>
            <w:vAlign w:val="center"/>
            <w:tcMar>
              <w:top w:w="80" w:type="dxa"/>
              <w:start w:w="110" w:type="dxa"/>
              <w:bottom w:w="80" w:type="dxa"/>
              <w:end w:w="110" w:type="dxa"/>
            </w:tcMar>
            <w:shd w:fill="F2F4F7"/>
          </w:tcPr>
          <w:p>
            <w:pPr>
              <w:spacing w:after="0"/>
            </w:pPr>
            <w:r>
              <w:rPr>
                <w:rFonts w:ascii="Calibri" w:hAnsi="Calibri"/>
                <w:b w:val="0"/>
                <w:i w:val="0"/>
                <w:color w:val="1F2937"/>
                <w:sz w:val="18"/>
              </w:rPr>
              <w:t>Private files accessible only to authorized users</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Profiles</w:t>
            </w:r>
          </w:p>
        </w:tc>
        <w:tc>
          <w:tcPr>
            <w:tcW w:type="dxa" w:w="4824"/>
            <w:vAlign w:val="center"/>
            <w:tcMar>
              <w:top w:w="80" w:type="dxa"/>
              <w:start w:w="110" w:type="dxa"/>
              <w:bottom w:w="80" w:type="dxa"/>
              <w:end w:w="110" w:type="dxa"/>
            </w:tcMar>
          </w:tcPr>
          <w:p>
            <w:pPr>
              <w:spacing w:after="0"/>
            </w:pPr>
            <w:r>
              <w:rPr>
                <w:rFonts w:ascii="Calibri" w:hAnsi="Calibri"/>
                <w:b w:val="0"/>
                <w:i w:val="0"/>
                <w:color w:val="1F2937"/>
                <w:sz w:val="18"/>
              </w:rPr>
              <w:t>Name and avatar updates</w:t>
            </w:r>
          </w:p>
        </w:tc>
        <w:tc>
          <w:tcPr>
            <w:tcW w:type="dxa" w:w="3672"/>
            <w:vAlign w:val="center"/>
            <w:tcMar>
              <w:top w:w="80" w:type="dxa"/>
              <w:start w:w="110" w:type="dxa"/>
              <w:bottom w:w="80" w:type="dxa"/>
              <w:end w:w="110" w:type="dxa"/>
            </w:tcMar>
          </w:tcPr>
          <w:p>
            <w:pPr>
              <w:spacing w:after="0"/>
            </w:pPr>
            <w:r>
              <w:rPr>
                <w:rFonts w:ascii="Calibri" w:hAnsi="Calibri"/>
                <w:b w:val="0"/>
                <w:i w:val="0"/>
                <w:color w:val="1F2937"/>
                <w:sz w:val="18"/>
              </w:rPr>
              <w:t>Changes persist and render correctly</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Exports</w:t>
            </w:r>
          </w:p>
        </w:tc>
        <w:tc>
          <w:tcPr>
            <w:tcW w:type="dxa" w:w="4824"/>
            <w:vAlign w:val="center"/>
            <w:tcMar>
              <w:top w:w="80" w:type="dxa"/>
              <w:start w:w="110" w:type="dxa"/>
              <w:bottom w:w="80" w:type="dxa"/>
              <w:end w:w="110" w:type="dxa"/>
            </w:tcMar>
            <w:shd w:fill="F2F4F7"/>
          </w:tcPr>
          <w:p>
            <w:pPr>
              <w:spacing w:after="0"/>
            </w:pPr>
            <w:r>
              <w:rPr>
                <w:rFonts w:ascii="Calibri" w:hAnsi="Calibri"/>
                <w:b w:val="0"/>
                <w:i w:val="0"/>
                <w:color w:val="1F2937"/>
                <w:sz w:val="18"/>
              </w:rPr>
              <w:t>Generate current supported exports</w:t>
            </w:r>
          </w:p>
        </w:tc>
        <w:tc>
          <w:tcPr>
            <w:tcW w:type="dxa" w:w="3672"/>
            <w:vAlign w:val="center"/>
            <w:tcMar>
              <w:top w:w="80" w:type="dxa"/>
              <w:start w:w="110" w:type="dxa"/>
              <w:bottom w:w="80" w:type="dxa"/>
              <w:end w:w="110" w:type="dxa"/>
            </w:tcMar>
            <w:shd w:fill="F2F4F7"/>
          </w:tcPr>
          <w:p>
            <w:pPr>
              <w:spacing w:after="0"/>
            </w:pPr>
            <w:r>
              <w:rPr>
                <w:rFonts w:ascii="Calibri" w:hAnsi="Calibri"/>
                <w:b w:val="0"/>
                <w:i w:val="0"/>
                <w:color w:val="1F2937"/>
                <w:sz w:val="18"/>
              </w:rPr>
              <w:t>Content and formatting match expected results</w:t>
            </w:r>
          </w:p>
        </w:tc>
      </w:tr>
      <w:tr>
        <w:tc>
          <w:tcPr>
            <w:tcW w:type="dxa" w:w="1728"/>
            <w:vAlign w:val="center"/>
            <w:tcMar>
              <w:top w:w="80" w:type="dxa"/>
              <w:start w:w="110" w:type="dxa"/>
              <w:bottom w:w="80" w:type="dxa"/>
              <w:end w:w="110" w:type="dxa"/>
            </w:tcMar>
          </w:tcPr>
          <w:p>
            <w:pPr>
              <w:spacing w:after="0"/>
            </w:pPr>
            <w:r>
              <w:rPr>
                <w:rFonts w:ascii="Calibri" w:hAnsi="Calibri"/>
                <w:b w:val="0"/>
                <w:i w:val="0"/>
                <w:color w:val="1F2937"/>
                <w:sz w:val="18"/>
              </w:rPr>
              <w:t>Audit/security</w:t>
            </w:r>
          </w:p>
        </w:tc>
        <w:tc>
          <w:tcPr>
            <w:tcW w:type="dxa" w:w="4824"/>
            <w:vAlign w:val="center"/>
            <w:tcMar>
              <w:top w:w="80" w:type="dxa"/>
              <w:start w:w="110" w:type="dxa"/>
              <w:bottom w:w="80" w:type="dxa"/>
              <w:end w:w="110" w:type="dxa"/>
            </w:tcMar>
          </w:tcPr>
          <w:p>
            <w:pPr>
              <w:spacing w:after="0"/>
            </w:pPr>
            <w:r>
              <w:rPr>
                <w:rFonts w:ascii="Calibri" w:hAnsi="Calibri"/>
                <w:b w:val="0"/>
                <w:i w:val="0"/>
                <w:color w:val="1F2937"/>
                <w:sz w:val="18"/>
              </w:rPr>
              <w:t>Success and failure events</w:t>
            </w:r>
          </w:p>
        </w:tc>
        <w:tc>
          <w:tcPr>
            <w:tcW w:type="dxa" w:w="3672"/>
            <w:vAlign w:val="center"/>
            <w:tcMar>
              <w:top w:w="80" w:type="dxa"/>
              <w:start w:w="110" w:type="dxa"/>
              <w:bottom w:w="80" w:type="dxa"/>
              <w:end w:w="110" w:type="dxa"/>
            </w:tcMar>
          </w:tcPr>
          <w:p>
            <w:pPr>
              <w:spacing w:after="0"/>
            </w:pPr>
            <w:r>
              <w:rPr>
                <w:rFonts w:ascii="Calibri" w:hAnsi="Calibri"/>
                <w:b w:val="0"/>
                <w:i w:val="0"/>
                <w:color w:val="1F2937"/>
                <w:sz w:val="18"/>
              </w:rPr>
              <w:t>Expected events recorded without sensitive values</w:t>
            </w:r>
          </w:p>
        </w:tc>
      </w:tr>
      <w:tr>
        <w:tc>
          <w:tcPr>
            <w:tcW w:type="dxa" w:w="1728"/>
            <w:vAlign w:val="center"/>
            <w:tcMar>
              <w:top w:w="80" w:type="dxa"/>
              <w:start w:w="110" w:type="dxa"/>
              <w:bottom w:w="80" w:type="dxa"/>
              <w:end w:w="110" w:type="dxa"/>
            </w:tcMar>
            <w:shd w:fill="F2F4F7"/>
          </w:tcPr>
          <w:p>
            <w:pPr>
              <w:spacing w:after="0"/>
            </w:pPr>
            <w:r>
              <w:rPr>
                <w:rFonts w:ascii="Calibri" w:hAnsi="Calibri"/>
                <w:b w:val="0"/>
                <w:i w:val="0"/>
                <w:color w:val="1F2937"/>
                <w:sz w:val="18"/>
              </w:rPr>
              <w:t>Performance</w:t>
            </w:r>
          </w:p>
        </w:tc>
        <w:tc>
          <w:tcPr>
            <w:tcW w:type="dxa" w:w="4824"/>
            <w:vAlign w:val="center"/>
            <w:tcMar>
              <w:top w:w="80" w:type="dxa"/>
              <w:start w:w="110" w:type="dxa"/>
              <w:bottom w:w="80" w:type="dxa"/>
              <w:end w:w="110" w:type="dxa"/>
            </w:tcMar>
            <w:shd w:fill="F2F4F7"/>
          </w:tcPr>
          <w:p>
            <w:pPr>
              <w:spacing w:after="0"/>
            </w:pPr>
            <w:r>
              <w:rPr>
                <w:rFonts w:ascii="Calibri" w:hAnsi="Calibri"/>
                <w:b w:val="0"/>
                <w:i w:val="0"/>
                <w:color w:val="1F2937"/>
                <w:sz w:val="18"/>
              </w:rPr>
              <w:t>Representative concurrent use</w:t>
            </w:r>
          </w:p>
        </w:tc>
        <w:tc>
          <w:tcPr>
            <w:tcW w:type="dxa" w:w="3672"/>
            <w:vAlign w:val="center"/>
            <w:tcMar>
              <w:top w:w="80" w:type="dxa"/>
              <w:start w:w="110" w:type="dxa"/>
              <w:bottom w:w="80" w:type="dxa"/>
              <w:end w:w="110" w:type="dxa"/>
            </w:tcMar>
            <w:shd w:fill="F2F4F7"/>
          </w:tcPr>
          <w:p>
            <w:pPr>
              <w:spacing w:after="0"/>
            </w:pPr>
            <w:r>
              <w:rPr>
                <w:rFonts w:ascii="Calibri" w:hAnsi="Calibri"/>
                <w:b w:val="0"/>
                <w:i w:val="0"/>
                <w:color w:val="1F2937"/>
                <w:sz w:val="18"/>
              </w:rPr>
              <w:t>Response time accepted by application owner</w:t>
            </w:r>
          </w:p>
        </w:tc>
      </w:tr>
    </w:tbl>
    <w:p>
      <w:pPr>
        <w:spacing w:after="20"/>
      </w:pPr>
    </w:p>
    <w:p>
      <w:r>
        <w:br w:type="page"/>
      </w:r>
    </w:p>
    <w:p>
      <w:pPr>
        <w:pStyle w:val="Heading1"/>
      </w:pPr>
      <w:r>
        <w:t>9. Phase G - Backup, recovery and operations</w:t>
      </w:r>
    </w:p>
    <w:p>
      <w:pPr>
        <w:pStyle w:val="Heading2"/>
      </w:pPr>
      <w:r>
        <w:t>Backup scope</w:t>
      </w:r>
    </w:p>
    <w:p>
      <w:pPr>
        <w:pStyle w:val="ListBullet"/>
        <w:spacing w:after="60"/>
      </w:pPr>
      <w:r>
        <w:t>PostgreSQL logical or physical backups appropriate to the recovery design.</w:t>
      </w:r>
    </w:p>
    <w:p>
      <w:pPr>
        <w:pStyle w:val="ListBullet"/>
        <w:spacing w:after="60"/>
      </w:pPr>
      <w:r>
        <w:t>Supabase Storage data or S3-compatible object store.</w:t>
      </w:r>
    </w:p>
    <w:p>
      <w:pPr>
        <w:pStyle w:val="ListBullet"/>
        <w:spacing w:after="60"/>
      </w:pPr>
      <w:r>
        <w:t>Deployment .env and generated signing material, stored securely.</w:t>
      </w:r>
    </w:p>
    <w:p>
      <w:pPr>
        <w:pStyle w:val="ListBullet"/>
        <w:spacing w:after="60"/>
      </w:pPr>
      <w:r>
        <w:t>Docker Compose and reverse-proxy configuration.</w:t>
      </w:r>
    </w:p>
    <w:p>
      <w:pPr>
        <w:pStyle w:val="ListBullet"/>
        <w:spacing w:after="60"/>
      </w:pPr>
      <w:r>
        <w:t>TLS configuration and internal certificate renewal procedure.</w:t>
      </w:r>
    </w:p>
    <w:p>
      <w:pPr>
        <w:pStyle w:val="ListBullet"/>
        <w:spacing w:after="60"/>
      </w:pPr>
      <w:r>
        <w:t>ContractConnect production build and corresponding source revision.</w:t>
      </w:r>
    </w:p>
    <w:p>
      <w:pPr>
        <w:pStyle w:val="Heading2"/>
      </w:pPr>
      <w:r>
        <w:t>Minimum operational controls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vAlign w:val="center"/>
            <w:tcMar>
              <w:top w:w="80" w:type="dxa"/>
              <w:start w:w="110" w:type="dxa"/>
              <w:bottom w:w="80" w:type="dxa"/>
              <w:end w:w="110" w:type="dxa"/>
            </w:tcMar>
            <w:shd w:fill="164E63"/>
          </w:tcPr>
          <w:p>
            <w:pPr>
              <w:spacing w:after="0"/>
            </w:pPr>
            <w:r>
              <w:rPr>
                <w:rFonts w:ascii="Calibri" w:hAnsi="Calibri"/>
                <w:b/>
                <w:i w:val="0"/>
                <w:color w:val="FFFFFF"/>
                <w:sz w:val="18"/>
              </w:rPr>
              <w:t>Control</w:t>
            </w:r>
          </w:p>
        </w:tc>
        <w:tc>
          <w:tcPr>
            <w:tcW w:type="dxa" w:w="7992"/>
            <w:vAlign w:val="center"/>
            <w:tcMar>
              <w:top w:w="80" w:type="dxa"/>
              <w:start w:w="110" w:type="dxa"/>
              <w:bottom w:w="80" w:type="dxa"/>
              <w:end w:w="110" w:type="dxa"/>
            </w:tcMar>
            <w:shd w:fill="164E63"/>
          </w:tcPr>
          <w:p>
            <w:pPr>
              <w:spacing w:after="0"/>
            </w:pPr>
            <w:r>
              <w:rPr>
                <w:rFonts w:ascii="Calibri" w:hAnsi="Calibri"/>
                <w:b/>
                <w:i w:val="0"/>
                <w:color w:val="FFFFFF"/>
                <w:sz w:val="18"/>
              </w:rPr>
              <w:t>Minimum requirement</w:t>
            </w:r>
          </w:p>
        </w:tc>
      </w:tr>
      <w:tr>
        <w:tc>
          <w:tcPr>
            <w:tcW w:type="dxa" w:w="2232"/>
            <w:vAlign w:val="center"/>
            <w:tcMar>
              <w:top w:w="80" w:type="dxa"/>
              <w:start w:w="110" w:type="dxa"/>
              <w:bottom w:w="80" w:type="dxa"/>
              <w:end w:w="110" w:type="dxa"/>
            </w:tcMar>
          </w:tcPr>
          <w:p>
            <w:pPr>
              <w:spacing w:after="0"/>
            </w:pPr>
            <w:r>
              <w:rPr>
                <w:rFonts w:ascii="Calibri" w:hAnsi="Calibri"/>
                <w:b w:val="0"/>
                <w:i w:val="0"/>
                <w:color w:val="1F2937"/>
                <w:sz w:val="18"/>
              </w:rPr>
              <w:t>Database backup</w:t>
            </w:r>
          </w:p>
        </w:tc>
        <w:tc>
          <w:tcPr>
            <w:tcW w:type="dxa" w:w="7992"/>
            <w:vAlign w:val="center"/>
            <w:tcMar>
              <w:top w:w="80" w:type="dxa"/>
              <w:start w:w="110" w:type="dxa"/>
              <w:bottom w:w="80" w:type="dxa"/>
              <w:end w:w="110" w:type="dxa"/>
            </w:tcMar>
          </w:tcPr>
          <w:p>
            <w:pPr>
              <w:spacing w:after="0"/>
            </w:pPr>
            <w:r>
              <w:rPr>
                <w:rFonts w:ascii="Calibri" w:hAnsi="Calibri"/>
                <w:b w:val="0"/>
                <w:i w:val="0"/>
                <w:color w:val="1F2937"/>
                <w:sz w:val="18"/>
              </w:rPr>
              <w:t>Daily, encrypted, off-server, monitored for success</w:t>
            </w:r>
          </w:p>
        </w:tc>
      </w:tr>
      <w:tr>
        <w:tc>
          <w:tcPr>
            <w:tcW w:type="dxa" w:w="2232"/>
            <w:vAlign w:val="center"/>
            <w:tcMar>
              <w:top w:w="80" w:type="dxa"/>
              <w:start w:w="110" w:type="dxa"/>
              <w:bottom w:w="80" w:type="dxa"/>
              <w:end w:w="110" w:type="dxa"/>
            </w:tcMar>
            <w:shd w:fill="F2F4F7"/>
          </w:tcPr>
          <w:p>
            <w:pPr>
              <w:spacing w:after="0"/>
            </w:pPr>
            <w:r>
              <w:rPr>
                <w:rFonts w:ascii="Calibri" w:hAnsi="Calibri"/>
                <w:b w:val="0"/>
                <w:i w:val="0"/>
                <w:color w:val="1F2937"/>
                <w:sz w:val="18"/>
              </w:rPr>
              <w:t>Storage backup</w:t>
            </w:r>
          </w:p>
        </w:tc>
        <w:tc>
          <w:tcPr>
            <w:tcW w:type="dxa" w:w="7992"/>
            <w:vAlign w:val="center"/>
            <w:tcMar>
              <w:top w:w="80" w:type="dxa"/>
              <w:start w:w="110" w:type="dxa"/>
              <w:bottom w:w="80" w:type="dxa"/>
              <w:end w:w="110" w:type="dxa"/>
            </w:tcMar>
            <w:shd w:fill="F2F4F7"/>
          </w:tcPr>
          <w:p>
            <w:pPr>
              <w:spacing w:after="0"/>
            </w:pPr>
            <w:r>
              <w:rPr>
                <w:rFonts w:ascii="Calibri" w:hAnsi="Calibri"/>
                <w:b w:val="0"/>
                <w:i w:val="0"/>
                <w:color w:val="1F2937"/>
                <w:sz w:val="18"/>
              </w:rPr>
              <w:t>Frequency aligned to acceptable document loss</w:t>
            </w:r>
          </w:p>
        </w:tc>
      </w:tr>
      <w:tr>
        <w:tc>
          <w:tcPr>
            <w:tcW w:type="dxa" w:w="2232"/>
            <w:vAlign w:val="center"/>
            <w:tcMar>
              <w:top w:w="80" w:type="dxa"/>
              <w:start w:w="110" w:type="dxa"/>
              <w:bottom w:w="80" w:type="dxa"/>
              <w:end w:w="110" w:type="dxa"/>
            </w:tcMar>
          </w:tcPr>
          <w:p>
            <w:pPr>
              <w:spacing w:after="0"/>
            </w:pPr>
            <w:r>
              <w:rPr>
                <w:rFonts w:ascii="Calibri" w:hAnsi="Calibri"/>
                <w:b w:val="0"/>
                <w:i w:val="0"/>
                <w:color w:val="1F2937"/>
                <w:sz w:val="18"/>
              </w:rPr>
              <w:t>Restore test</w:t>
            </w:r>
          </w:p>
        </w:tc>
        <w:tc>
          <w:tcPr>
            <w:tcW w:type="dxa" w:w="7992"/>
            <w:vAlign w:val="center"/>
            <w:tcMar>
              <w:top w:w="80" w:type="dxa"/>
              <w:start w:w="110" w:type="dxa"/>
              <w:bottom w:w="80" w:type="dxa"/>
              <w:end w:w="110" w:type="dxa"/>
            </w:tcMar>
          </w:tcPr>
          <w:p>
            <w:pPr>
              <w:spacing w:after="0"/>
            </w:pPr>
            <w:r>
              <w:rPr>
                <w:rFonts w:ascii="Calibri" w:hAnsi="Calibri"/>
                <w:b w:val="0"/>
                <w:i w:val="0"/>
                <w:color w:val="1F2937"/>
                <w:sz w:val="18"/>
              </w:rPr>
              <w:t>Scheduled and documented; a backup is not accepted until restored</w:t>
            </w:r>
          </w:p>
        </w:tc>
      </w:tr>
      <w:tr>
        <w:tc>
          <w:tcPr>
            <w:tcW w:type="dxa" w:w="2232"/>
            <w:vAlign w:val="center"/>
            <w:tcMar>
              <w:top w:w="80" w:type="dxa"/>
              <w:start w:w="110" w:type="dxa"/>
              <w:bottom w:w="80" w:type="dxa"/>
              <w:end w:w="110" w:type="dxa"/>
            </w:tcMar>
            <w:shd w:fill="F2F4F7"/>
          </w:tcPr>
          <w:p>
            <w:pPr>
              <w:spacing w:after="0"/>
            </w:pPr>
            <w:r>
              <w:rPr>
                <w:rFonts w:ascii="Calibri" w:hAnsi="Calibri"/>
                <w:b w:val="0"/>
                <w:i w:val="0"/>
                <w:color w:val="1F2937"/>
                <w:sz w:val="18"/>
              </w:rPr>
              <w:t>Monitoring</w:t>
            </w:r>
          </w:p>
        </w:tc>
        <w:tc>
          <w:tcPr>
            <w:tcW w:type="dxa" w:w="7992"/>
            <w:vAlign w:val="center"/>
            <w:tcMar>
              <w:top w:w="80" w:type="dxa"/>
              <w:start w:w="110" w:type="dxa"/>
              <w:bottom w:w="80" w:type="dxa"/>
              <w:end w:w="110" w:type="dxa"/>
            </w:tcMar>
            <w:shd w:fill="F2F4F7"/>
          </w:tcPr>
          <w:p>
            <w:pPr>
              <w:spacing w:after="0"/>
            </w:pPr>
            <w:r>
              <w:rPr>
                <w:rFonts w:ascii="Calibri" w:hAnsi="Calibri"/>
                <w:b w:val="0"/>
                <w:i w:val="0"/>
                <w:color w:val="1F2937"/>
                <w:sz w:val="18"/>
              </w:rPr>
              <w:t>Container health, PostgreSQL, CPU, RAM, disk, TLS, SMTP and HTTP failures</w:t>
            </w:r>
          </w:p>
        </w:tc>
      </w:tr>
      <w:tr>
        <w:tc>
          <w:tcPr>
            <w:tcW w:type="dxa" w:w="2232"/>
            <w:vAlign w:val="center"/>
            <w:tcMar>
              <w:top w:w="80" w:type="dxa"/>
              <w:start w:w="110" w:type="dxa"/>
              <w:bottom w:w="80" w:type="dxa"/>
              <w:end w:w="110" w:type="dxa"/>
            </w:tcMar>
          </w:tcPr>
          <w:p>
            <w:pPr>
              <w:spacing w:after="0"/>
            </w:pPr>
            <w:r>
              <w:rPr>
                <w:rFonts w:ascii="Calibri" w:hAnsi="Calibri"/>
                <w:b w:val="0"/>
                <w:i w:val="0"/>
                <w:color w:val="1F2937"/>
                <w:sz w:val="18"/>
              </w:rPr>
              <w:t>Patching</w:t>
            </w:r>
          </w:p>
        </w:tc>
        <w:tc>
          <w:tcPr>
            <w:tcW w:type="dxa" w:w="7992"/>
            <w:vAlign w:val="center"/>
            <w:tcMar>
              <w:top w:w="80" w:type="dxa"/>
              <w:start w:w="110" w:type="dxa"/>
              <w:bottom w:w="80" w:type="dxa"/>
              <w:end w:w="110" w:type="dxa"/>
            </w:tcMar>
          </w:tcPr>
          <w:p>
            <w:pPr>
              <w:spacing w:after="0"/>
            </w:pPr>
            <w:r>
              <w:rPr>
                <w:rFonts w:ascii="Calibri" w:hAnsi="Calibri"/>
                <w:b w:val="0"/>
                <w:i w:val="0"/>
                <w:color w:val="1F2937"/>
                <w:sz w:val="18"/>
              </w:rPr>
              <w:t>Defined cadence for Windows, Ubuntu, Docker and Supabase releases</w:t>
            </w:r>
          </w:p>
        </w:tc>
      </w:tr>
      <w:tr>
        <w:tc>
          <w:tcPr>
            <w:tcW w:type="dxa" w:w="2232"/>
            <w:vAlign w:val="center"/>
            <w:tcMar>
              <w:top w:w="80" w:type="dxa"/>
              <w:start w:w="110" w:type="dxa"/>
              <w:bottom w:w="80" w:type="dxa"/>
              <w:end w:w="110" w:type="dxa"/>
            </w:tcMar>
            <w:shd w:fill="F2F4F7"/>
          </w:tcPr>
          <w:p>
            <w:pPr>
              <w:spacing w:after="0"/>
            </w:pPr>
            <w:r>
              <w:rPr>
                <w:rFonts w:ascii="Calibri" w:hAnsi="Calibri"/>
                <w:b w:val="0"/>
                <w:i w:val="0"/>
                <w:color w:val="1F2937"/>
                <w:sz w:val="18"/>
              </w:rPr>
              <w:t>Capacity</w:t>
            </w:r>
          </w:p>
        </w:tc>
        <w:tc>
          <w:tcPr>
            <w:tcW w:type="dxa" w:w="7992"/>
            <w:vAlign w:val="center"/>
            <w:tcMar>
              <w:top w:w="80" w:type="dxa"/>
              <w:start w:w="110" w:type="dxa"/>
              <w:bottom w:w="80" w:type="dxa"/>
              <w:end w:w="110" w:type="dxa"/>
            </w:tcMar>
            <w:shd w:fill="F2F4F7"/>
          </w:tcPr>
          <w:p>
            <w:pPr>
              <w:spacing w:after="0"/>
            </w:pPr>
            <w:r>
              <w:rPr>
                <w:rFonts w:ascii="Calibri" w:hAnsi="Calibri"/>
                <w:b w:val="0"/>
                <w:i w:val="0"/>
                <w:color w:val="1F2937"/>
                <w:sz w:val="18"/>
              </w:rPr>
              <w:t>Alert thresholds for VM disk and backup destination</w:t>
            </w:r>
          </w:p>
        </w:tc>
      </w:tr>
      <w:tr>
        <w:tc>
          <w:tcPr>
            <w:tcW w:type="dxa" w:w="2232"/>
            <w:vAlign w:val="center"/>
            <w:tcMar>
              <w:top w:w="80" w:type="dxa"/>
              <w:start w:w="110" w:type="dxa"/>
              <w:bottom w:w="80" w:type="dxa"/>
              <w:end w:w="110" w:type="dxa"/>
            </w:tcMar>
          </w:tcPr>
          <w:p>
            <w:pPr>
              <w:spacing w:after="0"/>
            </w:pPr>
            <w:r>
              <w:rPr>
                <w:rFonts w:ascii="Calibri" w:hAnsi="Calibri"/>
                <w:b w:val="0"/>
                <w:i w:val="0"/>
                <w:color w:val="1F2937"/>
                <w:sz w:val="18"/>
              </w:rPr>
              <w:t>Access review</w:t>
            </w:r>
          </w:p>
        </w:tc>
        <w:tc>
          <w:tcPr>
            <w:tcW w:type="dxa" w:w="7992"/>
            <w:vAlign w:val="center"/>
            <w:tcMar>
              <w:top w:w="80" w:type="dxa"/>
              <w:start w:w="110" w:type="dxa"/>
              <w:bottom w:w="80" w:type="dxa"/>
              <w:end w:w="110" w:type="dxa"/>
            </w:tcMar>
          </w:tcPr>
          <w:p>
            <w:pPr>
              <w:spacing w:after="0"/>
            </w:pPr>
            <w:r>
              <w:rPr>
                <w:rFonts w:ascii="Calibri" w:hAnsi="Calibri"/>
                <w:b w:val="0"/>
                <w:i w:val="0"/>
                <w:color w:val="1F2937"/>
                <w:sz w:val="18"/>
              </w:rPr>
              <w:t>Periodic review of host, VM, Studio and database administrators</w:t>
            </w:r>
          </w:p>
        </w:tc>
      </w:tr>
      <w:tr>
        <w:tc>
          <w:tcPr>
            <w:tcW w:type="dxa" w:w="2232"/>
            <w:vAlign w:val="center"/>
            <w:tcMar>
              <w:top w:w="80" w:type="dxa"/>
              <w:start w:w="110" w:type="dxa"/>
              <w:bottom w:w="80" w:type="dxa"/>
              <w:end w:w="110" w:type="dxa"/>
            </w:tcMar>
            <w:shd w:fill="F2F4F7"/>
          </w:tcPr>
          <w:p>
            <w:pPr>
              <w:spacing w:after="0"/>
            </w:pPr>
            <w:r>
              <w:rPr>
                <w:rFonts w:ascii="Calibri" w:hAnsi="Calibri"/>
                <w:b w:val="0"/>
                <w:i w:val="0"/>
                <w:color w:val="1F2937"/>
                <w:sz w:val="18"/>
              </w:rPr>
              <w:t>Incident response</w:t>
            </w:r>
          </w:p>
        </w:tc>
        <w:tc>
          <w:tcPr>
            <w:tcW w:type="dxa" w:w="7992"/>
            <w:vAlign w:val="center"/>
            <w:tcMar>
              <w:top w:w="80" w:type="dxa"/>
              <w:start w:w="110" w:type="dxa"/>
              <w:bottom w:w="80" w:type="dxa"/>
              <w:end w:w="110" w:type="dxa"/>
            </w:tcMar>
            <w:shd w:fill="F2F4F7"/>
          </w:tcPr>
          <w:p>
            <w:pPr>
              <w:spacing w:after="0"/>
            </w:pPr>
            <w:r>
              <w:rPr>
                <w:rFonts w:ascii="Calibri" w:hAnsi="Calibri"/>
                <w:b w:val="0"/>
                <w:i w:val="0"/>
                <w:color w:val="1F2937"/>
                <w:sz w:val="18"/>
              </w:rPr>
              <w:t>Named owner, escalation path and log retention</w:t>
            </w:r>
          </w:p>
        </w:tc>
      </w:tr>
    </w:tbl>
    <w:p>
      <w:pPr>
        <w:spacing w:after="20"/>
      </w:pPr>
    </w:p>
    <w:p>
      <w:pPr>
        <w:pStyle w:val="Heading2"/>
      </w:pPr>
      <w:r>
        <w:t>Recovery objectives to approve</w:t>
      </w:r>
    </w:p>
    <w:p>
      <w:pPr>
        <w:pStyle w:val="ListBullet"/>
        <w:spacing w:after="60"/>
      </w:pPr>
      <w:r>
        <w:t>RPO: maximum acceptable data loss measured in time.</w:t>
      </w:r>
    </w:p>
    <w:p>
      <w:pPr>
        <w:pStyle w:val="ListBullet"/>
        <w:spacing w:after="60"/>
      </w:pPr>
      <w:r>
        <w:t>RTO: maximum acceptable service-restoration time.</w:t>
      </w:r>
    </w:p>
    <w:p>
      <w:pPr>
        <w:pStyle w:val="ListBullet"/>
        <w:spacing w:after="60"/>
      </w:pPr>
      <w:r>
        <w:t>Backup retention: daily, weekly and monthly retention periods.</w:t>
      </w:r>
    </w:p>
    <w:p>
      <w:pPr>
        <w:pStyle w:val="ListBullet"/>
        <w:spacing w:after="60"/>
      </w:pPr>
      <w:r>
        <w:t>Recovery authority: person authorized to declare disaster recovery and rollback.</w:t>
      </w:r>
    </w:p>
    <w:p>
      <w:r>
        <w:br w:type="page"/>
      </w:r>
    </w:p>
    <w:p>
      <w:pPr>
        <w:pStyle w:val="Heading1"/>
      </w:pPr>
      <w:r>
        <w:t>10. Phase H - Production cutover</w:t>
      </w:r>
    </w:p>
    <w:p>
      <w:pPr>
        <w:pStyle w:val="ListNumber"/>
        <w:spacing w:after="80"/>
      </w:pPr>
      <w:r>
        <w:t>Obtain go/no-go approval after rehearsal acceptance and backup restore testing.</w:t>
      </w:r>
    </w:p>
    <w:p>
      <w:pPr>
        <w:pStyle w:val="ListNumber"/>
        <w:spacing w:after="80"/>
      </w:pPr>
      <w:r>
        <w:t>Notify users and begin the approved maintenance window.</w:t>
      </w:r>
    </w:p>
    <w:p>
      <w:pPr>
        <w:pStyle w:val="ListNumber"/>
        <w:spacing w:after="80"/>
      </w:pPr>
      <w:r>
        <w:t>Disable ContractConnect writes or take the application offline.</w:t>
      </w:r>
    </w:p>
    <w:p>
      <w:pPr>
        <w:pStyle w:val="ListNumber"/>
        <w:spacing w:after="80"/>
      </w:pPr>
      <w:r>
        <w:t>Capture final managed Supabase database dumps.</w:t>
      </w:r>
    </w:p>
    <w:p>
      <w:pPr>
        <w:pStyle w:val="ListNumber"/>
        <w:spacing w:after="80"/>
      </w:pPr>
      <w:r>
        <w:t>Restore the final database to the clean production self-hosted instance.</w:t>
      </w:r>
    </w:p>
    <w:p>
      <w:pPr>
        <w:pStyle w:val="ListNumber"/>
        <w:spacing w:after="80"/>
      </w:pPr>
      <w:r>
        <w:t>Run the final rclone copy for every Storage bucket.</w:t>
      </w:r>
    </w:p>
    <w:p>
      <w:pPr>
        <w:pStyle w:val="ListNumber"/>
        <w:spacing w:after="80"/>
      </w:pPr>
      <w:r>
        <w:t>Compare database row counts, Storage object counts and total bytes.</w:t>
      </w:r>
    </w:p>
    <w:p>
      <w:pPr>
        <w:pStyle w:val="ListNumber"/>
        <w:spacing w:after="80"/>
      </w:pPr>
      <w:r>
        <w:t>Deploy ContractConnect with the internal Supabase URL and publishable key.</w:t>
      </w:r>
    </w:p>
    <w:p>
      <w:pPr>
        <w:pStyle w:val="ListNumber"/>
        <w:spacing w:after="80"/>
      </w:pPr>
      <w:r>
        <w:t>Run smoke tests for login, core CRM records, documents, roles and audit events.</w:t>
      </w:r>
    </w:p>
    <w:p>
      <w:pPr>
        <w:pStyle w:val="ListNumber"/>
        <w:spacing w:after="80"/>
      </w:pPr>
      <w:r>
        <w:t>Authorize service restoration and notify users that a new sign-in is required.</w:t>
      </w:r>
    </w:p>
    <w:p>
      <w:pPr>
        <w:pStyle w:val="ListNumber"/>
        <w:spacing w:after="80"/>
      </w:pPr>
      <w:r>
        <w:t>Monitor application, proxy, Auth, Storage and PostgreSQL logs closely.</w:t>
      </w:r>
    </w:p>
    <w:p>
      <w:pPr>
        <w:pStyle w:val="ListNumber"/>
        <w:spacing w:after="80"/>
      </w:pPr>
      <w:r>
        <w:t>Retain the managed project unchanged for the approved rollback period.</w:t>
      </w:r>
    </w:p>
    <w:p>
      <w:pPr>
        <w:pStyle w:val="Heading2"/>
      </w:pPr>
      <w:r>
        <w:t>Cutover go/no-go criteria</w:t>
      </w:r>
    </w:p>
    <w:p>
      <w:pPr>
        <w:pStyle w:val="ListBullet"/>
        <w:spacing w:after="60"/>
      </w:pPr>
      <w:r>
        <w:t>All required containers are healthy.</w:t>
      </w:r>
    </w:p>
    <w:p>
      <w:pPr>
        <w:pStyle w:val="ListBullet"/>
        <w:spacing w:after="60"/>
      </w:pPr>
      <w:r>
        <w:t>Database and Storage reconciliation has no unexplained differences.</w:t>
      </w:r>
    </w:p>
    <w:p>
      <w:pPr>
        <w:pStyle w:val="ListBullet"/>
        <w:spacing w:after="60"/>
      </w:pPr>
      <w:r>
        <w:t>Representative users can authenticate and exercise correct permissions.</w:t>
      </w:r>
    </w:p>
    <w:p>
      <w:pPr>
        <w:pStyle w:val="ListBullet"/>
        <w:spacing w:after="60"/>
      </w:pPr>
      <w:r>
        <w:t>Contract documents are accessible only to authorized accounts.</w:t>
      </w:r>
    </w:p>
    <w:p>
      <w:pPr>
        <w:pStyle w:val="ListBullet"/>
        <w:spacing w:after="60"/>
      </w:pPr>
      <w:r>
        <w:t>SMTP verification/reset and operational monitoring are functional.</w:t>
      </w:r>
    </w:p>
    <w:p>
      <w:pPr>
        <w:pStyle w:val="ListBullet"/>
        <w:spacing w:after="60"/>
      </w:pPr>
      <w:r>
        <w:t>A recent backup exists and a restoration procedure has been tested.</w:t>
      </w:r>
    </w:p>
    <w:p>
      <w:pPr>
        <w:pStyle w:val="ListBullet"/>
        <w:spacing w:after="60"/>
      </w:pPr>
      <w:r>
        <w:t>Rollback decision-maker and technical operators are available.</w:t>
      </w:r>
    </w:p>
    <w:p>
      <w:pPr>
        <w:pStyle w:val="Heading1"/>
      </w:pPr>
      <w:r>
        <w:t>11. Rollback plan</w:t>
      </w:r>
    </w:p>
    <w:p>
      <w:r>
        <w:t>Rollback is invoked if there is material data mismatch, authentication failure, authorization weakness, unavailable documents, unacceptable performance or an unresolved security defect.</w:t>
      </w:r>
    </w:p>
    <w:p>
      <w:pPr>
        <w:pStyle w:val="ListNumber"/>
        <w:spacing w:after="80"/>
      </w:pPr>
      <w:r>
        <w:t>Stop user access to the on-premises ContractConnect deployment.</w:t>
      </w:r>
    </w:p>
    <w:p>
      <w:pPr>
        <w:pStyle w:val="ListNumber"/>
        <w:spacing w:after="80"/>
      </w:pPr>
      <w:r>
        <w:t>Preserve on-premises logs and data for diagnosis; do not delete or overwrite them.</w:t>
      </w:r>
    </w:p>
    <w:p>
      <w:pPr>
        <w:pStyle w:val="ListNumber"/>
        <w:spacing w:after="80"/>
      </w:pPr>
      <w:r>
        <w:t>Restore the previous ContractConnect build and managed Supabase endpoint configuration.</w:t>
      </w:r>
    </w:p>
    <w:p>
      <w:pPr>
        <w:pStyle w:val="ListNumber"/>
        <w:spacing w:after="80"/>
      </w:pPr>
      <w:r>
        <w:t>Re-enable the managed application after smoke testing.</w:t>
      </w:r>
    </w:p>
    <w:p>
      <w:pPr>
        <w:pStyle w:val="ListNumber"/>
        <w:spacing w:after="80"/>
      </w:pPr>
      <w:r>
        <w:t>Reconcile any transactions accepted by the on-premises environment before retrying migration.</w:t>
      </w:r>
    </w:p>
    <w:p>
      <w:pPr>
        <w:pStyle w:val="ListNumber"/>
        <w:spacing w:after="80"/>
      </w:pPr>
      <w:r>
        <w:t>Record the incident, cause, corrective action and revised migration date.</w:t>
      </w:r>
    </w:p>
    <w:p>
      <w:pPr>
        <w:shd w:fill="FCE8E8"/>
        <w:spacing w:before="80" w:after="140"/>
        <w:ind w:left="216" w:right="216"/>
      </w:pPr>
      <w:r>
        <w:rPr>
          <w:rFonts w:ascii="Calibri" w:hAnsi="Calibri"/>
          <w:b/>
          <w:i w:val="0"/>
          <w:color w:val="9B1C1C"/>
          <w:sz w:val="21"/>
        </w:rPr>
        <w:t xml:space="preserve">Data protection  </w:t>
      </w:r>
      <w:r>
        <w:rPr>
          <w:rFonts w:ascii="Calibri" w:hAnsi="Calibri"/>
          <w:b w:val="0"/>
          <w:i w:val="0"/>
          <w:color w:val="1F2937"/>
          <w:sz w:val="21"/>
        </w:rPr>
        <w:t>The managed Supabase project must not be deleted or materially changed until the rollback period has expired, the business owner has accepted the new service, and verified backups exist.</w:t>
      </w:r>
    </w:p>
    <w:p>
      <w:r>
        <w:br w:type="page"/>
      </w:r>
    </w:p>
    <w:p>
      <w:pPr>
        <w:pStyle w:val="Heading1"/>
      </w:pPr>
      <w:r>
        <w:t>12. Risks and mitigations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376"/>
            <w:vAlign w:val="center"/>
            <w:tcMar>
              <w:top w:w="80" w:type="dxa"/>
              <w:start w:w="110" w:type="dxa"/>
              <w:bottom w:w="80" w:type="dxa"/>
              <w:end w:w="110" w:type="dxa"/>
            </w:tcMar>
            <w:shd w:fill="164E63"/>
          </w:tcPr>
          <w:p>
            <w:pPr>
              <w:spacing w:after="0"/>
            </w:pPr>
            <w:r>
              <w:rPr>
                <w:rFonts w:ascii="Calibri" w:hAnsi="Calibri"/>
                <w:b/>
                <w:i w:val="0"/>
                <w:color w:val="FFFFFF"/>
                <w:sz w:val="18"/>
              </w:rPr>
              <w:t>Risk</w:t>
            </w:r>
          </w:p>
        </w:tc>
        <w:tc>
          <w:tcPr>
            <w:tcW w:type="dxa" w:w="2880"/>
            <w:vAlign w:val="center"/>
            <w:tcMar>
              <w:top w:w="80" w:type="dxa"/>
              <w:start w:w="110" w:type="dxa"/>
              <w:bottom w:w="80" w:type="dxa"/>
              <w:end w:w="110" w:type="dxa"/>
            </w:tcMar>
            <w:shd w:fill="164E63"/>
          </w:tcPr>
          <w:p>
            <w:pPr>
              <w:spacing w:after="0"/>
            </w:pPr>
            <w:r>
              <w:rPr>
                <w:rFonts w:ascii="Calibri" w:hAnsi="Calibri"/>
                <w:b/>
                <w:i w:val="0"/>
                <w:color w:val="FFFFFF"/>
                <w:sz w:val="18"/>
              </w:rPr>
              <w:t>Impact</w:t>
            </w:r>
          </w:p>
        </w:tc>
        <w:tc>
          <w:tcPr>
            <w:tcW w:type="dxa" w:w="4968"/>
            <w:vAlign w:val="center"/>
            <w:tcMar>
              <w:top w:w="80" w:type="dxa"/>
              <w:start w:w="110" w:type="dxa"/>
              <w:bottom w:w="80" w:type="dxa"/>
              <w:end w:w="110" w:type="dxa"/>
            </w:tcMar>
            <w:shd w:fill="164E63"/>
          </w:tcPr>
          <w:p>
            <w:pPr>
              <w:spacing w:after="0"/>
            </w:pPr>
            <w:r>
              <w:rPr>
                <w:rFonts w:ascii="Calibri" w:hAnsi="Calibri"/>
                <w:b/>
                <w:i w:val="0"/>
                <w:color w:val="FFFFFF"/>
                <w:sz w:val="18"/>
              </w:rPr>
              <w:t>Mitigation</w:t>
            </w:r>
          </w:p>
        </w:tc>
      </w:tr>
      <w:tr>
        <w:tc>
          <w:tcPr>
            <w:tcW w:type="dxa" w:w="2376"/>
            <w:vAlign w:val="center"/>
            <w:tcMar>
              <w:top w:w="80" w:type="dxa"/>
              <w:start w:w="110" w:type="dxa"/>
              <w:bottom w:w="80" w:type="dxa"/>
              <w:end w:w="110" w:type="dxa"/>
            </w:tcMar>
          </w:tcPr>
          <w:p>
            <w:pPr>
              <w:spacing w:after="0"/>
            </w:pPr>
            <w:r>
              <w:rPr>
                <w:rFonts w:ascii="Calibri" w:hAnsi="Calibri"/>
                <w:b w:val="0"/>
                <w:i w:val="0"/>
                <w:color w:val="1F2937"/>
                <w:sz w:val="18"/>
              </w:rPr>
              <w:t>Host memory contention</w:t>
            </w:r>
          </w:p>
        </w:tc>
        <w:tc>
          <w:tcPr>
            <w:tcW w:type="dxa" w:w="2880"/>
            <w:vAlign w:val="center"/>
            <w:tcMar>
              <w:top w:w="80" w:type="dxa"/>
              <w:start w:w="110" w:type="dxa"/>
              <w:bottom w:w="80" w:type="dxa"/>
              <w:end w:w="110" w:type="dxa"/>
            </w:tcMar>
          </w:tcPr>
          <w:p>
            <w:pPr>
              <w:spacing w:after="0"/>
            </w:pPr>
            <w:r>
              <w:rPr>
                <w:rFonts w:ascii="Calibri" w:hAnsi="Calibri"/>
                <w:b w:val="0"/>
                <w:i w:val="0"/>
                <w:color w:val="1F2937"/>
                <w:sz w:val="18"/>
              </w:rPr>
              <w:t>Slow DB or host instability</w:t>
            </w:r>
          </w:p>
        </w:tc>
        <w:tc>
          <w:tcPr>
            <w:tcW w:type="dxa" w:w="4968"/>
            <w:vAlign w:val="center"/>
            <w:tcMar>
              <w:top w:w="80" w:type="dxa"/>
              <w:start w:w="110" w:type="dxa"/>
              <w:bottom w:w="80" w:type="dxa"/>
              <w:end w:w="110" w:type="dxa"/>
            </w:tcMar>
          </w:tcPr>
          <w:p>
            <w:pPr>
              <w:spacing w:after="0"/>
            </w:pPr>
            <w:r>
              <w:rPr>
                <w:rFonts w:ascii="Calibri" w:hAnsi="Calibri"/>
                <w:b w:val="0"/>
                <w:i w:val="0"/>
                <w:color w:val="1F2937"/>
                <w:sz w:val="18"/>
              </w:rPr>
              <w:t>Baseline utilization; allocate static 8 GB; increase host RAM if needed</w:t>
            </w:r>
          </w:p>
        </w:tc>
      </w:tr>
      <w:tr>
        <w:tc>
          <w:tcPr>
            <w:tcW w:type="dxa" w:w="2376"/>
            <w:vAlign w:val="center"/>
            <w:tcMar>
              <w:top w:w="80" w:type="dxa"/>
              <w:start w:w="110" w:type="dxa"/>
              <w:bottom w:w="80" w:type="dxa"/>
              <w:end w:w="110" w:type="dxa"/>
            </w:tcMar>
            <w:shd w:fill="F2F4F7"/>
          </w:tcPr>
          <w:p>
            <w:pPr>
              <w:spacing w:after="0"/>
            </w:pPr>
            <w:r>
              <w:rPr>
                <w:rFonts w:ascii="Calibri" w:hAnsi="Calibri"/>
                <w:b w:val="0"/>
                <w:i w:val="0"/>
                <w:color w:val="1F2937"/>
                <w:sz w:val="18"/>
              </w:rPr>
              <w:t>Insufficient or slow disk</w:t>
            </w:r>
          </w:p>
        </w:tc>
        <w:tc>
          <w:tcPr>
            <w:tcW w:type="dxa" w:w="2880"/>
            <w:vAlign w:val="center"/>
            <w:tcMar>
              <w:top w:w="80" w:type="dxa"/>
              <w:start w:w="110" w:type="dxa"/>
              <w:bottom w:w="80" w:type="dxa"/>
              <w:end w:w="110" w:type="dxa"/>
            </w:tcMar>
            <w:shd w:fill="F2F4F7"/>
          </w:tcPr>
          <w:p>
            <w:pPr>
              <w:spacing w:after="0"/>
            </w:pPr>
            <w:r>
              <w:rPr>
                <w:rFonts w:ascii="Calibri" w:hAnsi="Calibri"/>
                <w:b w:val="0"/>
                <w:i w:val="0"/>
                <w:color w:val="1F2937"/>
                <w:sz w:val="18"/>
              </w:rPr>
              <w:t>Poor performance or outage</w:t>
            </w:r>
          </w:p>
        </w:tc>
        <w:tc>
          <w:tcPr>
            <w:tcW w:type="dxa" w:w="4968"/>
            <w:vAlign w:val="center"/>
            <w:tcMar>
              <w:top w:w="80" w:type="dxa"/>
              <w:start w:w="110" w:type="dxa"/>
              <w:bottom w:w="80" w:type="dxa"/>
              <w:end w:w="110" w:type="dxa"/>
            </w:tcMar>
            <w:shd w:fill="F2F4F7"/>
          </w:tcPr>
          <w:p>
            <w:pPr>
              <w:spacing w:after="0"/>
            </w:pPr>
            <w:r>
              <w:rPr>
                <w:rFonts w:ascii="Calibri" w:hAnsi="Calibri"/>
                <w:b w:val="0"/>
                <w:i w:val="0"/>
                <w:color w:val="1F2937"/>
                <w:sz w:val="18"/>
              </w:rPr>
              <w:t>SSD-backed storage, capacity alerts, growth forecast</w:t>
            </w:r>
          </w:p>
        </w:tc>
      </w:tr>
      <w:tr>
        <w:tc>
          <w:tcPr>
            <w:tcW w:type="dxa" w:w="2376"/>
            <w:vAlign w:val="center"/>
            <w:tcMar>
              <w:top w:w="80" w:type="dxa"/>
              <w:start w:w="110" w:type="dxa"/>
              <w:bottom w:w="80" w:type="dxa"/>
              <w:end w:w="110" w:type="dxa"/>
            </w:tcMar>
          </w:tcPr>
          <w:p>
            <w:pPr>
              <w:spacing w:after="0"/>
            </w:pPr>
            <w:r>
              <w:rPr>
                <w:rFonts w:ascii="Calibri" w:hAnsi="Calibri"/>
                <w:b w:val="0"/>
                <w:i w:val="0"/>
                <w:color w:val="1F2937"/>
                <w:sz w:val="18"/>
              </w:rPr>
              <w:t>PostgreSQL/service version mismatch</w:t>
            </w:r>
          </w:p>
        </w:tc>
        <w:tc>
          <w:tcPr>
            <w:tcW w:type="dxa" w:w="2880"/>
            <w:vAlign w:val="center"/>
            <w:tcMar>
              <w:top w:w="80" w:type="dxa"/>
              <w:start w:w="110" w:type="dxa"/>
              <w:bottom w:w="80" w:type="dxa"/>
              <w:end w:w="110" w:type="dxa"/>
            </w:tcMar>
          </w:tcPr>
          <w:p>
            <w:pPr>
              <w:spacing w:after="0"/>
            </w:pPr>
            <w:r>
              <w:rPr>
                <w:rFonts w:ascii="Calibri" w:hAnsi="Calibri"/>
                <w:b w:val="0"/>
                <w:i w:val="0"/>
                <w:color w:val="1F2937"/>
                <w:sz w:val="18"/>
              </w:rPr>
              <w:t>Restore errors</w:t>
            </w:r>
          </w:p>
        </w:tc>
        <w:tc>
          <w:tcPr>
            <w:tcW w:type="dxa" w:w="4968"/>
            <w:vAlign w:val="center"/>
            <w:tcMar>
              <w:top w:w="80" w:type="dxa"/>
              <w:start w:w="110" w:type="dxa"/>
              <w:bottom w:w="80" w:type="dxa"/>
              <w:end w:w="110" w:type="dxa"/>
            </w:tcMar>
          </w:tcPr>
          <w:p>
            <w:pPr>
              <w:spacing w:after="0"/>
            </w:pPr>
            <w:r>
              <w:rPr>
                <w:rFonts w:ascii="Calibri" w:hAnsi="Calibri"/>
                <w:b w:val="0"/>
                <w:i w:val="0"/>
                <w:color w:val="1F2937"/>
                <w:sz w:val="18"/>
              </w:rPr>
              <w:t>Rehearsal restore; align versions and extensions</w:t>
            </w:r>
          </w:p>
        </w:tc>
      </w:tr>
      <w:tr>
        <w:tc>
          <w:tcPr>
            <w:tcW w:type="dxa" w:w="2376"/>
            <w:vAlign w:val="center"/>
            <w:tcMar>
              <w:top w:w="80" w:type="dxa"/>
              <w:start w:w="110" w:type="dxa"/>
              <w:bottom w:w="80" w:type="dxa"/>
              <w:end w:w="110" w:type="dxa"/>
            </w:tcMar>
            <w:shd w:fill="F2F4F7"/>
          </w:tcPr>
          <w:p>
            <w:pPr>
              <w:spacing w:after="0"/>
            </w:pPr>
            <w:r>
              <w:rPr>
                <w:rFonts w:ascii="Calibri" w:hAnsi="Calibri"/>
                <w:b w:val="0"/>
                <w:i w:val="0"/>
                <w:color w:val="1F2937"/>
                <w:sz w:val="18"/>
              </w:rPr>
              <w:t>Storage objects omitted</w:t>
            </w:r>
          </w:p>
        </w:tc>
        <w:tc>
          <w:tcPr>
            <w:tcW w:type="dxa" w:w="2880"/>
            <w:vAlign w:val="center"/>
            <w:tcMar>
              <w:top w:w="80" w:type="dxa"/>
              <w:start w:w="110" w:type="dxa"/>
              <w:bottom w:w="80" w:type="dxa"/>
              <w:end w:w="110" w:type="dxa"/>
            </w:tcMar>
            <w:shd w:fill="F2F4F7"/>
          </w:tcPr>
          <w:p>
            <w:pPr>
              <w:spacing w:after="0"/>
            </w:pPr>
            <w:r>
              <w:rPr>
                <w:rFonts w:ascii="Calibri" w:hAnsi="Calibri"/>
                <w:b w:val="0"/>
                <w:i w:val="0"/>
                <w:color w:val="1F2937"/>
                <w:sz w:val="18"/>
              </w:rPr>
              <w:t>Missing documents/avatars</w:t>
            </w:r>
          </w:p>
        </w:tc>
        <w:tc>
          <w:tcPr>
            <w:tcW w:type="dxa" w:w="4968"/>
            <w:vAlign w:val="center"/>
            <w:tcMar>
              <w:top w:w="80" w:type="dxa"/>
              <w:start w:w="110" w:type="dxa"/>
              <w:bottom w:w="80" w:type="dxa"/>
              <w:end w:w="110" w:type="dxa"/>
            </w:tcMar>
            <w:shd w:fill="F2F4F7"/>
          </w:tcPr>
          <w:p>
            <w:pPr>
              <w:spacing w:after="0"/>
            </w:pPr>
            <w:r>
              <w:rPr>
                <w:rFonts w:ascii="Calibri" w:hAnsi="Calibri"/>
                <w:b w:val="0"/>
                <w:i w:val="0"/>
                <w:color w:val="1F2937"/>
                <w:sz w:val="18"/>
              </w:rPr>
              <w:t>S3/rclone migration and object/byte reconciliation</w:t>
            </w:r>
          </w:p>
        </w:tc>
      </w:tr>
      <w:tr>
        <w:tc>
          <w:tcPr>
            <w:tcW w:type="dxa" w:w="2376"/>
            <w:vAlign w:val="center"/>
            <w:tcMar>
              <w:top w:w="80" w:type="dxa"/>
              <w:start w:w="110" w:type="dxa"/>
              <w:bottom w:w="80" w:type="dxa"/>
              <w:end w:w="110" w:type="dxa"/>
            </w:tcMar>
          </w:tcPr>
          <w:p>
            <w:pPr>
              <w:spacing w:after="0"/>
            </w:pPr>
            <w:r>
              <w:rPr>
                <w:rFonts w:ascii="Calibri" w:hAnsi="Calibri"/>
                <w:b w:val="0"/>
                <w:i w:val="0"/>
                <w:color w:val="1F2937"/>
                <w:sz w:val="18"/>
              </w:rPr>
              <w:t>Invalid old sessions</w:t>
            </w:r>
          </w:p>
        </w:tc>
        <w:tc>
          <w:tcPr>
            <w:tcW w:type="dxa" w:w="2880"/>
            <w:vAlign w:val="center"/>
            <w:tcMar>
              <w:top w:w="80" w:type="dxa"/>
              <w:start w:w="110" w:type="dxa"/>
              <w:bottom w:w="80" w:type="dxa"/>
              <w:end w:w="110" w:type="dxa"/>
            </w:tcMar>
          </w:tcPr>
          <w:p>
            <w:pPr>
              <w:spacing w:after="0"/>
            </w:pPr>
            <w:r>
              <w:rPr>
                <w:rFonts w:ascii="Calibri" w:hAnsi="Calibri"/>
                <w:b w:val="0"/>
                <w:i w:val="0"/>
                <w:color w:val="1F2937"/>
                <w:sz w:val="18"/>
              </w:rPr>
              <w:t>Users appear logged out</w:t>
            </w:r>
          </w:p>
        </w:tc>
        <w:tc>
          <w:tcPr>
            <w:tcW w:type="dxa" w:w="4968"/>
            <w:vAlign w:val="center"/>
            <w:tcMar>
              <w:top w:w="80" w:type="dxa"/>
              <w:start w:w="110" w:type="dxa"/>
              <w:bottom w:w="80" w:type="dxa"/>
              <w:end w:w="110" w:type="dxa"/>
            </w:tcMar>
          </w:tcPr>
          <w:p>
            <w:pPr>
              <w:spacing w:after="0"/>
            </w:pPr>
            <w:r>
              <w:rPr>
                <w:rFonts w:ascii="Calibri" w:hAnsi="Calibri"/>
                <w:b w:val="0"/>
                <w:i w:val="0"/>
                <w:color w:val="1F2937"/>
                <w:sz w:val="18"/>
              </w:rPr>
              <w:t>Communicate mandatory re-authentication</w:t>
            </w:r>
          </w:p>
        </w:tc>
      </w:tr>
      <w:tr>
        <w:tc>
          <w:tcPr>
            <w:tcW w:type="dxa" w:w="2376"/>
            <w:vAlign w:val="center"/>
            <w:tcMar>
              <w:top w:w="80" w:type="dxa"/>
              <w:start w:w="110" w:type="dxa"/>
              <w:bottom w:w="80" w:type="dxa"/>
              <w:end w:w="110" w:type="dxa"/>
            </w:tcMar>
            <w:shd w:fill="F2F4F7"/>
          </w:tcPr>
          <w:p>
            <w:pPr>
              <w:spacing w:after="0"/>
            </w:pPr>
            <w:r>
              <w:rPr>
                <w:rFonts w:ascii="Calibri" w:hAnsi="Calibri"/>
                <w:b w:val="0"/>
                <w:i w:val="0"/>
                <w:color w:val="1F2937"/>
                <w:sz w:val="18"/>
              </w:rPr>
              <w:t>SMTP misconfiguration</w:t>
            </w:r>
          </w:p>
        </w:tc>
        <w:tc>
          <w:tcPr>
            <w:tcW w:type="dxa" w:w="2880"/>
            <w:vAlign w:val="center"/>
            <w:tcMar>
              <w:top w:w="80" w:type="dxa"/>
              <w:start w:w="110" w:type="dxa"/>
              <w:bottom w:w="80" w:type="dxa"/>
              <w:end w:w="110" w:type="dxa"/>
            </w:tcMar>
            <w:shd w:fill="F2F4F7"/>
          </w:tcPr>
          <w:p>
            <w:pPr>
              <w:spacing w:after="0"/>
            </w:pPr>
            <w:r>
              <w:rPr>
                <w:rFonts w:ascii="Calibri" w:hAnsi="Calibri"/>
                <w:b w:val="0"/>
                <w:i w:val="0"/>
                <w:color w:val="1F2937"/>
                <w:sz w:val="18"/>
              </w:rPr>
              <w:t>Verification/reset failure</w:t>
            </w:r>
          </w:p>
        </w:tc>
        <w:tc>
          <w:tcPr>
            <w:tcW w:type="dxa" w:w="4968"/>
            <w:vAlign w:val="center"/>
            <w:tcMar>
              <w:top w:w="80" w:type="dxa"/>
              <w:start w:w="110" w:type="dxa"/>
              <w:bottom w:w="80" w:type="dxa"/>
              <w:end w:w="110" w:type="dxa"/>
            </w:tcMar>
            <w:shd w:fill="F2F4F7"/>
          </w:tcPr>
          <w:p>
            <w:pPr>
              <w:spacing w:after="0"/>
            </w:pPr>
            <w:r>
              <w:rPr>
                <w:rFonts w:ascii="Calibri" w:hAnsi="Calibri"/>
                <w:b w:val="0"/>
                <w:i w:val="0"/>
                <w:color w:val="1F2937"/>
                <w:sz w:val="18"/>
              </w:rPr>
              <w:t>Pre-cutover email tests through corporate relay</w:t>
            </w:r>
          </w:p>
        </w:tc>
      </w:tr>
      <w:tr>
        <w:tc>
          <w:tcPr>
            <w:tcW w:type="dxa" w:w="2376"/>
            <w:vAlign w:val="center"/>
            <w:tcMar>
              <w:top w:w="80" w:type="dxa"/>
              <w:start w:w="110" w:type="dxa"/>
              <w:bottom w:w="80" w:type="dxa"/>
              <w:end w:w="110" w:type="dxa"/>
            </w:tcMar>
          </w:tcPr>
          <w:p>
            <w:pPr>
              <w:spacing w:after="0"/>
            </w:pPr>
            <w:r>
              <w:rPr>
                <w:rFonts w:ascii="Calibri" w:hAnsi="Calibri"/>
                <w:b w:val="0"/>
                <w:i w:val="0"/>
                <w:color w:val="1F2937"/>
                <w:sz w:val="18"/>
              </w:rPr>
              <w:t>Excessive network exposure</w:t>
            </w:r>
          </w:p>
        </w:tc>
        <w:tc>
          <w:tcPr>
            <w:tcW w:type="dxa" w:w="2880"/>
            <w:vAlign w:val="center"/>
            <w:tcMar>
              <w:top w:w="80" w:type="dxa"/>
              <w:start w:w="110" w:type="dxa"/>
              <w:bottom w:w="80" w:type="dxa"/>
              <w:end w:w="110" w:type="dxa"/>
            </w:tcMar>
          </w:tcPr>
          <w:p>
            <w:pPr>
              <w:spacing w:after="0"/>
            </w:pPr>
            <w:r>
              <w:rPr>
                <w:rFonts w:ascii="Calibri" w:hAnsi="Calibri"/>
                <w:b w:val="0"/>
                <w:i w:val="0"/>
                <w:color w:val="1F2937"/>
                <w:sz w:val="18"/>
              </w:rPr>
              <w:t>Unauthorized access</w:t>
            </w:r>
          </w:p>
        </w:tc>
        <w:tc>
          <w:tcPr>
            <w:tcW w:type="dxa" w:w="4968"/>
            <w:vAlign w:val="center"/>
            <w:tcMar>
              <w:top w:w="80" w:type="dxa"/>
              <w:start w:w="110" w:type="dxa"/>
              <w:bottom w:w="80" w:type="dxa"/>
              <w:end w:w="110" w:type="dxa"/>
            </w:tcMar>
          </w:tcPr>
          <w:p>
            <w:pPr>
              <w:spacing w:after="0"/>
            </w:pPr>
            <w:r>
              <w:rPr>
                <w:rFonts w:ascii="Calibri" w:hAnsi="Calibri"/>
                <w:b w:val="0"/>
                <w:i w:val="0"/>
                <w:color w:val="1F2937"/>
                <w:sz w:val="18"/>
              </w:rPr>
              <w:t>HTTPS, segmented firewall, restricted Studio/SSH/DB</w:t>
            </w:r>
          </w:p>
        </w:tc>
      </w:tr>
      <w:tr>
        <w:tc>
          <w:tcPr>
            <w:tcW w:type="dxa" w:w="2376"/>
            <w:vAlign w:val="center"/>
            <w:tcMar>
              <w:top w:w="80" w:type="dxa"/>
              <w:start w:w="110" w:type="dxa"/>
              <w:bottom w:w="80" w:type="dxa"/>
              <w:end w:w="110" w:type="dxa"/>
            </w:tcMar>
            <w:shd w:fill="F2F4F7"/>
          </w:tcPr>
          <w:p>
            <w:pPr>
              <w:spacing w:after="0"/>
            </w:pPr>
            <w:r>
              <w:rPr>
                <w:rFonts w:ascii="Calibri" w:hAnsi="Calibri"/>
                <w:b w:val="0"/>
                <w:i w:val="0"/>
                <w:color w:val="1F2937"/>
                <w:sz w:val="18"/>
              </w:rPr>
              <w:t>Backup not recoverable</w:t>
            </w:r>
          </w:p>
        </w:tc>
        <w:tc>
          <w:tcPr>
            <w:tcW w:type="dxa" w:w="2880"/>
            <w:vAlign w:val="center"/>
            <w:tcMar>
              <w:top w:w="80" w:type="dxa"/>
              <w:start w:w="110" w:type="dxa"/>
              <w:bottom w:w="80" w:type="dxa"/>
              <w:end w:w="110" w:type="dxa"/>
            </w:tcMar>
            <w:shd w:fill="F2F4F7"/>
          </w:tcPr>
          <w:p>
            <w:pPr>
              <w:spacing w:after="0"/>
            </w:pPr>
            <w:r>
              <w:rPr>
                <w:rFonts w:ascii="Calibri" w:hAnsi="Calibri"/>
                <w:b w:val="0"/>
                <w:i w:val="0"/>
                <w:color w:val="1F2937"/>
                <w:sz w:val="18"/>
              </w:rPr>
              <w:t>Extended outage/data loss</w:t>
            </w:r>
          </w:p>
        </w:tc>
        <w:tc>
          <w:tcPr>
            <w:tcW w:type="dxa" w:w="4968"/>
            <w:vAlign w:val="center"/>
            <w:tcMar>
              <w:top w:w="80" w:type="dxa"/>
              <w:start w:w="110" w:type="dxa"/>
              <w:bottom w:w="80" w:type="dxa"/>
              <w:end w:w="110" w:type="dxa"/>
            </w:tcMar>
            <w:shd w:fill="F2F4F7"/>
          </w:tcPr>
          <w:p>
            <w:pPr>
              <w:spacing w:after="0"/>
            </w:pPr>
            <w:r>
              <w:rPr>
                <w:rFonts w:ascii="Calibri" w:hAnsi="Calibri"/>
                <w:b w:val="0"/>
                <w:i w:val="0"/>
                <w:color w:val="1F2937"/>
                <w:sz w:val="18"/>
              </w:rPr>
              <w:t>Off-server encrypted backups and scheduled restore tests</w:t>
            </w:r>
          </w:p>
        </w:tc>
      </w:tr>
      <w:tr>
        <w:tc>
          <w:tcPr>
            <w:tcW w:type="dxa" w:w="2376"/>
            <w:vAlign w:val="center"/>
            <w:tcMar>
              <w:top w:w="80" w:type="dxa"/>
              <w:start w:w="110" w:type="dxa"/>
              <w:bottom w:w="80" w:type="dxa"/>
              <w:end w:w="110" w:type="dxa"/>
            </w:tcMar>
          </w:tcPr>
          <w:p>
            <w:pPr>
              <w:spacing w:after="0"/>
            </w:pPr>
            <w:r>
              <w:rPr>
                <w:rFonts w:ascii="Calibri" w:hAnsi="Calibri"/>
                <w:b w:val="0"/>
                <w:i w:val="0"/>
                <w:color w:val="1F2937"/>
                <w:sz w:val="18"/>
              </w:rPr>
              <w:t>Self-hosting skill gap</w:t>
            </w:r>
          </w:p>
        </w:tc>
        <w:tc>
          <w:tcPr>
            <w:tcW w:type="dxa" w:w="2880"/>
            <w:vAlign w:val="center"/>
            <w:tcMar>
              <w:top w:w="80" w:type="dxa"/>
              <w:start w:w="110" w:type="dxa"/>
              <w:bottom w:w="80" w:type="dxa"/>
              <w:end w:w="110" w:type="dxa"/>
            </w:tcMar>
          </w:tcPr>
          <w:p>
            <w:pPr>
              <w:spacing w:after="0"/>
            </w:pPr>
            <w:r>
              <w:rPr>
                <w:rFonts w:ascii="Calibri" w:hAnsi="Calibri"/>
                <w:b w:val="0"/>
                <w:i w:val="0"/>
                <w:color w:val="1F2937"/>
                <w:sz w:val="18"/>
              </w:rPr>
              <w:t>Slow incident recovery</w:t>
            </w:r>
          </w:p>
        </w:tc>
        <w:tc>
          <w:tcPr>
            <w:tcW w:type="dxa" w:w="4968"/>
            <w:vAlign w:val="center"/>
            <w:tcMar>
              <w:top w:w="80" w:type="dxa"/>
              <w:start w:w="110" w:type="dxa"/>
              <w:bottom w:w="80" w:type="dxa"/>
              <w:end w:w="110" w:type="dxa"/>
            </w:tcMar>
          </w:tcPr>
          <w:p>
            <w:pPr>
              <w:spacing w:after="0"/>
            </w:pPr>
            <w:r>
              <w:rPr>
                <w:rFonts w:ascii="Calibri" w:hAnsi="Calibri"/>
                <w:b w:val="0"/>
                <w:i w:val="0"/>
                <w:color w:val="1F2937"/>
                <w:sz w:val="18"/>
              </w:rPr>
              <w:t>Named owners, runbooks, training and vendor/community escalation path</w:t>
            </w:r>
          </w:p>
        </w:tc>
      </w:tr>
    </w:tbl>
    <w:p>
      <w:pPr>
        <w:spacing w:after="20"/>
      </w:pPr>
    </w:p>
    <w:p>
      <w:pPr>
        <w:pStyle w:val="Heading1"/>
      </w:pPr>
      <w:r>
        <w:t>13. Responsibility model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vAlign w:val="center"/>
            <w:tcMar>
              <w:top w:w="80" w:type="dxa"/>
              <w:start w:w="110" w:type="dxa"/>
              <w:bottom w:w="80" w:type="dxa"/>
              <w:end w:w="110" w:type="dxa"/>
            </w:tcMar>
            <w:shd w:fill="164E63"/>
          </w:tcPr>
          <w:p>
            <w:pPr>
              <w:spacing w:after="0"/>
            </w:pPr>
            <w:r>
              <w:rPr>
                <w:rFonts w:ascii="Calibri" w:hAnsi="Calibri"/>
                <w:b/>
                <w:i w:val="0"/>
                <w:color w:val="FFFFFF"/>
                <w:sz w:val="18"/>
              </w:rPr>
              <w:t>Activity</w:t>
            </w:r>
          </w:p>
        </w:tc>
        <w:tc>
          <w:tcPr>
            <w:tcW w:type="dxa" w:w="3240"/>
            <w:vAlign w:val="center"/>
            <w:tcMar>
              <w:top w:w="80" w:type="dxa"/>
              <w:start w:w="110" w:type="dxa"/>
              <w:bottom w:w="80" w:type="dxa"/>
              <w:end w:w="110" w:type="dxa"/>
            </w:tcMar>
            <w:shd w:fill="164E63"/>
          </w:tcPr>
          <w:p>
            <w:pPr>
              <w:spacing w:after="0"/>
            </w:pPr>
            <w:r>
              <w:rPr>
                <w:rFonts w:ascii="Calibri" w:hAnsi="Calibri"/>
                <w:b/>
                <w:i w:val="0"/>
                <w:color w:val="FFFFFF"/>
                <w:sz w:val="18"/>
              </w:rPr>
              <w:t>Accountable owner</w:t>
            </w:r>
          </w:p>
        </w:tc>
        <w:tc>
          <w:tcPr>
            <w:tcW w:type="dxa" w:w="3960"/>
            <w:vAlign w:val="center"/>
            <w:tcMar>
              <w:top w:w="80" w:type="dxa"/>
              <w:start w:w="110" w:type="dxa"/>
              <w:bottom w:w="80" w:type="dxa"/>
              <w:end w:w="110" w:type="dxa"/>
            </w:tcMar>
            <w:shd w:fill="164E63"/>
          </w:tcPr>
          <w:p>
            <w:pPr>
              <w:spacing w:after="0"/>
            </w:pPr>
            <w:r>
              <w:rPr>
                <w:rFonts w:ascii="Calibri" w:hAnsi="Calibri"/>
                <w:b/>
                <w:i w:val="0"/>
                <w:color w:val="FFFFFF"/>
                <w:sz w:val="18"/>
              </w:rPr>
              <w:t>Supporting roles</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Hyper-V host and VM</w:t>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t>Infrastructure manager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t>Windows administrator</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Network, DNS and firewall</w:t>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t>Network manager</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t>Security</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TLS and WAF/reverse proxy</w:t>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t>Security / platform owner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t>Network administrator</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Ubuntu, Docker and Supabase</w:t>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t>Platform administrator</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t>Application owner</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Database migration/validation</w:t>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t>Database or platform administrator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t>ContractConnect developer</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Storage migration</w:t>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t>Platform administrator</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t>Application owner</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Acceptance testing</w:t>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t>ContractConnect product owner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t>Business testers / security</w:t>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Backups and restore tests</w:t>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t>Infrastructure / DBA owner</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t>Security / application owner</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Go/no-go and rollback</w:t>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t>Business/application sponsor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t>Technical change owner</w:t>
            </w:r>
          </w:p>
        </w:tc>
      </w:tr>
    </w:tbl>
    <w:p>
      <w:pPr>
        <w:spacing w:after="20"/>
      </w:pPr>
    </w:p>
    <w:p>
      <w:r>
        <w:br w:type="page"/>
      </w:r>
    </w:p>
    <w:p>
      <w:pPr>
        <w:pStyle w:val="Heading1"/>
      </w:pPr>
      <w:r>
        <w:t>14. Approval record</w:t>
      </w:r>
    </w:p>
    <w:p>
      <w:r>
        <w:t>Approval confirms authorization to prepare the pilot environment. Production cutover remains subject to the acceptance and go/no-go gates in this document.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vAlign w:val="center"/>
            <w:tcMar>
              <w:top w:w="80" w:type="dxa"/>
              <w:start w:w="110" w:type="dxa"/>
              <w:bottom w:w="80" w:type="dxa"/>
              <w:end w:w="110" w:type="dxa"/>
            </w:tcMar>
            <w:shd w:fill="164E63"/>
          </w:tcPr>
          <w:p>
            <w:pPr>
              <w:spacing w:after="0"/>
            </w:pPr>
            <w:r>
              <w:rPr>
                <w:rFonts w:ascii="Calibri" w:hAnsi="Calibri"/>
                <w:b/>
                <w:i w:val="0"/>
                <w:color w:val="FFFFFF"/>
                <w:sz w:val="18"/>
              </w:rPr>
              <w:t>Approval</w:t>
            </w:r>
          </w:p>
        </w:tc>
        <w:tc>
          <w:tcPr>
            <w:tcW w:type="dxa" w:w="3528"/>
            <w:vAlign w:val="center"/>
            <w:tcMar>
              <w:top w:w="80" w:type="dxa"/>
              <w:start w:w="110" w:type="dxa"/>
              <w:bottom w:w="80" w:type="dxa"/>
              <w:end w:w="110" w:type="dxa"/>
            </w:tcMar>
            <w:shd w:fill="164E63"/>
          </w:tcPr>
          <w:p>
            <w:pPr>
              <w:spacing w:after="0"/>
            </w:pPr>
            <w:r>
              <w:rPr>
                <w:rFonts w:ascii="Calibri" w:hAnsi="Calibri"/>
                <w:b/>
                <w:i w:val="0"/>
                <w:color w:val="FFFFFF"/>
                <w:sz w:val="18"/>
              </w:rPr>
              <w:t>Name</w:t>
            </w:r>
          </w:p>
        </w:tc>
        <w:tc>
          <w:tcPr>
            <w:tcW w:type="dxa" w:w="3600"/>
            <w:vAlign w:val="center"/>
            <w:tcMar>
              <w:top w:w="80" w:type="dxa"/>
              <w:start w:w="110" w:type="dxa"/>
              <w:bottom w:w="80" w:type="dxa"/>
              <w:end w:w="110" w:type="dxa"/>
            </w:tcMar>
            <w:shd w:fill="164E63"/>
          </w:tcPr>
          <w:p>
            <w:pPr>
              <w:spacing w:after="0"/>
            </w:pPr>
            <w:r>
              <w:rPr>
                <w:rFonts w:ascii="Calibri" w:hAnsi="Calibri"/>
                <w:b/>
                <w:i w:val="0"/>
                <w:color w:val="FFFFFF"/>
                <w:sz w:val="18"/>
              </w:rPr>
              <w:t>Decision / date</w:t>
            </w:r>
          </w:p>
        </w:tc>
      </w:tr>
      <w:tr>
        <w:tc>
          <w:tcPr>
            <w:tcW w:type="dxa" w:w="3096"/>
            <w:vAlign w:val="center"/>
            <w:tcMar>
              <w:top w:w="80" w:type="dxa"/>
              <w:start w:w="110" w:type="dxa"/>
              <w:bottom w:w="80" w:type="dxa"/>
              <w:end w:w="110" w:type="dxa"/>
            </w:tcMar>
          </w:tcPr>
          <w:p>
            <w:pPr>
              <w:spacing w:after="0"/>
            </w:pPr>
            <w:r>
              <w:rPr>
                <w:rFonts w:ascii="Calibri" w:hAnsi="Calibri"/>
                <w:b w:val="0"/>
                <w:i w:val="0"/>
                <w:color w:val="1F2937"/>
                <w:sz w:val="18"/>
              </w:rPr>
              <w:t>Technical manager</w:t>
            </w:r>
          </w:p>
        </w:tc>
        <w:tc>
          <w:tcPr>
            <w:tcW w:type="dxa" w:w="3528"/>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96"/>
            <w:vAlign w:val="center"/>
            <w:tcMar>
              <w:top w:w="80" w:type="dxa"/>
              <w:start w:w="110" w:type="dxa"/>
              <w:bottom w:w="80" w:type="dxa"/>
              <w:end w:w="110" w:type="dxa"/>
            </w:tcMar>
            <w:shd w:fill="F2F4F7"/>
          </w:tcPr>
          <w:p>
            <w:pPr>
              <w:spacing w:after="0"/>
            </w:pPr>
            <w:r>
              <w:rPr>
                <w:rFonts w:ascii="Calibri" w:hAnsi="Calibri"/>
                <w:b w:val="0"/>
                <w:i w:val="0"/>
                <w:color w:val="1F2937"/>
                <w:sz w:val="18"/>
              </w:rPr>
              <w:t>Infrastructure owner</w:t>
            </w:r>
          </w:p>
        </w:tc>
        <w:tc>
          <w:tcPr>
            <w:tcW w:type="dxa" w:w="3528"/>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r>
        <w:tc>
          <w:tcPr>
            <w:tcW w:type="dxa" w:w="3096"/>
            <w:vAlign w:val="center"/>
            <w:tcMar>
              <w:top w:w="80" w:type="dxa"/>
              <w:start w:w="110" w:type="dxa"/>
              <w:bottom w:w="80" w:type="dxa"/>
              <w:end w:w="110" w:type="dxa"/>
            </w:tcMar>
          </w:tcPr>
          <w:p>
            <w:pPr>
              <w:spacing w:after="0"/>
            </w:pPr>
            <w:r>
              <w:rPr>
                <w:rFonts w:ascii="Calibri" w:hAnsi="Calibri"/>
                <w:b w:val="0"/>
                <w:i w:val="0"/>
                <w:color w:val="1F2937"/>
                <w:sz w:val="18"/>
              </w:rPr>
              <w:t>Information security</w:t>
            </w:r>
          </w:p>
        </w:tc>
        <w:tc>
          <w:tcPr>
            <w:tcW w:type="dxa" w:w="3528"/>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96"/>
            <w:vAlign w:val="center"/>
            <w:tcMar>
              <w:top w:w="80" w:type="dxa"/>
              <w:start w:w="110" w:type="dxa"/>
              <w:bottom w:w="80" w:type="dxa"/>
              <w:end w:w="110" w:type="dxa"/>
            </w:tcMar>
            <w:shd w:fill="F2F4F7"/>
          </w:tcPr>
          <w:p>
            <w:pPr>
              <w:spacing w:after="0"/>
            </w:pPr>
            <w:r>
              <w:rPr>
                <w:rFonts w:ascii="Calibri" w:hAnsi="Calibri"/>
                <w:b w:val="0"/>
                <w:i w:val="0"/>
                <w:color w:val="1F2937"/>
                <w:sz w:val="18"/>
              </w:rPr>
              <w:t>Network / PKI</w:t>
            </w:r>
          </w:p>
        </w:tc>
        <w:tc>
          <w:tcPr>
            <w:tcW w:type="dxa" w:w="3528"/>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r>
        <w:tc>
          <w:tcPr>
            <w:tcW w:type="dxa" w:w="3096"/>
            <w:vAlign w:val="center"/>
            <w:tcMar>
              <w:top w:w="80" w:type="dxa"/>
              <w:start w:w="110" w:type="dxa"/>
              <w:bottom w:w="80" w:type="dxa"/>
              <w:end w:w="110" w:type="dxa"/>
            </w:tcMar>
          </w:tcPr>
          <w:p>
            <w:pPr>
              <w:spacing w:after="0"/>
            </w:pPr>
            <w:r>
              <w:rPr>
                <w:rFonts w:ascii="Calibri" w:hAnsi="Calibri"/>
                <w:b w:val="0"/>
                <w:i w:val="0"/>
                <w:color w:val="1F2937"/>
                <w:sz w:val="18"/>
              </w:rPr>
              <w:t>Application owner</w:t>
            </w:r>
          </w:p>
        </w:tc>
        <w:tc>
          <w:tcPr>
            <w:tcW w:type="dxa" w:w="3528"/>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96"/>
            <w:vAlign w:val="center"/>
            <w:tcMar>
              <w:top w:w="80" w:type="dxa"/>
              <w:start w:w="110" w:type="dxa"/>
              <w:bottom w:w="80" w:type="dxa"/>
              <w:end w:w="110" w:type="dxa"/>
            </w:tcMar>
            <w:shd w:fill="F2F4F7"/>
          </w:tcPr>
          <w:p>
            <w:pPr>
              <w:spacing w:after="0"/>
            </w:pPr>
            <w:r>
              <w:rPr>
                <w:rFonts w:ascii="Calibri" w:hAnsi="Calibri"/>
                <w:b w:val="0"/>
                <w:i w:val="0"/>
                <w:color w:val="1F2937"/>
                <w:sz w:val="18"/>
              </w:rPr>
              <w:t>Business sponsor</w:t>
            </w:r>
          </w:p>
        </w:tc>
        <w:tc>
          <w:tcPr>
            <w:tcW w:type="dxa" w:w="3528"/>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60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bl>
    <w:p>
      <w:pPr>
        <w:spacing w:after="20"/>
      </w:pPr>
    </w:p>
    <w:p>
      <w:pPr>
        <w:pStyle w:val="Heading1"/>
      </w:pPr>
      <w:r>
        <w:t>15. Implementation completion record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24"/>
            <w:vAlign w:val="center"/>
            <w:tcMar>
              <w:top w:w="80" w:type="dxa"/>
              <w:start w:w="110" w:type="dxa"/>
              <w:bottom w:w="80" w:type="dxa"/>
              <w:end w:w="110" w:type="dxa"/>
            </w:tcMar>
            <w:shd w:fill="164E63"/>
          </w:tcPr>
          <w:p>
            <w:pPr>
              <w:spacing w:after="0"/>
            </w:pPr>
            <w:r>
              <w:rPr>
                <w:rFonts w:ascii="Calibri" w:hAnsi="Calibri"/>
                <w:b/>
                <w:i w:val="0"/>
                <w:color w:val="FFFFFF"/>
                <w:sz w:val="18"/>
              </w:rPr>
              <w:t>Milestone</w:t>
            </w:r>
          </w:p>
        </w:tc>
        <w:tc>
          <w:tcPr>
            <w:tcW w:type="dxa" w:w="3960"/>
            <w:vAlign w:val="center"/>
            <w:tcMar>
              <w:top w:w="80" w:type="dxa"/>
              <w:start w:w="110" w:type="dxa"/>
              <w:bottom w:w="80" w:type="dxa"/>
              <w:end w:w="110" w:type="dxa"/>
            </w:tcMar>
            <w:shd w:fill="164E63"/>
          </w:tcPr>
          <w:p>
            <w:pPr>
              <w:spacing w:after="0"/>
            </w:pPr>
            <w:r>
              <w:rPr>
                <w:rFonts w:ascii="Calibri" w:hAnsi="Calibri"/>
                <w:b/>
                <w:i w:val="0"/>
                <w:color w:val="FFFFFF"/>
                <w:sz w:val="18"/>
              </w:rPr>
              <w:t>Evidence / reference</w:t>
            </w:r>
          </w:p>
        </w:tc>
        <w:tc>
          <w:tcPr>
            <w:tcW w:type="dxa" w:w="3240"/>
            <w:vAlign w:val="center"/>
            <w:tcMar>
              <w:top w:w="80" w:type="dxa"/>
              <w:start w:w="110" w:type="dxa"/>
              <w:bottom w:w="80" w:type="dxa"/>
              <w:end w:w="110" w:type="dxa"/>
            </w:tcMar>
            <w:shd w:fill="164E63"/>
          </w:tcPr>
          <w:p>
            <w:pPr>
              <w:spacing w:after="0"/>
            </w:pPr>
            <w:r>
              <w:rPr>
                <w:rFonts w:ascii="Calibri" w:hAnsi="Calibri"/>
                <w:b/>
                <w:i w:val="0"/>
                <w:color w:val="FFFFFF"/>
                <w:sz w:val="18"/>
              </w:rPr>
              <w:t>Accepted by / date</w:t>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Host and VM readiness</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Supabase health and security</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Rehearsal restore</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Storage reconciliation</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Application acceptance</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Backup restore test</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tcPr>
          <w:p>
            <w:pPr>
              <w:spacing w:after="0"/>
            </w:pPr>
            <w:r>
              <w:rPr>
                <w:rFonts w:ascii="Calibri" w:hAnsi="Calibri"/>
                <w:b w:val="0"/>
                <w:i w:val="0"/>
                <w:color w:val="1F2937"/>
                <w:sz w:val="18"/>
              </w:rPr>
              <w:t>Production cutover</w:t>
            </w:r>
          </w:p>
        </w:tc>
        <w:tc>
          <w:tcPr>
            <w:tcW w:type="dxa" w:w="3960"/>
            <w:vAlign w:val="center"/>
            <w:tcMar>
              <w:top w:w="80" w:type="dxa"/>
              <w:start w:w="110" w:type="dxa"/>
              <w:bottom w:w="80" w:type="dxa"/>
              <w:end w:w="110" w:type="dxa"/>
            </w:tcMar>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tcPr>
          <w:p>
            <w:pPr>
              <w:spacing w:after="0"/>
            </w:pPr>
            <w:r>
              <w:rPr>
                <w:rFonts w:ascii="Calibri" w:hAnsi="Calibri"/>
                <w:b w:val="0"/>
                <w:i w:val="0"/>
                <w:color w:val="1F2937"/>
                <w:sz w:val="18"/>
              </w:rPr>
            </w:r>
          </w:p>
        </w:tc>
      </w:tr>
      <w:tr>
        <w:tc>
          <w:tcPr>
            <w:tcW w:type="dxa" w:w="3024"/>
            <w:vAlign w:val="center"/>
            <w:tcMar>
              <w:top w:w="80" w:type="dxa"/>
              <w:start w:w="110" w:type="dxa"/>
              <w:bottom w:w="80" w:type="dxa"/>
              <w:end w:w="110" w:type="dxa"/>
            </w:tcMar>
            <w:shd w:fill="F2F4F7"/>
          </w:tcPr>
          <w:p>
            <w:pPr>
              <w:spacing w:after="0"/>
            </w:pPr>
            <w:r>
              <w:rPr>
                <w:rFonts w:ascii="Calibri" w:hAnsi="Calibri"/>
                <w:b w:val="0"/>
                <w:i w:val="0"/>
                <w:color w:val="1F2937"/>
                <w:sz w:val="18"/>
              </w:rPr>
              <w:t>Rollback period closed</w:t>
            </w:r>
          </w:p>
        </w:tc>
        <w:tc>
          <w:tcPr>
            <w:tcW w:type="dxa" w:w="3960"/>
            <w:vAlign w:val="center"/>
            <w:tcMar>
              <w:top w:w="80" w:type="dxa"/>
              <w:start w:w="110" w:type="dxa"/>
              <w:bottom w:w="80" w:type="dxa"/>
              <w:end w:w="110" w:type="dxa"/>
            </w:tcMar>
            <w:shd w:fill="F2F4F7"/>
          </w:tcPr>
          <w:p>
            <w:pPr>
              <w:spacing w:after="0"/>
            </w:pPr>
            <w:r>
              <w:rPr>
                <w:rFonts w:ascii="Calibri" w:hAnsi="Calibri"/>
                <w:b w:val="0"/>
                <w:i w:val="0"/>
                <w:color w:val="1F2937"/>
                <w:sz w:val="18"/>
              </w:rPr>
            </w:r>
          </w:p>
        </w:tc>
        <w:tc>
          <w:tcPr>
            <w:tcW w:type="dxa" w:w="3240"/>
            <w:vAlign w:val="center"/>
            <w:tcMar>
              <w:top w:w="80" w:type="dxa"/>
              <w:start w:w="110" w:type="dxa"/>
              <w:bottom w:w="80" w:type="dxa"/>
              <w:end w:w="110" w:type="dxa"/>
            </w:tcMar>
            <w:shd w:fill="F2F4F7"/>
          </w:tcPr>
          <w:p>
            <w:pPr>
              <w:spacing w:after="0"/>
            </w:pPr>
            <w:r>
              <w:rPr>
                <w:rFonts w:ascii="Calibri" w:hAnsi="Calibri"/>
                <w:b w:val="0"/>
                <w:i w:val="0"/>
                <w:color w:val="1F2937"/>
                <w:sz w:val="18"/>
              </w:rPr>
            </w:r>
          </w:p>
        </w:tc>
      </w:tr>
    </w:tbl>
    <w:p>
      <w:pPr>
        <w:spacing w:after="20"/>
      </w:pPr>
    </w:p>
    <w:p>
      <w:pPr>
        <w:pStyle w:val="Heading1"/>
      </w:pPr>
      <w:r>
        <w:t>References</w:t>
      </w:r>
    </w:p>
    <w:p>
      <w:pPr>
        <w:pStyle w:val="ListBullet"/>
      </w:pPr>
      <w:r>
        <w:rPr>
          <w:rFonts w:ascii="Calibri" w:hAnsi="Calibri"/>
          <w:b/>
          <w:i w:val="0"/>
          <w:color w:val="1F2937"/>
          <w:sz w:val="19"/>
        </w:rPr>
        <w:t xml:space="preserve">Supabase - Self-Hosting with Docker: </w:t>
      </w:r>
      <w:r>
        <w:rPr>
          <w:rFonts w:ascii="Calibri" w:hAnsi="Calibri"/>
          <w:b w:val="0"/>
          <w:i w:val="0"/>
          <w:color w:val="0E7490"/>
          <w:sz w:val="19"/>
        </w:rPr>
        <w:t>https://supabase.com/docs/guides/self-hosting/docker</w:t>
      </w:r>
    </w:p>
    <w:p>
      <w:pPr>
        <w:pStyle w:val="ListBullet"/>
      </w:pPr>
      <w:r>
        <w:rPr>
          <w:rFonts w:ascii="Calibri" w:hAnsi="Calibri"/>
          <w:b/>
          <w:i w:val="0"/>
          <w:color w:val="1F2937"/>
          <w:sz w:val="19"/>
        </w:rPr>
        <w:t xml:space="preserve">Supabase - Restore a Platform Project to Self-Hosted: </w:t>
      </w:r>
      <w:r>
        <w:rPr>
          <w:rFonts w:ascii="Calibri" w:hAnsi="Calibri"/>
          <w:b w:val="0"/>
          <w:i w:val="0"/>
          <w:color w:val="0E7490"/>
          <w:sz w:val="19"/>
        </w:rPr>
        <w:t>https://supabase.com/docs/guides/self-hosting/restore-from-platform</w:t>
      </w:r>
    </w:p>
    <w:p>
      <w:pPr>
        <w:pStyle w:val="ListBullet"/>
      </w:pPr>
      <w:r>
        <w:rPr>
          <w:rFonts w:ascii="Calibri" w:hAnsi="Calibri"/>
          <w:b/>
          <w:i w:val="0"/>
          <w:color w:val="1F2937"/>
          <w:sz w:val="19"/>
        </w:rPr>
        <w:t xml:space="preserve">Supabase - Copy Storage Objects from Platform: </w:t>
      </w:r>
      <w:r>
        <w:rPr>
          <w:rFonts w:ascii="Calibri" w:hAnsi="Calibri"/>
          <w:b w:val="0"/>
          <w:i w:val="0"/>
          <w:color w:val="0E7490"/>
          <w:sz w:val="19"/>
        </w:rPr>
        <w:t>https://supabase.com/docs/guides/self-hosting/copy-from-platform-s3</w:t>
      </w:r>
    </w:p>
    <w:p>
      <w:pPr>
        <w:pStyle w:val="ListBullet"/>
      </w:pPr>
      <w:r>
        <w:rPr>
          <w:rFonts w:ascii="Calibri" w:hAnsi="Calibri"/>
          <w:b/>
          <w:i w:val="0"/>
          <w:color w:val="1F2937"/>
          <w:sz w:val="19"/>
        </w:rPr>
        <w:t xml:space="preserve">Docker - Install Docker Desktop on Windows (Windows Server support statement): </w:t>
      </w:r>
      <w:r>
        <w:rPr>
          <w:rFonts w:ascii="Calibri" w:hAnsi="Calibri"/>
          <w:b w:val="0"/>
          <w:i w:val="0"/>
          <w:color w:val="0E7490"/>
          <w:sz w:val="19"/>
        </w:rPr>
        <w:t>https://docs.docker.com/desktop/setup/install/windows-install/</w:t>
      </w:r>
    </w:p>
    <w:p>
      <w:pPr>
        <w:pStyle w:val="ListBullet"/>
      </w:pPr>
      <w:r>
        <w:rPr>
          <w:rFonts w:ascii="Calibri" w:hAnsi="Calibri"/>
          <w:b/>
          <w:i w:val="0"/>
          <w:color w:val="1F2937"/>
          <w:sz w:val="19"/>
        </w:rPr>
        <w:t xml:space="preserve">Microsoft - Supported Linux and FreeBSD VMs for Hyper-V: </w:t>
      </w:r>
      <w:r>
        <w:rPr>
          <w:rFonts w:ascii="Calibri" w:hAnsi="Calibri"/>
          <w:b w:val="0"/>
          <w:i w:val="0"/>
          <w:color w:val="0E7490"/>
          <w:sz w:val="19"/>
        </w:rPr>
        <w:t>https://learn.microsoft.com/en-us/windows-server/virtualization/hyper-v/supported-linux-and-freebsd-virtual-machines-for-hyper-v-on-windows</w:t>
      </w:r>
    </w:p>
    <w:sectPr w:rsidR="00FC693F" w:rsidRPr="0006063C" w:rsidSect="00034616">
      <w:headerReference w:type="default" r:id="rId9"/>
      <w:footerReference w:type="default" r:id="rId10"/>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Internal technical document  |  ContractConnect</w:t>
    </w:r>
  </w:p>
  <w:p>
    <w:pPr>
      <w:jc w:val="right"/>
    </w:pPr>
    <w:r>
      <w:rPr>
        <w:rFonts w:ascii="Calibri" w:hAnsi="Calibri"/>
        <w:b w:val="0"/>
        <w:i w:val="0"/>
        <w:color w:val="5B6573"/>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7"/>
      </w:rPr>
      <w:t>CONTRACTCONNECT  |  TECHNICAL APPROVAL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64E6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ContractConnect Self-Hosted Supabase Implementation and Approval Runbook</dc:title>
  <dc:subject>Technical approval and migration runbook</dc:subject>
  <dc:creator>ContractConnect Project Team</dc:creator>
  <cp:keywords>ContractConnect, Supabase, self-hosted, Hyper-V, Windows Server, migration</cp:keywords>
  <dc:description>generated by python-docx</dc:description>
  <cp:lastModifiedBy/>
  <cp:revision>1</cp:revision>
  <dcterms:created xsi:type="dcterms:W3CDTF">2013-12-23T23:15:00Z</dcterms:created>
  <dcterms:modified xsi:type="dcterms:W3CDTF">2013-12-23T23:15:00Z</dcterms:modified>
  <cp:category/>
</cp:coreProperties>
</file>