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rFonts w:ascii="Aptos" w:hAnsi="Aptos"/>
          <w:b/>
          <w:color w:val="D9A441"/>
          <w:sz w:val="24"/>
        </w:rPr>
        <w:t>CONTRACTCONNECT</w:t>
      </w:r>
    </w:p>
    <w:p>
      <w:pPr>
        <w:pStyle w:val="Title"/>
        <w:jc w:val="center"/>
      </w:pPr>
      <w:r>
        <w:t>Costing &amp; Commercial Pricing Model</w:t>
      </w:r>
    </w:p>
    <w:p>
      <w:pPr>
        <w:pStyle w:val="Subtitle"/>
        <w:jc w:val="center"/>
      </w:pPr>
      <w:r>
        <w:t>A practical go-to-market model for a contract relationship management solution</w:t>
      </w:r>
    </w:p>
    <w:p>
      <w:pPr>
        <w:spacing w:before="360" w:after="520"/>
        <w:jc w:val="center"/>
      </w:pPr>
      <w:r>
        <w:rPr>
          <w:rFonts w:ascii="Aptos" w:hAnsi="Aptos"/>
          <w:color w:val="64706E"/>
          <w:sz w:val="20"/>
        </w:rPr>
        <w:t>Prepared for product presentation and commercial planning</w:t>
        <w:br/>
        <w:t>6 August 2026</w:t>
      </w:r>
    </w:p>
    <w:tbl>
      <w:tblPr>
        <w:tblW w:type="dxa" w:w="9792"/>
        <w:jc w:val="left"/>
        <w:tblLayout w:type="fixed"/>
        <w:tblLook w:firstColumn="1" w:firstRow="1" w:lastColumn="0" w:lastRow="0" w:noHBand="0" w:noVBand="1" w:val="04A0"/>
        <w:tblBorders>
          <w:top w:val="single" w:sz="8" w:color="D8E4E2"/>
          <w:left w:val="single" w:sz="8" w:color="D8E4E2"/>
          <w:bottom w:val="single" w:sz="8" w:color="D8E4E2"/>
          <w:right w:val="single" w:sz="8" w:color="D8E4E2"/>
          <w:insideH w:val="single" w:sz="8" w:color="D8E4E2"/>
          <w:insideV w:val="single" w:sz="8" w:color="D8E4E2"/>
        </w:tblBorders>
      </w:tblPr>
      <w:tblGrid>
        <w:gridCol w:w="9792"/>
      </w:tblGrid>
      <w:tr>
        <w:tc>
          <w:tcPr>
            <w:tcW w:type="dxa" w:w="9792"/>
            <w:shd w:fill="EEF5F4"/>
            <w:tcMar>
              <w:top w:w="150" w:type="dxa"/>
              <w:start w:w="180" w:type="dxa"/>
              <w:bottom w:w="150" w:type="dxa"/>
              <w:end w:w="180" w:type="dxa"/>
            </w:tcMar>
          </w:tcPr>
          <w:p>
            <w:pPr>
              <w:spacing w:after="0"/>
            </w:pPr>
            <w:r>
              <w:rPr>
                <w:b/>
                <w:color w:val="1D6B66"/>
              </w:rPr>
              <w:t xml:space="preserve">Recommended model: </w:t>
            </w:r>
            <w:r>
              <w:rPr>
                <w:color w:val="253331"/>
              </w:rPr>
              <w:t>A fixed monthly platform fee with capacity bands for users, active contracts and storage. This gives customers predictable costs while protecting ContractConnect's margins as usage grows.</w:t>
            </w:r>
          </w:p>
        </w:tc>
      </w:tr>
    </w:tbl>
    <w:p>
      <w:pPr>
        <w:spacing w:after="0"/>
      </w:pPr>
    </w:p>
    <w:p>
      <w:pPr>
        <w:spacing w:before="1080"/>
        <w:jc w:val="center"/>
      </w:pPr>
      <w:r>
        <w:rPr>
          <w:i/>
          <w:color w:val="64706E"/>
          <w:sz w:val="18"/>
        </w:rPr>
        <w:t>All prices are stated in Namibian dollars and exclude VAT.</w:t>
      </w:r>
    </w:p>
    <w:p>
      <w:r>
        <w:br w:type="page"/>
      </w:r>
    </w:p>
    <w:p>
      <w:pPr>
        <w:pStyle w:val="Heading1"/>
      </w:pPr>
      <w:r>
        <w:t>1. Executive recommendation</w:t>
      </w:r>
    </w:p>
    <w:p>
      <w:r>
        <w:t>ContractConnect should be positioned as an affordable, locally supported contract relationship management platform for small and medium-sized organisations. The recommended commercial model combines the predictability of a platform subscription with sensible capacity limits.</w:t>
      </w:r>
    </w:p>
    <w:p>
      <w:pPr>
        <w:pStyle w:val="ListBullet"/>
      </w:pPr>
      <w:r>
        <w:t>Use contract and storage capacity as the main value metric, with included user allowances.</w:t>
      </w:r>
    </w:p>
    <w:p>
      <w:pPr>
        <w:pStyle w:val="ListBullet"/>
      </w:pPr>
      <w:r>
        <w:t>Lead with the Professional plan as the primary commercial offer.</w:t>
      </w:r>
    </w:p>
    <w:p>
      <w:pPr>
        <w:pStyle w:val="ListBullet"/>
      </w:pPr>
      <w:r>
        <w:t>Charge implementation separately so onboarding and data preparation are properly funded.</w:t>
      </w:r>
    </w:p>
    <w:p>
      <w:pPr>
        <w:pStyle w:val="ListBullet"/>
      </w:pPr>
      <w:r>
        <w:t>Use a paid pilot to reduce customer risk without permanently discounting the product.</w:t>
      </w:r>
    </w:p>
    <w:p>
      <w:pPr>
        <w:pStyle w:val="ListBullet"/>
      </w:pPr>
      <w:r>
        <w:t>Initially deploy a dedicated customer environment until full multi-tenant isolation is implemented.</w:t>
      </w:r>
    </w:p>
    <w:p>
      <w:pPr>
        <w:pStyle w:val="Heading1"/>
      </w:pPr>
      <w:r>
        <w:t>2. Subscription pricing</w:t>
      </w:r>
    </w:p>
    <w:tbl>
      <w:tblPr>
        <w:tblW w:type="dxa" w:w="9792"/>
        <w:jc w:val="left"/>
        <w:tblLayout w:type="fixed"/>
        <w:tblLook w:firstColumn="1" w:firstRow="1" w:lastColumn="0" w:lastRow="0" w:noHBand="0" w:noVBand="1" w:val="04A0"/>
        <w:tblBorders>
          <w:top w:val="single" w:sz="6" w:color="CDD9D7"/>
          <w:left w:val="single" w:sz="6" w:color="CDD9D7"/>
          <w:bottom w:val="single" w:sz="6" w:color="CDD9D7"/>
          <w:right w:val="single" w:sz="6" w:color="CDD9D7"/>
          <w:insideH w:val="single" w:sz="6" w:color="CDD9D7"/>
          <w:insideV w:val="single" w:sz="6" w:color="CDD9D7"/>
        </w:tblBorders>
      </w:tblPr>
      <w:tblGrid>
        <w:gridCol w:w="1512"/>
        <w:gridCol w:w="1440"/>
        <w:gridCol w:w="792"/>
        <w:gridCol w:w="1512"/>
        <w:gridCol w:w="1008"/>
        <w:gridCol w:w="3528"/>
      </w:tblGrid>
      <w:tr>
        <w:trPr>
          <w:tblHeader w:val="true"/>
        </w:trPr>
        <w:tc>
          <w:tcPr>
            <w:tcW w:type="dxa" w:w="1512"/>
            <w:shd w:fill="123B3A"/>
            <w:tcMar>
              <w:top w:w="90" w:type="dxa"/>
              <w:start w:w="120" w:type="dxa"/>
              <w:bottom w:w="90" w:type="dxa"/>
              <w:end w:w="120" w:type="dxa"/>
            </w:tcMar>
            <w:vAlign w:val="center"/>
          </w:tcPr>
          <w:p>
            <w:pPr>
              <w:spacing w:after="0"/>
            </w:pPr>
            <w:r>
              <w:rPr>
                <w:rFonts w:ascii="Aptos" w:hAnsi="Aptos"/>
                <w:b/>
                <w:color w:val="FFFFFF"/>
                <w:sz w:val="18"/>
              </w:rPr>
              <w:t>Plan</w:t>
            </w:r>
          </w:p>
        </w:tc>
        <w:tc>
          <w:tcPr>
            <w:tcW w:type="dxa" w:w="1440"/>
            <w:shd w:fill="123B3A"/>
            <w:tcMar>
              <w:top w:w="90" w:type="dxa"/>
              <w:start w:w="120" w:type="dxa"/>
              <w:bottom w:w="90" w:type="dxa"/>
              <w:end w:w="120" w:type="dxa"/>
            </w:tcMar>
            <w:vAlign w:val="center"/>
          </w:tcPr>
          <w:p>
            <w:pPr>
              <w:spacing w:after="0"/>
            </w:pPr>
            <w:r>
              <w:rPr>
                <w:rFonts w:ascii="Aptos" w:hAnsi="Aptos"/>
                <w:b/>
                <w:color w:val="FFFFFF"/>
                <w:sz w:val="18"/>
              </w:rPr>
              <w:t>Monthly</w:t>
            </w:r>
          </w:p>
        </w:tc>
        <w:tc>
          <w:tcPr>
            <w:tcW w:type="dxa" w:w="792"/>
            <w:shd w:fill="123B3A"/>
            <w:tcMar>
              <w:top w:w="90" w:type="dxa"/>
              <w:start w:w="120" w:type="dxa"/>
              <w:bottom w:w="90" w:type="dxa"/>
              <w:end w:w="120" w:type="dxa"/>
            </w:tcMar>
            <w:vAlign w:val="center"/>
          </w:tcPr>
          <w:p>
            <w:pPr>
              <w:spacing w:after="0"/>
            </w:pPr>
            <w:r>
              <w:rPr>
                <w:rFonts w:ascii="Aptos" w:hAnsi="Aptos"/>
                <w:b/>
                <w:color w:val="FFFFFF"/>
                <w:sz w:val="18"/>
              </w:rPr>
              <w:t>Users</w:t>
            </w:r>
          </w:p>
        </w:tc>
        <w:tc>
          <w:tcPr>
            <w:tcW w:type="dxa" w:w="1512"/>
            <w:shd w:fill="123B3A"/>
            <w:tcMar>
              <w:top w:w="90" w:type="dxa"/>
              <w:start w:w="120" w:type="dxa"/>
              <w:bottom w:w="90" w:type="dxa"/>
              <w:end w:w="120" w:type="dxa"/>
            </w:tcMar>
            <w:vAlign w:val="center"/>
          </w:tcPr>
          <w:p>
            <w:pPr>
              <w:spacing w:after="0"/>
            </w:pPr>
            <w:r>
              <w:rPr>
                <w:rFonts w:ascii="Aptos" w:hAnsi="Aptos"/>
                <w:b/>
                <w:color w:val="FFFFFF"/>
                <w:sz w:val="18"/>
              </w:rPr>
              <w:t>Active contracts</w:t>
            </w:r>
          </w:p>
        </w:tc>
        <w:tc>
          <w:tcPr>
            <w:tcW w:type="dxa" w:w="1008"/>
            <w:shd w:fill="123B3A"/>
            <w:tcMar>
              <w:top w:w="90" w:type="dxa"/>
              <w:start w:w="120" w:type="dxa"/>
              <w:bottom w:w="90" w:type="dxa"/>
              <w:end w:w="120" w:type="dxa"/>
            </w:tcMar>
            <w:vAlign w:val="center"/>
          </w:tcPr>
          <w:p>
            <w:pPr>
              <w:spacing w:after="0"/>
            </w:pPr>
            <w:r>
              <w:rPr>
                <w:rFonts w:ascii="Aptos" w:hAnsi="Aptos"/>
                <w:b/>
                <w:color w:val="FFFFFF"/>
                <w:sz w:val="18"/>
              </w:rPr>
              <w:t>Storage</w:t>
            </w:r>
          </w:p>
        </w:tc>
        <w:tc>
          <w:tcPr>
            <w:tcW w:type="dxa" w:w="3528"/>
            <w:shd w:fill="123B3A"/>
            <w:tcMar>
              <w:top w:w="90" w:type="dxa"/>
              <w:start w:w="120" w:type="dxa"/>
              <w:bottom w:w="90" w:type="dxa"/>
              <w:end w:w="120" w:type="dxa"/>
            </w:tcMar>
            <w:vAlign w:val="center"/>
          </w:tcPr>
          <w:p>
            <w:pPr>
              <w:spacing w:after="0"/>
            </w:pPr>
            <w:r>
              <w:rPr>
                <w:rFonts w:ascii="Aptos" w:hAnsi="Aptos"/>
                <w:b/>
                <w:color w:val="FFFFFF"/>
                <w:sz w:val="18"/>
              </w:rPr>
              <w:t>Best suited for</w:t>
            </w:r>
          </w:p>
        </w:tc>
      </w:tr>
      <w:tr>
        <w:tc>
          <w:tcPr>
            <w:tcW w:type="dxa" w:w="1512"/>
            <w:tcMar>
              <w:top w:w="90" w:type="dxa"/>
              <w:start w:w="120" w:type="dxa"/>
              <w:bottom w:w="90" w:type="dxa"/>
              <w:end w:w="120" w:type="dxa"/>
            </w:tcMar>
            <w:vAlign w:val="center"/>
          </w:tcPr>
          <w:p>
            <w:pPr>
              <w:spacing w:after="0"/>
            </w:pPr>
            <w:r>
              <w:rPr>
                <w:rFonts w:ascii="Aptos" w:hAnsi="Aptos"/>
                <w:color w:val="253331"/>
                <w:sz w:val="18"/>
              </w:rPr>
              <w:t>Essential</w:t>
            </w:r>
          </w:p>
        </w:tc>
        <w:tc>
          <w:tcPr>
            <w:tcW w:type="dxa" w:w="1440"/>
            <w:tcMar>
              <w:top w:w="90" w:type="dxa"/>
              <w:start w:w="120" w:type="dxa"/>
              <w:bottom w:w="90" w:type="dxa"/>
              <w:end w:w="120" w:type="dxa"/>
            </w:tcMar>
            <w:vAlign w:val="center"/>
          </w:tcPr>
          <w:p>
            <w:pPr>
              <w:spacing w:after="0"/>
              <w:jc w:val="right"/>
            </w:pPr>
            <w:r>
              <w:rPr>
                <w:rFonts w:ascii="Aptos" w:hAnsi="Aptos"/>
                <w:color w:val="253331"/>
                <w:sz w:val="18"/>
              </w:rPr>
              <w:t>N$3,500</w:t>
            </w:r>
          </w:p>
        </w:tc>
        <w:tc>
          <w:tcPr>
            <w:tcW w:type="dxa" w:w="792"/>
            <w:tcMar>
              <w:top w:w="90" w:type="dxa"/>
              <w:start w:w="120" w:type="dxa"/>
              <w:bottom w:w="90" w:type="dxa"/>
              <w:end w:w="120" w:type="dxa"/>
            </w:tcMar>
            <w:vAlign w:val="center"/>
          </w:tcPr>
          <w:p>
            <w:pPr>
              <w:spacing w:after="0"/>
              <w:jc w:val="center"/>
            </w:pPr>
            <w:r>
              <w:rPr>
                <w:rFonts w:ascii="Aptos" w:hAnsi="Aptos"/>
                <w:color w:val="253331"/>
                <w:sz w:val="18"/>
              </w:rPr>
              <w:t>5</w:t>
            </w:r>
          </w:p>
        </w:tc>
        <w:tc>
          <w:tcPr>
            <w:tcW w:type="dxa" w:w="1512"/>
            <w:tcMar>
              <w:top w:w="90" w:type="dxa"/>
              <w:start w:w="120" w:type="dxa"/>
              <w:bottom w:w="90" w:type="dxa"/>
              <w:end w:w="120" w:type="dxa"/>
            </w:tcMar>
            <w:vAlign w:val="center"/>
          </w:tcPr>
          <w:p>
            <w:pPr>
              <w:spacing w:after="0"/>
              <w:jc w:val="center"/>
            </w:pPr>
            <w:r>
              <w:rPr>
                <w:rFonts w:ascii="Aptos" w:hAnsi="Aptos"/>
                <w:color w:val="253331"/>
                <w:sz w:val="18"/>
              </w:rPr>
              <w:t>100</w:t>
            </w:r>
          </w:p>
        </w:tc>
        <w:tc>
          <w:tcPr>
            <w:tcW w:type="dxa" w:w="1008"/>
            <w:tcMar>
              <w:top w:w="90" w:type="dxa"/>
              <w:start w:w="120" w:type="dxa"/>
              <w:bottom w:w="90" w:type="dxa"/>
              <w:end w:w="120" w:type="dxa"/>
            </w:tcMar>
            <w:vAlign w:val="center"/>
          </w:tcPr>
          <w:p>
            <w:pPr>
              <w:spacing w:after="0"/>
              <w:jc w:val="center"/>
            </w:pPr>
            <w:r>
              <w:rPr>
                <w:rFonts w:ascii="Aptos" w:hAnsi="Aptos"/>
                <w:color w:val="253331"/>
                <w:sz w:val="18"/>
              </w:rPr>
              <w:t>5 GB</w:t>
            </w:r>
          </w:p>
        </w:tc>
        <w:tc>
          <w:tcPr>
            <w:tcW w:type="dxa" w:w="3528"/>
            <w:tcMar>
              <w:top w:w="90" w:type="dxa"/>
              <w:start w:w="120" w:type="dxa"/>
              <w:bottom w:w="90" w:type="dxa"/>
              <w:end w:w="120" w:type="dxa"/>
            </w:tcMar>
            <w:vAlign w:val="center"/>
          </w:tcPr>
          <w:p>
            <w:pPr>
              <w:spacing w:after="0"/>
            </w:pPr>
            <w:r>
              <w:rPr>
                <w:rFonts w:ascii="Aptos" w:hAnsi="Aptos"/>
                <w:color w:val="253331"/>
                <w:sz w:val="18"/>
              </w:rPr>
              <w:t>Small businesses</w:t>
            </w:r>
          </w:p>
        </w:tc>
      </w:tr>
      <w:tr>
        <w:tc>
          <w:tcPr>
            <w:tcW w:type="dxa" w:w="1512"/>
            <w:tcMar>
              <w:top w:w="90" w:type="dxa"/>
              <w:start w:w="120" w:type="dxa"/>
              <w:bottom w:w="90" w:type="dxa"/>
              <w:end w:w="120" w:type="dxa"/>
            </w:tcMar>
            <w:vAlign w:val="center"/>
            <w:shd w:fill="F5F7F7"/>
          </w:tcPr>
          <w:p>
            <w:pPr>
              <w:spacing w:after="0"/>
            </w:pPr>
            <w:r>
              <w:rPr>
                <w:rFonts w:ascii="Aptos" w:hAnsi="Aptos"/>
                <w:color w:val="253331"/>
                <w:sz w:val="18"/>
              </w:rPr>
              <w:t>Professional</w:t>
            </w:r>
          </w:p>
        </w:tc>
        <w:tc>
          <w:tcPr>
            <w:tcW w:type="dxa" w:w="1440"/>
            <w:tcMar>
              <w:top w:w="90" w:type="dxa"/>
              <w:start w:w="120" w:type="dxa"/>
              <w:bottom w:w="90" w:type="dxa"/>
              <w:end w:w="120" w:type="dxa"/>
            </w:tcMar>
            <w:vAlign w:val="center"/>
            <w:shd w:fill="F5F7F7"/>
          </w:tcPr>
          <w:p>
            <w:pPr>
              <w:spacing w:after="0"/>
              <w:jc w:val="right"/>
            </w:pPr>
            <w:r>
              <w:rPr>
                <w:rFonts w:ascii="Aptos" w:hAnsi="Aptos"/>
                <w:color w:val="253331"/>
                <w:sz w:val="18"/>
              </w:rPr>
              <w:t>N$6,900</w:t>
            </w:r>
          </w:p>
        </w:tc>
        <w:tc>
          <w:tcPr>
            <w:tcW w:type="dxa" w:w="792"/>
            <w:tcMar>
              <w:top w:w="90" w:type="dxa"/>
              <w:start w:w="120" w:type="dxa"/>
              <w:bottom w:w="90" w:type="dxa"/>
              <w:end w:w="120" w:type="dxa"/>
            </w:tcMar>
            <w:vAlign w:val="center"/>
            <w:shd w:fill="F5F7F7"/>
          </w:tcPr>
          <w:p>
            <w:pPr>
              <w:spacing w:after="0"/>
              <w:jc w:val="center"/>
            </w:pPr>
            <w:r>
              <w:rPr>
                <w:rFonts w:ascii="Aptos" w:hAnsi="Aptos"/>
                <w:color w:val="253331"/>
                <w:sz w:val="18"/>
              </w:rPr>
              <w:t>20</w:t>
            </w:r>
          </w:p>
        </w:tc>
        <w:tc>
          <w:tcPr>
            <w:tcW w:type="dxa" w:w="1512"/>
            <w:tcMar>
              <w:top w:w="90" w:type="dxa"/>
              <w:start w:w="120" w:type="dxa"/>
              <w:bottom w:w="90" w:type="dxa"/>
              <w:end w:w="120" w:type="dxa"/>
            </w:tcMar>
            <w:vAlign w:val="center"/>
            <w:shd w:fill="F5F7F7"/>
          </w:tcPr>
          <w:p>
            <w:pPr>
              <w:spacing w:after="0"/>
              <w:jc w:val="center"/>
            </w:pPr>
            <w:r>
              <w:rPr>
                <w:rFonts w:ascii="Aptos" w:hAnsi="Aptos"/>
                <w:color w:val="253331"/>
                <w:sz w:val="18"/>
              </w:rPr>
              <w:t>500</w:t>
            </w:r>
          </w:p>
        </w:tc>
        <w:tc>
          <w:tcPr>
            <w:tcW w:type="dxa" w:w="1008"/>
            <w:tcMar>
              <w:top w:w="90" w:type="dxa"/>
              <w:start w:w="120" w:type="dxa"/>
              <w:bottom w:w="90" w:type="dxa"/>
              <w:end w:w="120" w:type="dxa"/>
            </w:tcMar>
            <w:vAlign w:val="center"/>
            <w:shd w:fill="F5F7F7"/>
          </w:tcPr>
          <w:p>
            <w:pPr>
              <w:spacing w:after="0"/>
              <w:jc w:val="center"/>
            </w:pPr>
            <w:r>
              <w:rPr>
                <w:rFonts w:ascii="Aptos" w:hAnsi="Aptos"/>
                <w:color w:val="253331"/>
                <w:sz w:val="18"/>
              </w:rPr>
              <w:t>25 GB</w:t>
            </w:r>
          </w:p>
        </w:tc>
        <w:tc>
          <w:tcPr>
            <w:tcW w:type="dxa" w:w="3528"/>
            <w:tcMar>
              <w:top w:w="90" w:type="dxa"/>
              <w:start w:w="120" w:type="dxa"/>
              <w:bottom w:w="90" w:type="dxa"/>
              <w:end w:w="120" w:type="dxa"/>
            </w:tcMar>
            <w:vAlign w:val="center"/>
            <w:shd w:fill="F5F7F7"/>
          </w:tcPr>
          <w:p>
            <w:pPr>
              <w:spacing w:after="0"/>
            </w:pPr>
            <w:r>
              <w:rPr>
                <w:rFonts w:ascii="Aptos" w:hAnsi="Aptos"/>
                <w:color w:val="253331"/>
                <w:sz w:val="18"/>
              </w:rPr>
              <w:t>Growing teams</w:t>
            </w:r>
          </w:p>
        </w:tc>
      </w:tr>
      <w:tr>
        <w:tc>
          <w:tcPr>
            <w:tcW w:type="dxa" w:w="1512"/>
            <w:tcMar>
              <w:top w:w="90" w:type="dxa"/>
              <w:start w:w="120" w:type="dxa"/>
              <w:bottom w:w="90" w:type="dxa"/>
              <w:end w:w="120" w:type="dxa"/>
            </w:tcMar>
            <w:vAlign w:val="center"/>
          </w:tcPr>
          <w:p>
            <w:pPr>
              <w:spacing w:after="0"/>
            </w:pPr>
            <w:r>
              <w:rPr>
                <w:rFonts w:ascii="Aptos" w:hAnsi="Aptos"/>
                <w:color w:val="253331"/>
                <w:sz w:val="18"/>
              </w:rPr>
              <w:t>Business</w:t>
            </w:r>
          </w:p>
        </w:tc>
        <w:tc>
          <w:tcPr>
            <w:tcW w:type="dxa" w:w="1440"/>
            <w:tcMar>
              <w:top w:w="90" w:type="dxa"/>
              <w:start w:w="120" w:type="dxa"/>
              <w:bottom w:w="90" w:type="dxa"/>
              <w:end w:w="120" w:type="dxa"/>
            </w:tcMar>
            <w:vAlign w:val="center"/>
          </w:tcPr>
          <w:p>
            <w:pPr>
              <w:spacing w:after="0"/>
              <w:jc w:val="right"/>
            </w:pPr>
            <w:r>
              <w:rPr>
                <w:rFonts w:ascii="Aptos" w:hAnsi="Aptos"/>
                <w:color w:val="253331"/>
                <w:sz w:val="18"/>
              </w:rPr>
              <w:t>N$12,500</w:t>
            </w:r>
          </w:p>
        </w:tc>
        <w:tc>
          <w:tcPr>
            <w:tcW w:type="dxa" w:w="792"/>
            <w:tcMar>
              <w:top w:w="90" w:type="dxa"/>
              <w:start w:w="120" w:type="dxa"/>
              <w:bottom w:w="90" w:type="dxa"/>
              <w:end w:w="120" w:type="dxa"/>
            </w:tcMar>
            <w:vAlign w:val="center"/>
          </w:tcPr>
          <w:p>
            <w:pPr>
              <w:spacing w:after="0"/>
              <w:jc w:val="center"/>
            </w:pPr>
            <w:r>
              <w:rPr>
                <w:rFonts w:ascii="Aptos" w:hAnsi="Aptos"/>
                <w:color w:val="253331"/>
                <w:sz w:val="18"/>
              </w:rPr>
              <w:t>50</w:t>
            </w:r>
          </w:p>
        </w:tc>
        <w:tc>
          <w:tcPr>
            <w:tcW w:type="dxa" w:w="1512"/>
            <w:tcMar>
              <w:top w:w="90" w:type="dxa"/>
              <w:start w:w="120" w:type="dxa"/>
              <w:bottom w:w="90" w:type="dxa"/>
              <w:end w:w="120" w:type="dxa"/>
            </w:tcMar>
            <w:vAlign w:val="center"/>
          </w:tcPr>
          <w:p>
            <w:pPr>
              <w:spacing w:after="0"/>
              <w:jc w:val="center"/>
            </w:pPr>
            <w:r>
              <w:rPr>
                <w:rFonts w:ascii="Aptos" w:hAnsi="Aptos"/>
                <w:color w:val="253331"/>
                <w:sz w:val="18"/>
              </w:rPr>
              <w:t>2,000</w:t>
            </w:r>
          </w:p>
        </w:tc>
        <w:tc>
          <w:tcPr>
            <w:tcW w:type="dxa" w:w="1008"/>
            <w:tcMar>
              <w:top w:w="90" w:type="dxa"/>
              <w:start w:w="120" w:type="dxa"/>
              <w:bottom w:w="90" w:type="dxa"/>
              <w:end w:w="120" w:type="dxa"/>
            </w:tcMar>
            <w:vAlign w:val="center"/>
          </w:tcPr>
          <w:p>
            <w:pPr>
              <w:spacing w:after="0"/>
              <w:jc w:val="center"/>
            </w:pPr>
            <w:r>
              <w:rPr>
                <w:rFonts w:ascii="Aptos" w:hAnsi="Aptos"/>
                <w:color w:val="253331"/>
                <w:sz w:val="18"/>
              </w:rPr>
              <w:t>100 GB</w:t>
            </w:r>
          </w:p>
        </w:tc>
        <w:tc>
          <w:tcPr>
            <w:tcW w:type="dxa" w:w="3528"/>
            <w:tcMar>
              <w:top w:w="90" w:type="dxa"/>
              <w:start w:w="120" w:type="dxa"/>
              <w:bottom w:w="90" w:type="dxa"/>
              <w:end w:w="120" w:type="dxa"/>
            </w:tcMar>
            <w:vAlign w:val="center"/>
          </w:tcPr>
          <w:p>
            <w:pPr>
              <w:spacing w:after="0"/>
            </w:pPr>
            <w:r>
              <w:rPr>
                <w:rFonts w:ascii="Aptos" w:hAnsi="Aptos"/>
                <w:color w:val="253331"/>
                <w:sz w:val="18"/>
              </w:rPr>
              <w:t>Larger organisations</w:t>
            </w:r>
          </w:p>
        </w:tc>
      </w:tr>
      <w:tr>
        <w:tc>
          <w:tcPr>
            <w:tcW w:type="dxa" w:w="1512"/>
            <w:tcMar>
              <w:top w:w="90" w:type="dxa"/>
              <w:start w:w="120" w:type="dxa"/>
              <w:bottom w:w="90" w:type="dxa"/>
              <w:end w:w="120" w:type="dxa"/>
            </w:tcMar>
            <w:vAlign w:val="center"/>
            <w:shd w:fill="F5F7F7"/>
          </w:tcPr>
          <w:p>
            <w:pPr>
              <w:spacing w:after="0"/>
            </w:pPr>
            <w:r>
              <w:rPr>
                <w:rFonts w:ascii="Aptos" w:hAnsi="Aptos"/>
                <w:color w:val="253331"/>
                <w:sz w:val="18"/>
              </w:rPr>
              <w:t>Enterprise</w:t>
            </w:r>
          </w:p>
        </w:tc>
        <w:tc>
          <w:tcPr>
            <w:tcW w:type="dxa" w:w="1440"/>
            <w:tcMar>
              <w:top w:w="90" w:type="dxa"/>
              <w:start w:w="120" w:type="dxa"/>
              <w:bottom w:w="90" w:type="dxa"/>
              <w:end w:w="120" w:type="dxa"/>
            </w:tcMar>
            <w:vAlign w:val="center"/>
            <w:shd w:fill="F5F7F7"/>
          </w:tcPr>
          <w:p>
            <w:pPr>
              <w:spacing w:after="0"/>
              <w:jc w:val="right"/>
            </w:pPr>
            <w:r>
              <w:rPr>
                <w:rFonts w:ascii="Aptos" w:hAnsi="Aptos"/>
                <w:color w:val="253331"/>
                <w:sz w:val="18"/>
              </w:rPr>
              <w:t>From N$22,000</w:t>
            </w:r>
          </w:p>
        </w:tc>
        <w:tc>
          <w:tcPr>
            <w:tcW w:type="dxa" w:w="792"/>
            <w:tcMar>
              <w:top w:w="90" w:type="dxa"/>
              <w:start w:w="120" w:type="dxa"/>
              <w:bottom w:w="90" w:type="dxa"/>
              <w:end w:w="120" w:type="dxa"/>
            </w:tcMar>
            <w:vAlign w:val="center"/>
            <w:shd w:fill="F5F7F7"/>
          </w:tcPr>
          <w:p>
            <w:pPr>
              <w:spacing w:after="0"/>
              <w:jc w:val="center"/>
            </w:pPr>
            <w:r>
              <w:rPr>
                <w:rFonts w:ascii="Aptos" w:hAnsi="Aptos"/>
                <w:color w:val="253331"/>
                <w:sz w:val="18"/>
              </w:rPr>
              <w:t>Custom</w:t>
            </w:r>
          </w:p>
        </w:tc>
        <w:tc>
          <w:tcPr>
            <w:tcW w:type="dxa" w:w="1512"/>
            <w:tcMar>
              <w:top w:w="90" w:type="dxa"/>
              <w:start w:w="120" w:type="dxa"/>
              <w:bottom w:w="90" w:type="dxa"/>
              <w:end w:w="120" w:type="dxa"/>
            </w:tcMar>
            <w:vAlign w:val="center"/>
            <w:shd w:fill="F5F7F7"/>
          </w:tcPr>
          <w:p>
            <w:pPr>
              <w:spacing w:after="0"/>
              <w:jc w:val="center"/>
            </w:pPr>
            <w:r>
              <w:rPr>
                <w:rFonts w:ascii="Aptos" w:hAnsi="Aptos"/>
                <w:color w:val="253331"/>
                <w:sz w:val="18"/>
              </w:rPr>
              <w:t>Custom</w:t>
            </w:r>
          </w:p>
        </w:tc>
        <w:tc>
          <w:tcPr>
            <w:tcW w:type="dxa" w:w="1008"/>
            <w:tcMar>
              <w:top w:w="90" w:type="dxa"/>
              <w:start w:w="120" w:type="dxa"/>
              <w:bottom w:w="90" w:type="dxa"/>
              <w:end w:w="120" w:type="dxa"/>
            </w:tcMar>
            <w:vAlign w:val="center"/>
            <w:shd w:fill="F5F7F7"/>
          </w:tcPr>
          <w:p>
            <w:pPr>
              <w:spacing w:after="0"/>
              <w:jc w:val="center"/>
            </w:pPr>
            <w:r>
              <w:rPr>
                <w:rFonts w:ascii="Aptos" w:hAnsi="Aptos"/>
                <w:color w:val="253331"/>
                <w:sz w:val="18"/>
              </w:rPr>
              <w:t>Custom</w:t>
            </w:r>
          </w:p>
        </w:tc>
        <w:tc>
          <w:tcPr>
            <w:tcW w:type="dxa" w:w="3528"/>
            <w:tcMar>
              <w:top w:w="90" w:type="dxa"/>
              <w:start w:w="120" w:type="dxa"/>
              <w:bottom w:w="90" w:type="dxa"/>
              <w:end w:w="120" w:type="dxa"/>
            </w:tcMar>
            <w:vAlign w:val="center"/>
            <w:shd w:fill="F5F7F7"/>
          </w:tcPr>
          <w:p>
            <w:pPr>
              <w:spacing w:after="0"/>
            </w:pPr>
            <w:r>
              <w:rPr>
                <w:rFonts w:ascii="Aptos" w:hAnsi="Aptos"/>
                <w:color w:val="253331"/>
                <w:sz w:val="18"/>
              </w:rPr>
              <w:t>Regulated or complex organisations</w:t>
            </w:r>
          </w:p>
        </w:tc>
      </w:tr>
    </w:tbl>
    <w:p>
      <w:pPr>
        <w:spacing w:after="40"/>
      </w:pPr>
    </w:p>
    <w:p>
      <w:pPr>
        <w:pStyle w:val="Heading2"/>
      </w:pPr>
      <w:r>
        <w:t>Included in all plans</w:t>
      </w:r>
    </w:p>
    <w:p>
      <w:pPr>
        <w:pStyle w:val="ListBullet"/>
      </w:pPr>
      <w:r>
        <w:t>Company and contact management; contract records and lifecycle tracking</w:t>
      </w:r>
    </w:p>
    <w:p>
      <w:pPr>
        <w:pStyle w:val="ListBullet"/>
      </w:pPr>
      <w:r>
        <w:t>Interaction history, follow-ups and renewal reminders</w:t>
      </w:r>
    </w:p>
    <w:p>
      <w:pPr>
        <w:pStyle w:val="ListBullet"/>
      </w:pPr>
      <w:r>
        <w:t>Dashboard, reports, search, filters and exports</w:t>
      </w:r>
    </w:p>
    <w:p>
      <w:pPr>
        <w:pStyle w:val="ListBullet"/>
      </w:pPr>
      <w:r>
        <w:t>Authentication, user profiles and document management</w:t>
      </w:r>
    </w:p>
    <w:p>
      <w:pPr>
        <w:pStyle w:val="ListBullet"/>
      </w:pPr>
      <w:r>
        <w:t>Standard customer support</w:t>
      </w:r>
    </w:p>
    <w:p>
      <w:pPr>
        <w:pStyle w:val="Heading2"/>
      </w:pPr>
      <w:r>
        <w:t>Plan differentiation</w:t>
      </w:r>
    </w:p>
    <w:p>
      <w:r>
        <w:t>Professional and higher plans may include advanced roles, private documents, audit history, saved views, enhanced reporting, priority support and additional training. Enterprise pricing should cover dedicated hosting, customised security controls, service-level commitments and bespoke development.</w:t>
      </w:r>
    </w:p>
    <w:p>
      <w:pPr>
        <w:pStyle w:val="Heading1"/>
      </w:pPr>
      <w:r>
        <w:t>3. Once-off implementation fees</w:t>
      </w:r>
    </w:p>
    <w:tbl>
      <w:tblPr>
        <w:tblW w:type="dxa" w:w="9792"/>
        <w:jc w:val="left"/>
        <w:tblLayout w:type="fixed"/>
        <w:tblLook w:firstColumn="1" w:firstRow="1" w:lastColumn="0" w:lastRow="0" w:noHBand="0" w:noVBand="1" w:val="04A0"/>
        <w:tblBorders>
          <w:top w:val="single" w:sz="6" w:color="CDD9D7"/>
          <w:left w:val="single" w:sz="6" w:color="CDD9D7"/>
          <w:bottom w:val="single" w:sz="6" w:color="CDD9D7"/>
          <w:right w:val="single" w:sz="6" w:color="CDD9D7"/>
          <w:insideH w:val="single" w:sz="6" w:color="CDD9D7"/>
          <w:insideV w:val="single" w:sz="6" w:color="CDD9D7"/>
        </w:tblBorders>
      </w:tblPr>
      <w:tblGrid>
        <w:gridCol w:w="4896"/>
        <w:gridCol w:w="4896"/>
      </w:tblGrid>
      <w:tr>
        <w:trPr>
          <w:tblHeader w:val="true"/>
        </w:trPr>
        <w:tc>
          <w:tcPr>
            <w:tcW w:type="dxa" w:w="4896"/>
            <w:shd w:fill="123B3A"/>
            <w:tcMar>
              <w:top w:w="90" w:type="dxa"/>
              <w:start w:w="120" w:type="dxa"/>
              <w:bottom w:w="90" w:type="dxa"/>
              <w:end w:w="120" w:type="dxa"/>
            </w:tcMar>
            <w:vAlign w:val="center"/>
          </w:tcPr>
          <w:p>
            <w:pPr>
              <w:spacing w:after="0"/>
            </w:pPr>
            <w:r>
              <w:rPr>
                <w:rFonts w:ascii="Aptos" w:hAnsi="Aptos"/>
                <w:b/>
                <w:color w:val="FFFFFF"/>
                <w:sz w:val="18"/>
              </w:rPr>
              <w:t>Plan</w:t>
            </w:r>
          </w:p>
        </w:tc>
        <w:tc>
          <w:tcPr>
            <w:tcW w:type="dxa" w:w="4896"/>
            <w:shd w:fill="123B3A"/>
            <w:tcMar>
              <w:top w:w="90" w:type="dxa"/>
              <w:start w:w="120" w:type="dxa"/>
              <w:bottom w:w="90" w:type="dxa"/>
              <w:end w:w="120" w:type="dxa"/>
            </w:tcMar>
            <w:vAlign w:val="center"/>
          </w:tcPr>
          <w:p>
            <w:pPr>
              <w:spacing w:after="0"/>
            </w:pPr>
            <w:r>
              <w:rPr>
                <w:rFonts w:ascii="Aptos" w:hAnsi="Aptos"/>
                <w:b/>
                <w:color w:val="FFFFFF"/>
                <w:sz w:val="18"/>
              </w:rPr>
              <w:t>Implementation fee</w:t>
            </w:r>
          </w:p>
        </w:tc>
      </w:tr>
      <w:tr>
        <w:tc>
          <w:tcPr>
            <w:tcW w:type="dxa" w:w="4896"/>
            <w:tcMar>
              <w:top w:w="90" w:type="dxa"/>
              <w:start w:w="120" w:type="dxa"/>
              <w:bottom w:w="90" w:type="dxa"/>
              <w:end w:w="120" w:type="dxa"/>
            </w:tcMar>
            <w:vAlign w:val="center"/>
          </w:tcPr>
          <w:p>
            <w:pPr>
              <w:spacing w:after="0"/>
            </w:pPr>
            <w:r>
              <w:rPr>
                <w:rFonts w:ascii="Aptos" w:hAnsi="Aptos"/>
                <w:color w:val="253331"/>
                <w:sz w:val="18"/>
              </w:rPr>
              <w:t>Essential</w:t>
            </w:r>
          </w:p>
        </w:tc>
        <w:tc>
          <w:tcPr>
            <w:tcW w:type="dxa" w:w="4896"/>
            <w:tcMar>
              <w:top w:w="90" w:type="dxa"/>
              <w:start w:w="120" w:type="dxa"/>
              <w:bottom w:w="90" w:type="dxa"/>
              <w:end w:w="120" w:type="dxa"/>
            </w:tcMar>
            <w:vAlign w:val="center"/>
          </w:tcPr>
          <w:p>
            <w:pPr>
              <w:spacing w:after="0"/>
              <w:jc w:val="right"/>
            </w:pPr>
            <w:r>
              <w:rPr>
                <w:rFonts w:ascii="Aptos" w:hAnsi="Aptos"/>
                <w:color w:val="253331"/>
                <w:sz w:val="18"/>
              </w:rPr>
              <w:t>N$12,000</w:t>
            </w:r>
          </w:p>
        </w:tc>
      </w:tr>
      <w:tr>
        <w:tc>
          <w:tcPr>
            <w:tcW w:type="dxa" w:w="4896"/>
            <w:tcMar>
              <w:top w:w="90" w:type="dxa"/>
              <w:start w:w="120" w:type="dxa"/>
              <w:bottom w:w="90" w:type="dxa"/>
              <w:end w:w="120" w:type="dxa"/>
            </w:tcMar>
            <w:vAlign w:val="center"/>
            <w:shd w:fill="F5F7F7"/>
          </w:tcPr>
          <w:p>
            <w:pPr>
              <w:spacing w:after="0"/>
            </w:pPr>
            <w:r>
              <w:rPr>
                <w:rFonts w:ascii="Aptos" w:hAnsi="Aptos"/>
                <w:color w:val="253331"/>
                <w:sz w:val="18"/>
              </w:rPr>
              <w:t>Professional</w:t>
            </w:r>
          </w:p>
        </w:tc>
        <w:tc>
          <w:tcPr>
            <w:tcW w:type="dxa" w:w="4896"/>
            <w:tcMar>
              <w:top w:w="90" w:type="dxa"/>
              <w:start w:w="120" w:type="dxa"/>
              <w:bottom w:w="90" w:type="dxa"/>
              <w:end w:w="120" w:type="dxa"/>
            </w:tcMar>
            <w:vAlign w:val="center"/>
            <w:shd w:fill="F5F7F7"/>
          </w:tcPr>
          <w:p>
            <w:pPr>
              <w:spacing w:after="0"/>
              <w:jc w:val="right"/>
            </w:pPr>
            <w:r>
              <w:rPr>
                <w:rFonts w:ascii="Aptos" w:hAnsi="Aptos"/>
                <w:color w:val="253331"/>
                <w:sz w:val="18"/>
              </w:rPr>
              <w:t>N$25,000</w:t>
            </w:r>
          </w:p>
        </w:tc>
      </w:tr>
      <w:tr>
        <w:tc>
          <w:tcPr>
            <w:tcW w:type="dxa" w:w="4896"/>
            <w:tcMar>
              <w:top w:w="90" w:type="dxa"/>
              <w:start w:w="120" w:type="dxa"/>
              <w:bottom w:w="90" w:type="dxa"/>
              <w:end w:w="120" w:type="dxa"/>
            </w:tcMar>
            <w:vAlign w:val="center"/>
          </w:tcPr>
          <w:p>
            <w:pPr>
              <w:spacing w:after="0"/>
            </w:pPr>
            <w:r>
              <w:rPr>
                <w:rFonts w:ascii="Aptos" w:hAnsi="Aptos"/>
                <w:color w:val="253331"/>
                <w:sz w:val="18"/>
              </w:rPr>
              <w:t>Business</w:t>
            </w:r>
          </w:p>
        </w:tc>
        <w:tc>
          <w:tcPr>
            <w:tcW w:type="dxa" w:w="4896"/>
            <w:tcMar>
              <w:top w:w="90" w:type="dxa"/>
              <w:start w:w="120" w:type="dxa"/>
              <w:bottom w:w="90" w:type="dxa"/>
              <w:end w:w="120" w:type="dxa"/>
            </w:tcMar>
            <w:vAlign w:val="center"/>
          </w:tcPr>
          <w:p>
            <w:pPr>
              <w:spacing w:after="0"/>
              <w:jc w:val="right"/>
            </w:pPr>
            <w:r>
              <w:rPr>
                <w:rFonts w:ascii="Aptos" w:hAnsi="Aptos"/>
                <w:color w:val="253331"/>
                <w:sz w:val="18"/>
              </w:rPr>
              <w:t>N$55,000</w:t>
            </w:r>
          </w:p>
        </w:tc>
      </w:tr>
      <w:tr>
        <w:tc>
          <w:tcPr>
            <w:tcW w:type="dxa" w:w="4896"/>
            <w:tcMar>
              <w:top w:w="90" w:type="dxa"/>
              <w:start w:w="120" w:type="dxa"/>
              <w:bottom w:w="90" w:type="dxa"/>
              <w:end w:w="120" w:type="dxa"/>
            </w:tcMar>
            <w:vAlign w:val="center"/>
            <w:shd w:fill="F5F7F7"/>
          </w:tcPr>
          <w:p>
            <w:pPr>
              <w:spacing w:after="0"/>
            </w:pPr>
            <w:r>
              <w:rPr>
                <w:rFonts w:ascii="Aptos" w:hAnsi="Aptos"/>
                <w:color w:val="253331"/>
                <w:sz w:val="18"/>
              </w:rPr>
              <w:t>Enterprise</w:t>
            </w:r>
          </w:p>
        </w:tc>
        <w:tc>
          <w:tcPr>
            <w:tcW w:type="dxa" w:w="4896"/>
            <w:tcMar>
              <w:top w:w="90" w:type="dxa"/>
              <w:start w:w="120" w:type="dxa"/>
              <w:bottom w:w="90" w:type="dxa"/>
              <w:end w:w="120" w:type="dxa"/>
            </w:tcMar>
            <w:vAlign w:val="center"/>
            <w:shd w:fill="F5F7F7"/>
          </w:tcPr>
          <w:p>
            <w:pPr>
              <w:spacing w:after="0"/>
              <w:jc w:val="right"/>
            </w:pPr>
            <w:r>
              <w:rPr>
                <w:rFonts w:ascii="Aptos" w:hAnsi="Aptos"/>
                <w:color w:val="253331"/>
                <w:sz w:val="18"/>
              </w:rPr>
              <w:t>From N$100,000</w:t>
            </w:r>
          </w:p>
        </w:tc>
      </w:tr>
    </w:tbl>
    <w:p>
      <w:pPr>
        <w:spacing w:after="40"/>
      </w:pPr>
    </w:p>
    <w:p>
      <w:r>
        <w:t>The implementation fee covers customer-environment setup, branding and configuration, roles, data-import templates, initial approved-data import, administrator training and go-live support.</w:t>
      </w:r>
    </w:p>
    <w:tbl>
      <w:tblPr>
        <w:tblW w:type="dxa" w:w="9792"/>
        <w:jc w:val="left"/>
        <w:tblLayout w:type="fixed"/>
        <w:tblLook w:firstColumn="1" w:firstRow="1" w:lastColumn="0" w:lastRow="0" w:noHBand="0" w:noVBand="1" w:val="04A0"/>
        <w:tblBorders>
          <w:top w:val="single" w:sz="8" w:color="D8E4E2"/>
          <w:left w:val="single" w:sz="8" w:color="D8E4E2"/>
          <w:bottom w:val="single" w:sz="8" w:color="D8E4E2"/>
          <w:right w:val="single" w:sz="8" w:color="D8E4E2"/>
          <w:insideH w:val="single" w:sz="8" w:color="D8E4E2"/>
          <w:insideV w:val="single" w:sz="8" w:color="D8E4E2"/>
        </w:tblBorders>
      </w:tblPr>
      <w:tblGrid>
        <w:gridCol w:w="9792"/>
      </w:tblGrid>
      <w:tr>
        <w:tc>
          <w:tcPr>
            <w:tcW w:type="dxa" w:w="9792"/>
            <w:shd w:fill="EEF5F4"/>
            <w:tcMar>
              <w:top w:w="150" w:type="dxa"/>
              <w:start w:w="180" w:type="dxa"/>
              <w:bottom w:w="150" w:type="dxa"/>
              <w:end w:w="180" w:type="dxa"/>
            </w:tcMar>
          </w:tcPr>
          <w:p>
            <w:pPr>
              <w:spacing w:after="0"/>
            </w:pPr>
            <w:r>
              <w:rPr>
                <w:b/>
                <w:color w:val="1D6B66"/>
              </w:rPr>
              <w:t xml:space="preserve">Scope control: </w:t>
            </w:r>
            <w:r>
              <w:rPr>
                <w:color w:val="253331"/>
              </w:rPr>
              <w:t>Significant data cleaning, custom reports, integrations and workflow changes should be quoted separately.</w:t>
            </w:r>
          </w:p>
        </w:tc>
      </w:tr>
    </w:tbl>
    <w:p>
      <w:pPr>
        <w:spacing w:after="0"/>
      </w:pPr>
    </w:p>
    <w:p>
      <w:pPr>
        <w:pStyle w:val="Heading1"/>
      </w:pPr>
      <w:r>
        <w:t>4. Optional services</w:t>
      </w:r>
    </w:p>
    <w:tbl>
      <w:tblPr>
        <w:tblW w:type="dxa" w:w="9792"/>
        <w:jc w:val="left"/>
        <w:tblLayout w:type="fixed"/>
        <w:tblLook w:firstColumn="1" w:firstRow="1" w:lastColumn="0" w:lastRow="0" w:noHBand="0" w:noVBand="1" w:val="04A0"/>
        <w:tblBorders>
          <w:top w:val="single" w:sz="6" w:color="CDD9D7"/>
          <w:left w:val="single" w:sz="6" w:color="CDD9D7"/>
          <w:bottom w:val="single" w:sz="6" w:color="CDD9D7"/>
          <w:right w:val="single" w:sz="6" w:color="CDD9D7"/>
          <w:insideH w:val="single" w:sz="6" w:color="CDD9D7"/>
          <w:insideV w:val="single" w:sz="6" w:color="CDD9D7"/>
        </w:tblBorders>
      </w:tblPr>
      <w:tblGrid>
        <w:gridCol w:w="5328"/>
        <w:gridCol w:w="4464"/>
      </w:tblGrid>
      <w:tr>
        <w:trPr>
          <w:tblHeader w:val="true"/>
        </w:trPr>
        <w:tc>
          <w:tcPr>
            <w:tcW w:type="dxa" w:w="5328"/>
            <w:shd w:fill="123B3A"/>
            <w:tcMar>
              <w:top w:w="90" w:type="dxa"/>
              <w:start w:w="120" w:type="dxa"/>
              <w:bottom w:w="90" w:type="dxa"/>
              <w:end w:w="120" w:type="dxa"/>
            </w:tcMar>
            <w:vAlign w:val="center"/>
          </w:tcPr>
          <w:p>
            <w:pPr>
              <w:spacing w:after="0"/>
            </w:pPr>
            <w:r>
              <w:rPr>
                <w:rFonts w:ascii="Aptos" w:hAnsi="Aptos"/>
                <w:b/>
                <w:color w:val="FFFFFF"/>
                <w:sz w:val="18"/>
              </w:rPr>
              <w:t>Service</w:t>
            </w:r>
          </w:p>
        </w:tc>
        <w:tc>
          <w:tcPr>
            <w:tcW w:type="dxa" w:w="4464"/>
            <w:shd w:fill="123B3A"/>
            <w:tcMar>
              <w:top w:w="90" w:type="dxa"/>
              <w:start w:w="120" w:type="dxa"/>
              <w:bottom w:w="90" w:type="dxa"/>
              <w:end w:w="120" w:type="dxa"/>
            </w:tcMar>
            <w:vAlign w:val="center"/>
          </w:tcPr>
          <w:p>
            <w:pPr>
              <w:spacing w:after="0"/>
            </w:pPr>
            <w:r>
              <w:rPr>
                <w:rFonts w:ascii="Aptos" w:hAnsi="Aptos"/>
                <w:b/>
                <w:color w:val="FFFFFF"/>
                <w:sz w:val="18"/>
              </w:rPr>
              <w:t>Suggested charge</w:t>
            </w:r>
          </w:p>
        </w:tc>
      </w:tr>
      <w:tr>
        <w:tc>
          <w:tcPr>
            <w:tcW w:type="dxa" w:w="5328"/>
            <w:tcMar>
              <w:top w:w="90" w:type="dxa"/>
              <w:start w:w="120" w:type="dxa"/>
              <w:bottom w:w="90" w:type="dxa"/>
              <w:end w:w="120" w:type="dxa"/>
            </w:tcMar>
            <w:vAlign w:val="center"/>
          </w:tcPr>
          <w:p>
            <w:pPr>
              <w:spacing w:after="0"/>
            </w:pPr>
            <w:r>
              <w:rPr>
                <w:rFonts w:ascii="Aptos" w:hAnsi="Aptos"/>
                <w:color w:val="253331"/>
                <w:sz w:val="18"/>
              </w:rPr>
              <w:t>Additional 5-user block</w:t>
            </w:r>
          </w:p>
        </w:tc>
        <w:tc>
          <w:tcPr>
            <w:tcW w:type="dxa" w:w="4464"/>
            <w:tcMar>
              <w:top w:w="90" w:type="dxa"/>
              <w:start w:w="120" w:type="dxa"/>
              <w:bottom w:w="90" w:type="dxa"/>
              <w:end w:w="120" w:type="dxa"/>
            </w:tcMar>
            <w:vAlign w:val="center"/>
          </w:tcPr>
          <w:p>
            <w:pPr>
              <w:spacing w:after="0"/>
              <w:jc w:val="right"/>
            </w:pPr>
            <w:r>
              <w:rPr>
                <w:rFonts w:ascii="Aptos" w:hAnsi="Aptos"/>
                <w:color w:val="253331"/>
                <w:sz w:val="18"/>
              </w:rPr>
              <w:t>N$600/month</w:t>
            </w:r>
          </w:p>
        </w:tc>
      </w:tr>
      <w:tr>
        <w:tc>
          <w:tcPr>
            <w:tcW w:type="dxa" w:w="5328"/>
            <w:tcMar>
              <w:top w:w="90" w:type="dxa"/>
              <w:start w:w="120" w:type="dxa"/>
              <w:bottom w:w="90" w:type="dxa"/>
              <w:end w:w="120" w:type="dxa"/>
            </w:tcMar>
            <w:vAlign w:val="center"/>
            <w:shd w:fill="F5F7F7"/>
          </w:tcPr>
          <w:p>
            <w:pPr>
              <w:spacing w:after="0"/>
            </w:pPr>
            <w:r>
              <w:rPr>
                <w:rFonts w:ascii="Aptos" w:hAnsi="Aptos"/>
                <w:color w:val="253331"/>
                <w:sz w:val="18"/>
              </w:rPr>
              <w:t>Additional 10 GB storage</w:t>
            </w:r>
          </w:p>
        </w:tc>
        <w:tc>
          <w:tcPr>
            <w:tcW w:type="dxa" w:w="4464"/>
            <w:tcMar>
              <w:top w:w="90" w:type="dxa"/>
              <w:start w:w="120" w:type="dxa"/>
              <w:bottom w:w="90" w:type="dxa"/>
              <w:end w:w="120" w:type="dxa"/>
            </w:tcMar>
            <w:vAlign w:val="center"/>
            <w:shd w:fill="F5F7F7"/>
          </w:tcPr>
          <w:p>
            <w:pPr>
              <w:spacing w:after="0"/>
              <w:jc w:val="right"/>
            </w:pPr>
            <w:r>
              <w:rPr>
                <w:rFonts w:ascii="Aptos" w:hAnsi="Aptos"/>
                <w:color w:val="253331"/>
                <w:sz w:val="18"/>
              </w:rPr>
              <w:t>N$300/month</w:t>
            </w:r>
          </w:p>
        </w:tc>
      </w:tr>
      <w:tr>
        <w:tc>
          <w:tcPr>
            <w:tcW w:type="dxa" w:w="5328"/>
            <w:tcMar>
              <w:top w:w="90" w:type="dxa"/>
              <w:start w:w="120" w:type="dxa"/>
              <w:bottom w:w="90" w:type="dxa"/>
              <w:end w:w="120" w:type="dxa"/>
            </w:tcMar>
            <w:vAlign w:val="center"/>
          </w:tcPr>
          <w:p>
            <w:pPr>
              <w:spacing w:after="0"/>
            </w:pPr>
            <w:r>
              <w:rPr>
                <w:rFonts w:ascii="Aptos" w:hAnsi="Aptos"/>
                <w:color w:val="253331"/>
                <w:sz w:val="18"/>
              </w:rPr>
              <w:t>Additional training session</w:t>
            </w:r>
          </w:p>
        </w:tc>
        <w:tc>
          <w:tcPr>
            <w:tcW w:type="dxa" w:w="4464"/>
            <w:tcMar>
              <w:top w:w="90" w:type="dxa"/>
              <w:start w:w="120" w:type="dxa"/>
              <w:bottom w:w="90" w:type="dxa"/>
              <w:end w:w="120" w:type="dxa"/>
            </w:tcMar>
            <w:vAlign w:val="center"/>
          </w:tcPr>
          <w:p>
            <w:pPr>
              <w:spacing w:after="0"/>
              <w:jc w:val="right"/>
            </w:pPr>
            <w:r>
              <w:rPr>
                <w:rFonts w:ascii="Aptos" w:hAnsi="Aptos"/>
                <w:color w:val="253331"/>
                <w:sz w:val="18"/>
              </w:rPr>
              <w:t>N$2,500</w:t>
            </w:r>
          </w:p>
        </w:tc>
      </w:tr>
      <w:tr>
        <w:tc>
          <w:tcPr>
            <w:tcW w:type="dxa" w:w="5328"/>
            <w:tcMar>
              <w:top w:w="90" w:type="dxa"/>
              <w:start w:w="120" w:type="dxa"/>
              <w:bottom w:w="90" w:type="dxa"/>
              <w:end w:w="120" w:type="dxa"/>
            </w:tcMar>
            <w:vAlign w:val="center"/>
            <w:shd w:fill="F5F7F7"/>
          </w:tcPr>
          <w:p>
            <w:pPr>
              <w:spacing w:after="0"/>
            </w:pPr>
            <w:r>
              <w:rPr>
                <w:rFonts w:ascii="Aptos" w:hAnsi="Aptos"/>
                <w:color w:val="253331"/>
                <w:sz w:val="18"/>
              </w:rPr>
              <w:t>Data migration</w:t>
            </w:r>
          </w:p>
        </w:tc>
        <w:tc>
          <w:tcPr>
            <w:tcW w:type="dxa" w:w="4464"/>
            <w:tcMar>
              <w:top w:w="90" w:type="dxa"/>
              <w:start w:w="120" w:type="dxa"/>
              <w:bottom w:w="90" w:type="dxa"/>
              <w:end w:w="120" w:type="dxa"/>
            </w:tcMar>
            <w:vAlign w:val="center"/>
            <w:shd w:fill="F5F7F7"/>
          </w:tcPr>
          <w:p>
            <w:pPr>
              <w:spacing w:after="0"/>
              <w:jc w:val="right"/>
            </w:pPr>
            <w:r>
              <w:rPr>
                <w:rFonts w:ascii="Aptos" w:hAnsi="Aptos"/>
                <w:color w:val="253331"/>
                <w:sz w:val="18"/>
              </w:rPr>
              <w:t>N$950/hour or fixed quotation</w:t>
            </w:r>
          </w:p>
        </w:tc>
      </w:tr>
      <w:tr>
        <w:tc>
          <w:tcPr>
            <w:tcW w:type="dxa" w:w="5328"/>
            <w:tcMar>
              <w:top w:w="90" w:type="dxa"/>
              <w:start w:w="120" w:type="dxa"/>
              <w:bottom w:w="90" w:type="dxa"/>
              <w:end w:w="120" w:type="dxa"/>
            </w:tcMar>
            <w:vAlign w:val="center"/>
          </w:tcPr>
          <w:p>
            <w:pPr>
              <w:spacing w:after="0"/>
            </w:pPr>
            <w:r>
              <w:rPr>
                <w:rFonts w:ascii="Aptos" w:hAnsi="Aptos"/>
                <w:color w:val="253331"/>
                <w:sz w:val="18"/>
              </w:rPr>
              <w:t>Custom development</w:t>
            </w:r>
          </w:p>
        </w:tc>
        <w:tc>
          <w:tcPr>
            <w:tcW w:type="dxa" w:w="4464"/>
            <w:tcMar>
              <w:top w:w="90" w:type="dxa"/>
              <w:start w:w="120" w:type="dxa"/>
              <w:bottom w:w="90" w:type="dxa"/>
              <w:end w:w="120" w:type="dxa"/>
            </w:tcMar>
            <w:vAlign w:val="center"/>
          </w:tcPr>
          <w:p>
            <w:pPr>
              <w:spacing w:after="0"/>
              <w:jc w:val="right"/>
            </w:pPr>
            <w:r>
              <w:rPr>
                <w:rFonts w:ascii="Aptos" w:hAnsi="Aptos"/>
                <w:color w:val="253331"/>
                <w:sz w:val="18"/>
              </w:rPr>
              <w:t>N$950-N$1,200/hour</w:t>
            </w:r>
          </w:p>
        </w:tc>
      </w:tr>
      <w:tr>
        <w:tc>
          <w:tcPr>
            <w:tcW w:type="dxa" w:w="5328"/>
            <w:tcMar>
              <w:top w:w="90" w:type="dxa"/>
              <w:start w:w="120" w:type="dxa"/>
              <w:bottom w:w="90" w:type="dxa"/>
              <w:end w:w="120" w:type="dxa"/>
            </w:tcMar>
            <w:vAlign w:val="center"/>
            <w:shd w:fill="F5F7F7"/>
          </w:tcPr>
          <w:p>
            <w:pPr>
              <w:spacing w:after="0"/>
            </w:pPr>
            <w:r>
              <w:rPr>
                <w:rFonts w:ascii="Aptos" w:hAnsi="Aptos"/>
                <w:color w:val="253331"/>
                <w:sz w:val="18"/>
              </w:rPr>
              <w:t>Full consulting day</w:t>
            </w:r>
          </w:p>
        </w:tc>
        <w:tc>
          <w:tcPr>
            <w:tcW w:type="dxa" w:w="4464"/>
            <w:tcMar>
              <w:top w:w="90" w:type="dxa"/>
              <w:start w:w="120" w:type="dxa"/>
              <w:bottom w:w="90" w:type="dxa"/>
              <w:end w:w="120" w:type="dxa"/>
            </w:tcMar>
            <w:vAlign w:val="center"/>
            <w:shd w:fill="F5F7F7"/>
          </w:tcPr>
          <w:p>
            <w:pPr>
              <w:spacing w:after="0"/>
              <w:jc w:val="right"/>
            </w:pPr>
            <w:r>
              <w:rPr>
                <w:rFonts w:ascii="Aptos" w:hAnsi="Aptos"/>
                <w:color w:val="253331"/>
                <w:sz w:val="18"/>
              </w:rPr>
              <w:t>N$7,500-N$9,000</w:t>
            </w:r>
          </w:p>
        </w:tc>
      </w:tr>
      <w:tr>
        <w:tc>
          <w:tcPr>
            <w:tcW w:type="dxa" w:w="5328"/>
            <w:tcMar>
              <w:top w:w="90" w:type="dxa"/>
              <w:start w:w="120" w:type="dxa"/>
              <w:bottom w:w="90" w:type="dxa"/>
              <w:end w:w="120" w:type="dxa"/>
            </w:tcMar>
            <w:vAlign w:val="center"/>
          </w:tcPr>
          <w:p>
            <w:pPr>
              <w:spacing w:after="0"/>
            </w:pPr>
            <w:r>
              <w:rPr>
                <w:rFonts w:ascii="Aptos" w:hAnsi="Aptos"/>
                <w:color w:val="253331"/>
                <w:sz w:val="18"/>
              </w:rPr>
              <w:t>Premium support</w:t>
            </w:r>
          </w:p>
        </w:tc>
        <w:tc>
          <w:tcPr>
            <w:tcW w:type="dxa" w:w="4464"/>
            <w:tcMar>
              <w:top w:w="90" w:type="dxa"/>
              <w:start w:w="120" w:type="dxa"/>
              <w:bottom w:w="90" w:type="dxa"/>
              <w:end w:w="120" w:type="dxa"/>
            </w:tcMar>
            <w:vAlign w:val="center"/>
          </w:tcPr>
          <w:p>
            <w:pPr>
              <w:spacing w:after="0"/>
              <w:jc w:val="right"/>
            </w:pPr>
            <w:r>
              <w:rPr>
                <w:rFonts w:ascii="Aptos" w:hAnsi="Aptos"/>
                <w:color w:val="253331"/>
                <w:sz w:val="18"/>
              </w:rPr>
              <w:t>From N$2,500/month</w:t>
            </w:r>
          </w:p>
        </w:tc>
      </w:tr>
      <w:tr>
        <w:tc>
          <w:tcPr>
            <w:tcW w:type="dxa" w:w="5328"/>
            <w:tcMar>
              <w:top w:w="90" w:type="dxa"/>
              <w:start w:w="120" w:type="dxa"/>
              <w:bottom w:w="90" w:type="dxa"/>
              <w:end w:w="120" w:type="dxa"/>
            </w:tcMar>
            <w:vAlign w:val="center"/>
            <w:shd w:fill="F5F7F7"/>
          </w:tcPr>
          <w:p>
            <w:pPr>
              <w:spacing w:after="0"/>
            </w:pPr>
            <w:r>
              <w:rPr>
                <w:rFonts w:ascii="Aptos" w:hAnsi="Aptos"/>
                <w:color w:val="253331"/>
                <w:sz w:val="18"/>
              </w:rPr>
              <w:t>Custom-branded deployment</w:t>
            </w:r>
          </w:p>
        </w:tc>
        <w:tc>
          <w:tcPr>
            <w:tcW w:type="dxa" w:w="4464"/>
            <w:tcMar>
              <w:top w:w="90" w:type="dxa"/>
              <w:start w:w="120" w:type="dxa"/>
              <w:bottom w:w="90" w:type="dxa"/>
              <w:end w:w="120" w:type="dxa"/>
            </w:tcMar>
            <w:vAlign w:val="center"/>
            <w:shd w:fill="F5F7F7"/>
          </w:tcPr>
          <w:p>
            <w:pPr>
              <w:spacing w:after="0"/>
              <w:jc w:val="right"/>
            </w:pPr>
            <w:r>
              <w:rPr>
                <w:rFonts w:ascii="Aptos" w:hAnsi="Aptos"/>
                <w:color w:val="253331"/>
                <w:sz w:val="18"/>
              </w:rPr>
              <w:t>From N$15,000 once-off</w:t>
            </w:r>
          </w:p>
        </w:tc>
      </w:tr>
    </w:tbl>
    <w:p>
      <w:pPr>
        <w:spacing w:after="40"/>
      </w:pPr>
    </w:p>
    <w:p>
      <w:r>
        <w:t>Calendar, email, electronic-signature and AI integrations should remain separately priced future add-ons until each capability is production-ready.</w:t>
      </w:r>
    </w:p>
    <w:p>
      <w:pPr>
        <w:pStyle w:val="Heading1"/>
      </w:pPr>
      <w:r>
        <w:t>5. Pilot offer</w:t>
      </w:r>
    </w:p>
    <w:tbl>
      <w:tblPr>
        <w:tblW w:type="dxa" w:w="9792"/>
        <w:jc w:val="left"/>
        <w:tblLayout w:type="fixed"/>
        <w:tblLook w:firstColumn="1" w:firstRow="1" w:lastColumn="0" w:lastRow="0" w:noHBand="0" w:noVBand="1" w:val="04A0"/>
        <w:tblBorders>
          <w:top w:val="single" w:sz="8" w:color="D8E4E2"/>
          <w:left w:val="single" w:sz="8" w:color="D8E4E2"/>
          <w:bottom w:val="single" w:sz="8" w:color="D8E4E2"/>
          <w:right w:val="single" w:sz="8" w:color="D8E4E2"/>
          <w:insideH w:val="single" w:sz="8" w:color="D8E4E2"/>
          <w:insideV w:val="single" w:sz="8" w:color="D8E4E2"/>
        </w:tblBorders>
      </w:tblPr>
      <w:tblGrid>
        <w:gridCol w:w="9792"/>
      </w:tblGrid>
      <w:tr>
        <w:tc>
          <w:tcPr>
            <w:tcW w:type="dxa" w:w="9792"/>
            <w:shd w:fill="EEF5F4"/>
            <w:tcMar>
              <w:top w:w="150" w:type="dxa"/>
              <w:start w:w="180" w:type="dxa"/>
              <w:bottom w:w="150" w:type="dxa"/>
              <w:end w:w="180" w:type="dxa"/>
            </w:tcMar>
          </w:tcPr>
          <w:p>
            <w:pPr>
              <w:spacing w:after="0"/>
            </w:pPr>
            <w:r>
              <w:rPr>
                <w:b/>
                <w:color w:val="1D6B66"/>
              </w:rPr>
              <w:t xml:space="preserve">60-day paid pilot - N$15,000: </w:t>
            </w:r>
            <w:r>
              <w:rPr>
                <w:color w:val="253331"/>
              </w:rPr>
              <w:t>Up to 10 users and 100 contracts. The pilot fee is credited against implementation if the customer signs an annual subscription.</w:t>
            </w:r>
          </w:p>
        </w:tc>
      </w:tr>
    </w:tbl>
    <w:p>
      <w:pPr>
        <w:spacing w:after="0"/>
      </w:pPr>
    </w:p>
    <w:p>
      <w:r>
        <w:t>The pilot gives the customer a controlled evaluation while preserving the product's commercial value and funding onboarding support.</w:t>
      </w:r>
    </w:p>
    <w:p>
      <w:pPr>
        <w:pStyle w:val="Heading1"/>
      </w:pPr>
      <w:r>
        <w:t>6. Annual contract terms</w:t>
      </w:r>
    </w:p>
    <w:p>
      <w:pPr>
        <w:pStyle w:val="ListBullet"/>
      </w:pPr>
      <w:r>
        <w:t>Monthly payment: standard published price.</w:t>
      </w:r>
    </w:p>
    <w:p>
      <w:pPr>
        <w:pStyle w:val="ListBullet"/>
      </w:pPr>
      <w:r>
        <w:t>Annual prepayment: 15% subscription discount.</w:t>
      </w:r>
    </w:p>
    <w:p>
      <w:pPr>
        <w:pStyle w:val="ListBullet"/>
      </w:pPr>
      <w:r>
        <w:t>Minimum initial term: 12 months following any pilot.</w:t>
      </w:r>
    </w:p>
    <w:p>
      <w:pPr>
        <w:pStyle w:val="ListBullet"/>
      </w:pPr>
      <w:r>
        <w:t>Annual increase: Namibian CPI or 7%, whichever is lower.</w:t>
      </w:r>
    </w:p>
    <w:p>
      <w:pPr>
        <w:pStyle w:val="ListBullet"/>
      </w:pPr>
      <w:r>
        <w:t>Migration, customisation and third-party service fees are excluded from subscription pricing.</w:t>
      </w:r>
    </w:p>
    <w:p>
      <w:pPr>
        <w:pStyle w:val="Heading2"/>
      </w:pPr>
      <w:r>
        <w:t>Professional plan - first-year example</w:t>
      </w:r>
    </w:p>
    <w:tbl>
      <w:tblPr>
        <w:tblW w:type="dxa" w:w="9792"/>
        <w:jc w:val="left"/>
        <w:tblLayout w:type="fixed"/>
        <w:tblLook w:firstColumn="1" w:firstRow="1" w:lastColumn="0" w:lastRow="0" w:noHBand="0" w:noVBand="1" w:val="04A0"/>
        <w:tblBorders>
          <w:top w:val="single" w:sz="6" w:color="CDD9D7"/>
          <w:left w:val="single" w:sz="6" w:color="CDD9D7"/>
          <w:bottom w:val="single" w:sz="6" w:color="CDD9D7"/>
          <w:right w:val="single" w:sz="6" w:color="CDD9D7"/>
          <w:insideH w:val="single" w:sz="6" w:color="CDD9D7"/>
          <w:insideV w:val="single" w:sz="6" w:color="CDD9D7"/>
        </w:tblBorders>
      </w:tblPr>
      <w:tblGrid>
        <w:gridCol w:w="6624"/>
        <w:gridCol w:w="3168"/>
      </w:tblGrid>
      <w:tr>
        <w:trPr>
          <w:tblHeader w:val="true"/>
        </w:trPr>
        <w:tc>
          <w:tcPr>
            <w:tcW w:type="dxa" w:w="6624"/>
            <w:shd w:fill="123B3A"/>
            <w:tcMar>
              <w:top w:w="90" w:type="dxa"/>
              <w:start w:w="120" w:type="dxa"/>
              <w:bottom w:w="90" w:type="dxa"/>
              <w:end w:w="120" w:type="dxa"/>
            </w:tcMar>
            <w:vAlign w:val="center"/>
          </w:tcPr>
          <w:p>
            <w:pPr>
              <w:spacing w:after="0"/>
            </w:pPr>
            <w:r>
              <w:rPr>
                <w:rFonts w:ascii="Aptos" w:hAnsi="Aptos"/>
                <w:b/>
                <w:color w:val="FFFFFF"/>
                <w:sz w:val="18"/>
              </w:rPr>
              <w:t>Cost component</w:t>
            </w:r>
          </w:p>
        </w:tc>
        <w:tc>
          <w:tcPr>
            <w:tcW w:type="dxa" w:w="3168"/>
            <w:shd w:fill="123B3A"/>
            <w:tcMar>
              <w:top w:w="90" w:type="dxa"/>
              <w:start w:w="120" w:type="dxa"/>
              <w:bottom w:w="90" w:type="dxa"/>
              <w:end w:w="120" w:type="dxa"/>
            </w:tcMar>
            <w:vAlign w:val="center"/>
          </w:tcPr>
          <w:p>
            <w:pPr>
              <w:spacing w:after="0"/>
            </w:pPr>
            <w:r>
              <w:rPr>
                <w:rFonts w:ascii="Aptos" w:hAnsi="Aptos"/>
                <w:b/>
                <w:color w:val="FFFFFF"/>
                <w:sz w:val="18"/>
              </w:rPr>
              <w:t>Amount</w:t>
            </w:r>
          </w:p>
        </w:tc>
      </w:tr>
      <w:tr>
        <w:tc>
          <w:tcPr>
            <w:tcW w:type="dxa" w:w="6624"/>
            <w:tcMar>
              <w:top w:w="90" w:type="dxa"/>
              <w:start w:w="120" w:type="dxa"/>
              <w:bottom w:w="90" w:type="dxa"/>
              <w:end w:w="120" w:type="dxa"/>
            </w:tcMar>
            <w:vAlign w:val="center"/>
          </w:tcPr>
          <w:p>
            <w:pPr>
              <w:spacing w:after="0"/>
            </w:pPr>
            <w:r>
              <w:rPr>
                <w:rFonts w:ascii="Aptos" w:hAnsi="Aptos"/>
                <w:color w:val="253331"/>
                <w:sz w:val="18"/>
              </w:rPr>
              <w:t>Subscription: N$6,900 x 12</w:t>
            </w:r>
          </w:p>
        </w:tc>
        <w:tc>
          <w:tcPr>
            <w:tcW w:type="dxa" w:w="3168"/>
            <w:tcMar>
              <w:top w:w="90" w:type="dxa"/>
              <w:start w:w="120" w:type="dxa"/>
              <w:bottom w:w="90" w:type="dxa"/>
              <w:end w:w="120" w:type="dxa"/>
            </w:tcMar>
            <w:vAlign w:val="center"/>
          </w:tcPr>
          <w:p>
            <w:pPr>
              <w:spacing w:after="0"/>
              <w:jc w:val="right"/>
            </w:pPr>
            <w:r>
              <w:rPr>
                <w:rFonts w:ascii="Aptos" w:hAnsi="Aptos"/>
                <w:color w:val="253331"/>
                <w:sz w:val="18"/>
              </w:rPr>
              <w:t>N$82,800</w:t>
            </w:r>
          </w:p>
        </w:tc>
      </w:tr>
      <w:tr>
        <w:tc>
          <w:tcPr>
            <w:tcW w:type="dxa" w:w="6624"/>
            <w:tcMar>
              <w:top w:w="90" w:type="dxa"/>
              <w:start w:w="120" w:type="dxa"/>
              <w:bottom w:w="90" w:type="dxa"/>
              <w:end w:w="120" w:type="dxa"/>
            </w:tcMar>
            <w:vAlign w:val="center"/>
            <w:shd w:fill="F5F7F7"/>
          </w:tcPr>
          <w:p>
            <w:pPr>
              <w:spacing w:after="0"/>
            </w:pPr>
            <w:r>
              <w:rPr>
                <w:rFonts w:ascii="Aptos" w:hAnsi="Aptos"/>
                <w:color w:val="253331"/>
                <w:sz w:val="18"/>
              </w:rPr>
              <w:t>Annual prepayment discount (15%)</w:t>
            </w:r>
          </w:p>
        </w:tc>
        <w:tc>
          <w:tcPr>
            <w:tcW w:type="dxa" w:w="3168"/>
            <w:tcMar>
              <w:top w:w="90" w:type="dxa"/>
              <w:start w:w="120" w:type="dxa"/>
              <w:bottom w:w="90" w:type="dxa"/>
              <w:end w:w="120" w:type="dxa"/>
            </w:tcMar>
            <w:vAlign w:val="center"/>
            <w:shd w:fill="F5F7F7"/>
          </w:tcPr>
          <w:p>
            <w:pPr>
              <w:spacing w:after="0"/>
              <w:jc w:val="right"/>
            </w:pPr>
            <w:r>
              <w:rPr>
                <w:rFonts w:ascii="Aptos" w:hAnsi="Aptos"/>
                <w:color w:val="253331"/>
                <w:sz w:val="18"/>
              </w:rPr>
              <w:t>(N$12,420)</w:t>
            </w:r>
          </w:p>
        </w:tc>
      </w:tr>
      <w:tr>
        <w:tc>
          <w:tcPr>
            <w:tcW w:type="dxa" w:w="6624"/>
            <w:tcMar>
              <w:top w:w="90" w:type="dxa"/>
              <w:start w:w="120" w:type="dxa"/>
              <w:bottom w:w="90" w:type="dxa"/>
              <w:end w:w="120" w:type="dxa"/>
            </w:tcMar>
            <w:vAlign w:val="center"/>
          </w:tcPr>
          <w:p>
            <w:pPr>
              <w:spacing w:after="0"/>
            </w:pPr>
            <w:r>
              <w:rPr>
                <w:rFonts w:ascii="Aptos" w:hAnsi="Aptos"/>
                <w:color w:val="253331"/>
                <w:sz w:val="18"/>
              </w:rPr>
              <w:t>Discounted annual subscription</w:t>
            </w:r>
          </w:p>
        </w:tc>
        <w:tc>
          <w:tcPr>
            <w:tcW w:type="dxa" w:w="3168"/>
            <w:tcMar>
              <w:top w:w="90" w:type="dxa"/>
              <w:start w:w="120" w:type="dxa"/>
              <w:bottom w:w="90" w:type="dxa"/>
              <w:end w:w="120" w:type="dxa"/>
            </w:tcMar>
            <w:vAlign w:val="center"/>
          </w:tcPr>
          <w:p>
            <w:pPr>
              <w:spacing w:after="0"/>
              <w:jc w:val="right"/>
            </w:pPr>
            <w:r>
              <w:rPr>
                <w:rFonts w:ascii="Aptos" w:hAnsi="Aptos"/>
                <w:color w:val="253331"/>
                <w:sz w:val="18"/>
              </w:rPr>
              <w:t>N$70,380</w:t>
            </w:r>
          </w:p>
        </w:tc>
      </w:tr>
      <w:tr>
        <w:tc>
          <w:tcPr>
            <w:tcW w:type="dxa" w:w="6624"/>
            <w:tcMar>
              <w:top w:w="90" w:type="dxa"/>
              <w:start w:w="120" w:type="dxa"/>
              <w:bottom w:w="90" w:type="dxa"/>
              <w:end w:w="120" w:type="dxa"/>
            </w:tcMar>
            <w:vAlign w:val="center"/>
            <w:shd w:fill="F5F7F7"/>
          </w:tcPr>
          <w:p>
            <w:pPr>
              <w:spacing w:after="0"/>
            </w:pPr>
            <w:r>
              <w:rPr>
                <w:rFonts w:ascii="Aptos" w:hAnsi="Aptos"/>
                <w:color w:val="253331"/>
                <w:sz w:val="18"/>
              </w:rPr>
              <w:t>Implementation</w:t>
            </w:r>
          </w:p>
        </w:tc>
        <w:tc>
          <w:tcPr>
            <w:tcW w:type="dxa" w:w="3168"/>
            <w:tcMar>
              <w:top w:w="90" w:type="dxa"/>
              <w:start w:w="120" w:type="dxa"/>
              <w:bottom w:w="90" w:type="dxa"/>
              <w:end w:w="120" w:type="dxa"/>
            </w:tcMar>
            <w:vAlign w:val="center"/>
            <w:shd w:fill="F5F7F7"/>
          </w:tcPr>
          <w:p>
            <w:pPr>
              <w:spacing w:after="0"/>
              <w:jc w:val="right"/>
            </w:pPr>
            <w:r>
              <w:rPr>
                <w:rFonts w:ascii="Aptos" w:hAnsi="Aptos"/>
                <w:color w:val="253331"/>
                <w:sz w:val="18"/>
              </w:rPr>
              <w:t>N$25,000</w:t>
            </w:r>
          </w:p>
        </w:tc>
      </w:tr>
      <w:tr>
        <w:tc>
          <w:tcPr>
            <w:tcW w:type="dxa" w:w="6624"/>
            <w:tcMar>
              <w:top w:w="90" w:type="dxa"/>
              <w:start w:w="120" w:type="dxa"/>
              <w:bottom w:w="90" w:type="dxa"/>
              <w:end w:w="120" w:type="dxa"/>
            </w:tcMar>
            <w:vAlign w:val="center"/>
          </w:tcPr>
          <w:p>
            <w:pPr>
              <w:spacing w:after="0"/>
            </w:pPr>
            <w:r>
              <w:rPr>
                <w:rFonts w:ascii="Aptos" w:hAnsi="Aptos"/>
                <w:color w:val="253331"/>
                <w:sz w:val="18"/>
              </w:rPr>
              <w:t>First-year total</w:t>
            </w:r>
          </w:p>
        </w:tc>
        <w:tc>
          <w:tcPr>
            <w:tcW w:type="dxa" w:w="3168"/>
            <w:tcMar>
              <w:top w:w="90" w:type="dxa"/>
              <w:start w:w="120" w:type="dxa"/>
              <w:bottom w:w="90" w:type="dxa"/>
              <w:end w:w="120" w:type="dxa"/>
            </w:tcMar>
            <w:vAlign w:val="center"/>
          </w:tcPr>
          <w:p>
            <w:pPr>
              <w:spacing w:after="0"/>
              <w:jc w:val="right"/>
            </w:pPr>
            <w:r>
              <w:rPr>
                <w:rFonts w:ascii="Aptos" w:hAnsi="Aptos"/>
                <w:color w:val="253331"/>
                <w:sz w:val="18"/>
              </w:rPr>
              <w:t>N$95,380</w:t>
            </w:r>
          </w:p>
        </w:tc>
      </w:tr>
      <w:tr>
        <w:tc>
          <w:tcPr>
            <w:tcW w:type="dxa" w:w="6624"/>
            <w:tcMar>
              <w:top w:w="90" w:type="dxa"/>
              <w:start w:w="120" w:type="dxa"/>
              <w:bottom w:w="90" w:type="dxa"/>
              <w:end w:w="120" w:type="dxa"/>
            </w:tcMar>
            <w:vAlign w:val="center"/>
            <w:shd w:fill="F5F7F7"/>
          </w:tcPr>
          <w:p>
            <w:pPr>
              <w:spacing w:after="0"/>
            </w:pPr>
            <w:r>
              <w:rPr>
                <w:rFonts w:ascii="Aptos" w:hAnsi="Aptos"/>
                <w:color w:val="253331"/>
                <w:sz w:val="18"/>
              </w:rPr>
              <w:t>Subsequent annual subscription</w:t>
            </w:r>
          </w:p>
        </w:tc>
        <w:tc>
          <w:tcPr>
            <w:tcW w:type="dxa" w:w="3168"/>
            <w:tcMar>
              <w:top w:w="90" w:type="dxa"/>
              <w:start w:w="120" w:type="dxa"/>
              <w:bottom w:w="90" w:type="dxa"/>
              <w:end w:w="120" w:type="dxa"/>
            </w:tcMar>
            <w:vAlign w:val="center"/>
            <w:shd w:fill="F5F7F7"/>
          </w:tcPr>
          <w:p>
            <w:pPr>
              <w:spacing w:after="0"/>
              <w:jc w:val="right"/>
            </w:pPr>
            <w:r>
              <w:rPr>
                <w:rFonts w:ascii="Aptos" w:hAnsi="Aptos"/>
                <w:color w:val="253331"/>
                <w:sz w:val="18"/>
              </w:rPr>
              <w:t>N$70,380</w:t>
            </w:r>
          </w:p>
        </w:tc>
      </w:tr>
    </w:tbl>
    <w:p>
      <w:pPr>
        <w:spacing w:after="40"/>
      </w:pPr>
    </w:p>
    <w:p>
      <w:pPr>
        <w:pStyle w:val="Heading1"/>
      </w:pPr>
      <w:r>
        <w:t>7. Unit economics and pricing floor</w:t>
      </w:r>
    </w:p>
    <w:p>
      <w:r>
        <w:t>Pricing should target a gross margin of approximately 60-70% after direct hosting, support and maintenance costs. The commercial pricing floor can be calculated as:</w:t>
      </w:r>
    </w:p>
    <w:tbl>
      <w:tblPr>
        <w:tblW w:type="dxa" w:w="9792"/>
        <w:jc w:val="left"/>
        <w:tblLayout w:type="fixed"/>
        <w:tblLook w:firstColumn="1" w:firstRow="1" w:lastColumn="0" w:lastRow="0" w:noHBand="0" w:noVBand="1" w:val="04A0"/>
        <w:tblBorders>
          <w:top w:val="single" w:sz="8" w:color="D8E4E2"/>
          <w:left w:val="single" w:sz="8" w:color="D8E4E2"/>
          <w:bottom w:val="single" w:sz="8" w:color="D8E4E2"/>
          <w:right w:val="single" w:sz="8" w:color="D8E4E2"/>
          <w:insideH w:val="single" w:sz="8" w:color="D8E4E2"/>
          <w:insideV w:val="single" w:sz="8" w:color="D8E4E2"/>
        </w:tblBorders>
      </w:tblPr>
      <w:tblGrid>
        <w:gridCol w:w="9792"/>
      </w:tblGrid>
      <w:tr>
        <w:tc>
          <w:tcPr>
            <w:tcW w:type="dxa" w:w="9792"/>
            <w:shd w:fill="EEF5F4"/>
            <w:tcMar>
              <w:top w:w="150" w:type="dxa"/>
              <w:start w:w="180" w:type="dxa"/>
              <w:bottom w:w="150" w:type="dxa"/>
              <w:end w:w="180" w:type="dxa"/>
            </w:tcMar>
          </w:tcPr>
          <w:p>
            <w:pPr>
              <w:spacing w:after="0"/>
            </w:pPr>
            <w:r>
              <w:rPr>
                <w:b/>
                <w:color w:val="1D6B66"/>
              </w:rPr>
              <w:t xml:space="preserve">Pricing formula: </w:t>
            </w:r>
            <w:r>
              <w:rPr>
                <w:color w:val="253331"/>
              </w:rPr>
              <w:t>Minimum monthly price = direct monthly customer cost / (1 - target gross margin)</w:t>
            </w:r>
          </w:p>
        </w:tc>
      </w:tr>
    </w:tbl>
    <w:p>
      <w:pPr>
        <w:spacing w:after="0"/>
      </w:pPr>
    </w:p>
    <w:p>
      <w:r>
        <w:t>For example, direct monthly customer costs of N$1,500 at a 70% target gross margin require a minimum selling price of approximately N$5,000 per month. The Essential tier may operate at a lower initial margin, while Professional and Business protect the blended portfolio margin.</w:t>
      </w:r>
    </w:p>
    <w:p>
      <w:pPr>
        <w:pStyle w:val="Heading2"/>
      </w:pPr>
      <w:r>
        <w:t>Suggested internal cost allocation</w:t>
      </w:r>
    </w:p>
    <w:tbl>
      <w:tblPr>
        <w:tblW w:type="dxa" w:w="9792"/>
        <w:jc w:val="left"/>
        <w:tblLayout w:type="fixed"/>
        <w:tblLook w:firstColumn="1" w:firstRow="1" w:lastColumn="0" w:lastRow="0" w:noHBand="0" w:noVBand="1" w:val="04A0"/>
        <w:tblBorders>
          <w:top w:val="single" w:sz="6" w:color="CDD9D7"/>
          <w:left w:val="single" w:sz="6" w:color="CDD9D7"/>
          <w:bottom w:val="single" w:sz="6" w:color="CDD9D7"/>
          <w:right w:val="single" w:sz="6" w:color="CDD9D7"/>
          <w:insideH w:val="single" w:sz="6" w:color="CDD9D7"/>
          <w:insideV w:val="single" w:sz="6" w:color="CDD9D7"/>
        </w:tblBorders>
      </w:tblPr>
      <w:tblGrid>
        <w:gridCol w:w="5976"/>
        <w:gridCol w:w="3816"/>
      </w:tblGrid>
      <w:tr>
        <w:trPr>
          <w:tblHeader w:val="true"/>
        </w:trPr>
        <w:tc>
          <w:tcPr>
            <w:tcW w:type="dxa" w:w="5976"/>
            <w:shd w:fill="123B3A"/>
            <w:tcMar>
              <w:top w:w="90" w:type="dxa"/>
              <w:start w:w="120" w:type="dxa"/>
              <w:bottom w:w="90" w:type="dxa"/>
              <w:end w:w="120" w:type="dxa"/>
            </w:tcMar>
            <w:vAlign w:val="center"/>
          </w:tcPr>
          <w:p>
            <w:pPr>
              <w:spacing w:after="0"/>
            </w:pPr>
            <w:r>
              <w:rPr>
                <w:rFonts w:ascii="Aptos" w:hAnsi="Aptos"/>
                <w:b/>
                <w:color w:val="FFFFFF"/>
                <w:sz w:val="18"/>
              </w:rPr>
              <w:t>Cost category</w:t>
            </w:r>
          </w:p>
        </w:tc>
        <w:tc>
          <w:tcPr>
            <w:tcW w:type="dxa" w:w="3816"/>
            <w:shd w:fill="123B3A"/>
            <w:tcMar>
              <w:top w:w="90" w:type="dxa"/>
              <w:start w:w="120" w:type="dxa"/>
              <w:bottom w:w="90" w:type="dxa"/>
              <w:end w:w="120" w:type="dxa"/>
            </w:tcMar>
            <w:vAlign w:val="center"/>
          </w:tcPr>
          <w:p>
            <w:pPr>
              <w:spacing w:after="0"/>
            </w:pPr>
            <w:r>
              <w:rPr>
                <w:rFonts w:ascii="Aptos" w:hAnsi="Aptos"/>
                <w:b/>
                <w:color w:val="FFFFFF"/>
                <w:sz w:val="18"/>
              </w:rPr>
              <w:t>Planning allowance</w:t>
            </w:r>
          </w:p>
        </w:tc>
      </w:tr>
      <w:tr>
        <w:tc>
          <w:tcPr>
            <w:tcW w:type="dxa" w:w="5976"/>
            <w:tcMar>
              <w:top w:w="90" w:type="dxa"/>
              <w:start w:w="120" w:type="dxa"/>
              <w:bottom w:w="90" w:type="dxa"/>
              <w:end w:w="120" w:type="dxa"/>
            </w:tcMar>
            <w:vAlign w:val="center"/>
          </w:tcPr>
          <w:p>
            <w:pPr>
              <w:spacing w:after="0"/>
            </w:pPr>
            <w:r>
              <w:rPr>
                <w:rFonts w:ascii="Aptos" w:hAnsi="Aptos"/>
                <w:color w:val="253331"/>
                <w:sz w:val="18"/>
              </w:rPr>
              <w:t>Hosting, database, backups and monitoring</w:t>
            </w:r>
          </w:p>
        </w:tc>
        <w:tc>
          <w:tcPr>
            <w:tcW w:type="dxa" w:w="3816"/>
            <w:tcMar>
              <w:top w:w="90" w:type="dxa"/>
              <w:start w:w="120" w:type="dxa"/>
              <w:bottom w:w="90" w:type="dxa"/>
              <w:end w:w="120" w:type="dxa"/>
            </w:tcMar>
            <w:vAlign w:val="center"/>
          </w:tcPr>
          <w:p>
            <w:pPr>
              <w:spacing w:after="0"/>
              <w:jc w:val="right"/>
            </w:pPr>
            <w:r>
              <w:rPr>
                <w:rFonts w:ascii="Aptos" w:hAnsi="Aptos"/>
                <w:color w:val="253331"/>
                <w:sz w:val="18"/>
              </w:rPr>
              <w:t>N$900-N$1,300/customer/month</w:t>
            </w:r>
          </w:p>
        </w:tc>
      </w:tr>
      <w:tr>
        <w:tc>
          <w:tcPr>
            <w:tcW w:type="dxa" w:w="5976"/>
            <w:tcMar>
              <w:top w:w="90" w:type="dxa"/>
              <w:start w:w="120" w:type="dxa"/>
              <w:bottom w:w="90" w:type="dxa"/>
              <w:end w:w="120" w:type="dxa"/>
            </w:tcMar>
            <w:vAlign w:val="center"/>
            <w:shd w:fill="F5F7F7"/>
          </w:tcPr>
          <w:p>
            <w:pPr>
              <w:spacing w:after="0"/>
            </w:pPr>
            <w:r>
              <w:rPr>
                <w:rFonts w:ascii="Aptos" w:hAnsi="Aptos"/>
                <w:color w:val="253331"/>
                <w:sz w:val="18"/>
              </w:rPr>
              <w:t>Routine support allowance</w:t>
            </w:r>
          </w:p>
        </w:tc>
        <w:tc>
          <w:tcPr>
            <w:tcW w:type="dxa" w:w="3816"/>
            <w:tcMar>
              <w:top w:w="90" w:type="dxa"/>
              <w:start w:w="120" w:type="dxa"/>
              <w:bottom w:w="90" w:type="dxa"/>
              <w:end w:w="120" w:type="dxa"/>
            </w:tcMar>
            <w:vAlign w:val="center"/>
            <w:shd w:fill="F5F7F7"/>
          </w:tcPr>
          <w:p>
            <w:pPr>
              <w:spacing w:after="0"/>
              <w:jc w:val="right"/>
            </w:pPr>
            <w:r>
              <w:rPr>
                <w:rFonts w:ascii="Aptos" w:hAnsi="Aptos"/>
                <w:color w:val="253331"/>
                <w:sz w:val="18"/>
              </w:rPr>
              <w:t>N$400-N$1,000/customer/month</w:t>
            </w:r>
          </w:p>
        </w:tc>
      </w:tr>
      <w:tr>
        <w:tc>
          <w:tcPr>
            <w:tcW w:type="dxa" w:w="5976"/>
            <w:tcMar>
              <w:top w:w="90" w:type="dxa"/>
              <w:start w:w="120" w:type="dxa"/>
              <w:bottom w:w="90" w:type="dxa"/>
              <w:end w:w="120" w:type="dxa"/>
            </w:tcMar>
            <w:vAlign w:val="center"/>
          </w:tcPr>
          <w:p>
            <w:pPr>
              <w:spacing w:after="0"/>
            </w:pPr>
            <w:r>
              <w:rPr>
                <w:rFonts w:ascii="Aptos" w:hAnsi="Aptos"/>
                <w:color w:val="253331"/>
                <w:sz w:val="18"/>
              </w:rPr>
              <w:t>Maintenance and security reserve</w:t>
            </w:r>
          </w:p>
        </w:tc>
        <w:tc>
          <w:tcPr>
            <w:tcW w:type="dxa" w:w="3816"/>
            <w:tcMar>
              <w:top w:w="90" w:type="dxa"/>
              <w:start w:w="120" w:type="dxa"/>
              <w:bottom w:w="90" w:type="dxa"/>
              <w:end w:w="120" w:type="dxa"/>
            </w:tcMar>
            <w:vAlign w:val="center"/>
          </w:tcPr>
          <w:p>
            <w:pPr>
              <w:spacing w:after="0"/>
              <w:jc w:val="right"/>
            </w:pPr>
            <w:r>
              <w:rPr>
                <w:rFonts w:ascii="Aptos" w:hAnsi="Aptos"/>
                <w:color w:val="253331"/>
                <w:sz w:val="18"/>
              </w:rPr>
              <w:t>10-15% of subscription revenue</w:t>
            </w:r>
          </w:p>
        </w:tc>
      </w:tr>
      <w:tr>
        <w:tc>
          <w:tcPr>
            <w:tcW w:type="dxa" w:w="5976"/>
            <w:tcMar>
              <w:top w:w="90" w:type="dxa"/>
              <w:start w:w="120" w:type="dxa"/>
              <w:bottom w:w="90" w:type="dxa"/>
              <w:end w:w="120" w:type="dxa"/>
            </w:tcMar>
            <w:vAlign w:val="center"/>
            <w:shd w:fill="F5F7F7"/>
          </w:tcPr>
          <w:p>
            <w:pPr>
              <w:spacing w:after="0"/>
            </w:pPr>
            <w:r>
              <w:rPr>
                <w:rFonts w:ascii="Aptos" w:hAnsi="Aptos"/>
                <w:color w:val="253331"/>
                <w:sz w:val="18"/>
              </w:rPr>
              <w:t>Billing, administration and payment costs</w:t>
            </w:r>
          </w:p>
        </w:tc>
        <w:tc>
          <w:tcPr>
            <w:tcW w:type="dxa" w:w="3816"/>
            <w:tcMar>
              <w:top w:w="90" w:type="dxa"/>
              <w:start w:w="120" w:type="dxa"/>
              <w:bottom w:w="90" w:type="dxa"/>
              <w:end w:w="120" w:type="dxa"/>
            </w:tcMar>
            <w:vAlign w:val="center"/>
            <w:shd w:fill="F5F7F7"/>
          </w:tcPr>
          <w:p>
            <w:pPr>
              <w:spacing w:after="0"/>
              <w:jc w:val="right"/>
            </w:pPr>
            <w:r>
              <w:rPr>
                <w:rFonts w:ascii="Aptos" w:hAnsi="Aptos"/>
                <w:color w:val="253331"/>
                <w:sz w:val="18"/>
              </w:rPr>
              <w:t>3-5% of revenue</w:t>
            </w:r>
          </w:p>
        </w:tc>
      </w:tr>
      <w:tr>
        <w:tc>
          <w:tcPr>
            <w:tcW w:type="dxa" w:w="5976"/>
            <w:tcMar>
              <w:top w:w="90" w:type="dxa"/>
              <w:start w:w="120" w:type="dxa"/>
              <w:bottom w:w="90" w:type="dxa"/>
              <w:end w:w="120" w:type="dxa"/>
            </w:tcMar>
            <w:vAlign w:val="center"/>
          </w:tcPr>
          <w:p>
            <w:pPr>
              <w:spacing w:after="0"/>
            </w:pPr>
            <w:r>
              <w:rPr>
                <w:rFonts w:ascii="Aptos" w:hAnsi="Aptos"/>
                <w:color w:val="253331"/>
                <w:sz w:val="18"/>
              </w:rPr>
              <w:t>Sales commission</w:t>
            </w:r>
          </w:p>
        </w:tc>
        <w:tc>
          <w:tcPr>
            <w:tcW w:type="dxa" w:w="3816"/>
            <w:tcMar>
              <w:top w:w="90" w:type="dxa"/>
              <w:start w:w="120" w:type="dxa"/>
              <w:bottom w:w="90" w:type="dxa"/>
              <w:end w:w="120" w:type="dxa"/>
            </w:tcMar>
            <w:vAlign w:val="center"/>
          </w:tcPr>
          <w:p>
            <w:pPr>
              <w:spacing w:after="0"/>
              <w:jc w:val="right"/>
            </w:pPr>
            <w:r>
              <w:rPr>
                <w:rFonts w:ascii="Aptos" w:hAnsi="Aptos"/>
                <w:color w:val="253331"/>
                <w:sz w:val="18"/>
              </w:rPr>
              <w:t>10% of first-year subscription or one month MRR</w:t>
            </w:r>
          </w:p>
        </w:tc>
      </w:tr>
    </w:tbl>
    <w:p>
      <w:pPr>
        <w:spacing w:after="40"/>
      </w:pPr>
    </w:p>
    <w:p>
      <w:pPr>
        <w:pStyle w:val="Heading1"/>
      </w:pPr>
      <w:r>
        <w:t>8. Market positioning</w:t>
      </w:r>
    </w:p>
    <w:p>
      <w:r>
        <w:t>ContractConnect combines CRM-style relationship management with contract lifecycle tracking. International CRM platforms commonly price per user, while dedicated contract-management products often price by contract volume. A capacity-based platform subscription therefore provides an appropriate middle ground for the solution.</w:t>
      </w:r>
    </w:p>
    <w:tbl>
      <w:tblPr>
        <w:tblW w:type="dxa" w:w="9792"/>
        <w:jc w:val="left"/>
        <w:tblLayout w:type="fixed"/>
        <w:tblLook w:firstColumn="1" w:firstRow="1" w:lastColumn="0" w:lastRow="0" w:noHBand="0" w:noVBand="1" w:val="04A0"/>
        <w:tblBorders>
          <w:top w:val="single" w:sz="6" w:color="CDD9D7"/>
          <w:left w:val="single" w:sz="6" w:color="CDD9D7"/>
          <w:bottom w:val="single" w:sz="6" w:color="CDD9D7"/>
          <w:right w:val="single" w:sz="6" w:color="CDD9D7"/>
          <w:insideH w:val="single" w:sz="6" w:color="CDD9D7"/>
          <w:insideV w:val="single" w:sz="6" w:color="CDD9D7"/>
        </w:tblBorders>
      </w:tblPr>
      <w:tblGrid>
        <w:gridCol w:w="2448"/>
        <w:gridCol w:w="7344"/>
      </w:tblGrid>
      <w:tr>
        <w:trPr>
          <w:tblHeader w:val="true"/>
        </w:trPr>
        <w:tc>
          <w:tcPr>
            <w:tcW w:type="dxa" w:w="2448"/>
            <w:shd w:fill="123B3A"/>
            <w:tcMar>
              <w:top w:w="90" w:type="dxa"/>
              <w:start w:w="120" w:type="dxa"/>
              <w:bottom w:w="90" w:type="dxa"/>
              <w:end w:w="120" w:type="dxa"/>
            </w:tcMar>
            <w:vAlign w:val="center"/>
          </w:tcPr>
          <w:p>
            <w:pPr>
              <w:spacing w:after="0"/>
            </w:pPr>
            <w:r>
              <w:rPr>
                <w:rFonts w:ascii="Aptos" w:hAnsi="Aptos"/>
                <w:b/>
                <w:color w:val="FFFFFF"/>
                <w:sz w:val="18"/>
              </w:rPr>
              <w:t>Reference product</w:t>
            </w:r>
          </w:p>
        </w:tc>
        <w:tc>
          <w:tcPr>
            <w:tcW w:type="dxa" w:w="7344"/>
            <w:shd w:fill="123B3A"/>
            <w:tcMar>
              <w:top w:w="90" w:type="dxa"/>
              <w:start w:w="120" w:type="dxa"/>
              <w:bottom w:w="90" w:type="dxa"/>
              <w:end w:w="120" w:type="dxa"/>
            </w:tcMar>
            <w:vAlign w:val="center"/>
          </w:tcPr>
          <w:p>
            <w:pPr>
              <w:spacing w:after="0"/>
            </w:pPr>
            <w:r>
              <w:rPr>
                <w:rFonts w:ascii="Aptos" w:hAnsi="Aptos"/>
                <w:b/>
                <w:color w:val="FFFFFF"/>
                <w:sz w:val="18"/>
              </w:rPr>
              <w:t>Observed pricing approach</w:t>
            </w:r>
          </w:p>
        </w:tc>
      </w:tr>
      <w:tr>
        <w:tc>
          <w:tcPr>
            <w:tcW w:type="dxa" w:w="2448"/>
            <w:tcMar>
              <w:top w:w="90" w:type="dxa"/>
              <w:start w:w="120" w:type="dxa"/>
              <w:bottom w:w="90" w:type="dxa"/>
              <w:end w:w="120" w:type="dxa"/>
            </w:tcMar>
            <w:vAlign w:val="center"/>
          </w:tcPr>
          <w:p>
            <w:pPr>
              <w:spacing w:after="0"/>
            </w:pPr>
            <w:r>
              <w:rPr>
                <w:rFonts w:ascii="Aptos" w:hAnsi="Aptos"/>
                <w:color w:val="253331"/>
                <w:sz w:val="18"/>
              </w:rPr>
              <w:t>Pipedrive</w:t>
            </w:r>
          </w:p>
        </w:tc>
        <w:tc>
          <w:tcPr>
            <w:tcW w:type="dxa" w:w="7344"/>
            <w:tcMar>
              <w:top w:w="90" w:type="dxa"/>
              <w:start w:w="120" w:type="dxa"/>
              <w:bottom w:w="90" w:type="dxa"/>
              <w:end w:w="120" w:type="dxa"/>
            </w:tcMar>
            <w:vAlign w:val="center"/>
          </w:tcPr>
          <w:p>
            <w:pPr>
              <w:spacing w:after="0"/>
            </w:pPr>
            <w:r>
              <w:rPr>
                <w:rFonts w:ascii="Aptos" w:hAnsi="Aptos"/>
                <w:color w:val="253331"/>
                <w:sz w:val="18"/>
              </w:rPr>
              <w:t>Per-user CRM subscriptions; entry pricing from about US$14/user/month annually</w:t>
            </w:r>
          </w:p>
        </w:tc>
      </w:tr>
      <w:tr>
        <w:tc>
          <w:tcPr>
            <w:tcW w:type="dxa" w:w="2448"/>
            <w:tcMar>
              <w:top w:w="90" w:type="dxa"/>
              <w:start w:w="120" w:type="dxa"/>
              <w:bottom w:w="90" w:type="dxa"/>
              <w:end w:w="120" w:type="dxa"/>
            </w:tcMar>
            <w:vAlign w:val="center"/>
            <w:shd w:fill="F5F7F7"/>
          </w:tcPr>
          <w:p>
            <w:pPr>
              <w:spacing w:after="0"/>
            </w:pPr>
            <w:r>
              <w:rPr>
                <w:rFonts w:ascii="Aptos" w:hAnsi="Aptos"/>
                <w:color w:val="253331"/>
                <w:sz w:val="18"/>
              </w:rPr>
              <w:t>HubSpot Sales Hub</w:t>
            </w:r>
          </w:p>
        </w:tc>
        <w:tc>
          <w:tcPr>
            <w:tcW w:type="dxa" w:w="7344"/>
            <w:tcMar>
              <w:top w:w="90" w:type="dxa"/>
              <w:start w:w="120" w:type="dxa"/>
              <w:bottom w:w="90" w:type="dxa"/>
              <w:end w:w="120" w:type="dxa"/>
            </w:tcMar>
            <w:vAlign w:val="center"/>
            <w:shd w:fill="F5F7F7"/>
          </w:tcPr>
          <w:p>
            <w:pPr>
              <w:spacing w:after="0"/>
            </w:pPr>
            <w:r>
              <w:rPr>
                <w:rFonts w:ascii="Aptos" w:hAnsi="Aptos"/>
                <w:color w:val="253331"/>
                <w:sz w:val="18"/>
              </w:rPr>
              <w:t>Seat-based CRM pricing across Starter, Professional and Enterprise editions</w:t>
            </w:r>
          </w:p>
        </w:tc>
      </w:tr>
      <w:tr>
        <w:tc>
          <w:tcPr>
            <w:tcW w:type="dxa" w:w="2448"/>
            <w:tcMar>
              <w:top w:w="90" w:type="dxa"/>
              <w:start w:w="120" w:type="dxa"/>
              <w:bottom w:w="90" w:type="dxa"/>
              <w:end w:w="120" w:type="dxa"/>
            </w:tcMar>
            <w:vAlign w:val="center"/>
          </w:tcPr>
          <w:p>
            <w:pPr>
              <w:spacing w:after="0"/>
            </w:pPr>
            <w:r>
              <w:rPr>
                <w:rFonts w:ascii="Aptos" w:hAnsi="Aptos"/>
                <w:color w:val="253331"/>
                <w:sz w:val="18"/>
              </w:rPr>
              <w:t>ContractSafe</w:t>
            </w:r>
          </w:p>
        </w:tc>
        <w:tc>
          <w:tcPr>
            <w:tcW w:type="dxa" w:w="7344"/>
            <w:tcMar>
              <w:top w:w="90" w:type="dxa"/>
              <w:start w:w="120" w:type="dxa"/>
              <w:bottom w:w="90" w:type="dxa"/>
              <w:end w:w="120" w:type="dxa"/>
            </w:tcMar>
            <w:vAlign w:val="center"/>
          </w:tcPr>
          <w:p>
            <w:pPr>
              <w:spacing w:after="0"/>
            </w:pPr>
            <w:r>
              <w:rPr>
                <w:rFonts w:ascii="Aptos" w:hAnsi="Aptos"/>
                <w:color w:val="253331"/>
                <w:sz w:val="18"/>
              </w:rPr>
              <w:t>Contract-volume pricing with unlimited users; entry pricing around US$450/month annually</w:t>
            </w:r>
          </w:p>
        </w:tc>
      </w:tr>
      <w:tr>
        <w:tc>
          <w:tcPr>
            <w:tcW w:type="dxa" w:w="2448"/>
            <w:tcMar>
              <w:top w:w="90" w:type="dxa"/>
              <w:start w:w="120" w:type="dxa"/>
              <w:bottom w:w="90" w:type="dxa"/>
              <w:end w:w="120" w:type="dxa"/>
            </w:tcMar>
            <w:vAlign w:val="center"/>
            <w:shd w:fill="F5F7F7"/>
          </w:tcPr>
          <w:p>
            <w:pPr>
              <w:spacing w:after="0"/>
            </w:pPr>
            <w:r>
              <w:rPr>
                <w:rFonts w:ascii="Aptos" w:hAnsi="Aptos"/>
                <w:color w:val="253331"/>
                <w:sz w:val="18"/>
              </w:rPr>
              <w:t>Supabase</w:t>
            </w:r>
          </w:p>
        </w:tc>
        <w:tc>
          <w:tcPr>
            <w:tcW w:type="dxa" w:w="7344"/>
            <w:tcMar>
              <w:top w:w="90" w:type="dxa"/>
              <w:start w:w="120" w:type="dxa"/>
              <w:bottom w:w="90" w:type="dxa"/>
              <w:end w:w="120" w:type="dxa"/>
            </w:tcMar>
            <w:vAlign w:val="center"/>
            <w:shd w:fill="F5F7F7"/>
          </w:tcPr>
          <w:p>
            <w:pPr>
              <w:spacing w:after="0"/>
            </w:pPr>
            <w:r>
              <w:rPr>
                <w:rFonts w:ascii="Aptos" w:hAnsi="Aptos"/>
                <w:color w:val="253331"/>
                <w:sz w:val="18"/>
              </w:rPr>
              <w:t>Backend platform; Pro plan starts at US$25/month before usage charges</w:t>
            </w:r>
          </w:p>
        </w:tc>
      </w:tr>
      <w:tr>
        <w:tc>
          <w:tcPr>
            <w:tcW w:type="dxa" w:w="2448"/>
            <w:tcMar>
              <w:top w:w="90" w:type="dxa"/>
              <w:start w:w="120" w:type="dxa"/>
              <w:bottom w:w="90" w:type="dxa"/>
              <w:end w:w="120" w:type="dxa"/>
            </w:tcMar>
            <w:vAlign w:val="center"/>
          </w:tcPr>
          <w:p>
            <w:pPr>
              <w:spacing w:after="0"/>
            </w:pPr>
            <w:r>
              <w:rPr>
                <w:rFonts w:ascii="Aptos" w:hAnsi="Aptos"/>
                <w:color w:val="253331"/>
                <w:sz w:val="18"/>
              </w:rPr>
              <w:t>Vercel</w:t>
            </w:r>
          </w:p>
        </w:tc>
        <w:tc>
          <w:tcPr>
            <w:tcW w:type="dxa" w:w="7344"/>
            <w:tcMar>
              <w:top w:w="90" w:type="dxa"/>
              <w:start w:w="120" w:type="dxa"/>
              <w:bottom w:w="90" w:type="dxa"/>
              <w:end w:w="120" w:type="dxa"/>
            </w:tcMar>
            <w:vAlign w:val="center"/>
          </w:tcPr>
          <w:p>
            <w:pPr>
              <w:spacing w:after="0"/>
            </w:pPr>
            <w:r>
              <w:rPr>
                <w:rFonts w:ascii="Aptos" w:hAnsi="Aptos"/>
                <w:color w:val="253331"/>
                <w:sz w:val="18"/>
              </w:rPr>
              <w:t>Application hosting; Pro plan starts at US$20/month before usage charges</w:t>
            </w:r>
          </w:p>
        </w:tc>
      </w:tr>
    </w:tbl>
    <w:p>
      <w:pPr>
        <w:spacing w:after="40"/>
      </w:pPr>
    </w:p>
    <w:p>
      <w:pPr>
        <w:pStyle w:val="Heading1"/>
      </w:pPr>
      <w:r>
        <w:t>9. Technical commercial-readiness note</w:t>
      </w:r>
    </w:p>
    <w:tbl>
      <w:tblPr>
        <w:tblW w:type="dxa" w:w="9792"/>
        <w:jc w:val="left"/>
        <w:tblLayout w:type="fixed"/>
        <w:tblLook w:firstColumn="1" w:firstRow="1" w:lastColumn="0" w:lastRow="0" w:noHBand="0" w:noVBand="1" w:val="04A0"/>
        <w:tblBorders>
          <w:top w:val="single" w:sz="8" w:color="D8E4E2"/>
          <w:left w:val="single" w:sz="8" w:color="D8E4E2"/>
          <w:bottom w:val="single" w:sz="8" w:color="D8E4E2"/>
          <w:right w:val="single" w:sz="8" w:color="D8E4E2"/>
          <w:insideH w:val="single" w:sz="8" w:color="D8E4E2"/>
          <w:insideV w:val="single" w:sz="8" w:color="D8E4E2"/>
        </w:tblBorders>
      </w:tblPr>
      <w:tblGrid>
        <w:gridCol w:w="9792"/>
      </w:tblGrid>
      <w:tr>
        <w:tc>
          <w:tcPr>
            <w:tcW w:type="dxa" w:w="9792"/>
            <w:shd w:fill="EEF5F4"/>
            <w:tcMar>
              <w:top w:w="150" w:type="dxa"/>
              <w:start w:w="180" w:type="dxa"/>
              <w:bottom w:w="150" w:type="dxa"/>
              <w:end w:w="180" w:type="dxa"/>
            </w:tcMar>
          </w:tcPr>
          <w:p>
            <w:pPr>
              <w:spacing w:after="0"/>
            </w:pPr>
            <w:r>
              <w:rPr>
                <w:b/>
                <w:color w:val="1D6B66"/>
              </w:rPr>
              <w:t xml:space="preserve">Important: </w:t>
            </w:r>
            <w:r>
              <w:rPr>
                <w:color w:val="253331"/>
              </w:rPr>
              <w:t>The current ContractConnect environment should initially be sold as a dedicated deployment for each customer. Before unrelated organisations share one database, full tenant isolation must be implemented and tested so one customer's users can never access another customer's records.</w:t>
            </w:r>
          </w:p>
        </w:tc>
      </w:tr>
    </w:tbl>
    <w:p>
      <w:pPr>
        <w:spacing w:after="0"/>
      </w:pPr>
    </w:p>
    <w:p>
      <w:r>
        <w:t>This deployment approach should be reflected in hosting estimates, support commitments and implementation pricing. Once verified multi-tenancy is available, lower-cost shared infrastructure can be introduced for Essential and Professional customers.</w:t>
      </w:r>
    </w:p>
    <w:p>
      <w:pPr>
        <w:pStyle w:val="Heading1"/>
      </w:pPr>
      <w:r>
        <w:t>10. Recommended launch offer</w:t>
      </w:r>
    </w:p>
    <w:p>
      <w:r>
        <w:t>The Professional plan should be the flagship launch package. It provides a credible feature and capacity allowance for operational teams while producing sufficient recurring revenue to fund dedicated infrastructure, support and continued product development.</w:t>
      </w:r>
    </w:p>
    <w:p>
      <w:pPr>
        <w:pStyle w:val="ListBullet"/>
      </w:pPr>
      <w:r>
        <w:t>Flagship subscription: Professional at N$6,900 per month.</w:t>
      </w:r>
    </w:p>
    <w:p>
      <w:pPr>
        <w:pStyle w:val="ListBullet"/>
      </w:pPr>
      <w:r>
        <w:t>Implementation: N$25,000 once-off.</w:t>
      </w:r>
    </w:p>
    <w:p>
      <w:pPr>
        <w:pStyle w:val="ListBullet"/>
      </w:pPr>
      <w:r>
        <w:t>Annual prepayment: N$70,380, excluding VAT.</w:t>
      </w:r>
    </w:p>
    <w:p>
      <w:pPr>
        <w:pStyle w:val="ListBullet"/>
      </w:pPr>
      <w:r>
        <w:t>First-year total: N$95,380, excluding VAT.</w:t>
      </w:r>
    </w:p>
    <w:p>
      <w:pPr>
        <w:pStyle w:val="ListBullet"/>
      </w:pPr>
      <w:r>
        <w:t>Entry path: 60-day pilot at N$15,000, credited on conversion.</w:t>
      </w:r>
    </w:p>
    <w:p>
      <w:pPr>
        <w:pStyle w:val="Heading1"/>
      </w:pPr>
      <w:r>
        <w:t>Sources</w:t>
      </w:r>
    </w:p>
    <w:p>
      <w:pPr>
        <w:pStyle w:val="SmallNote"/>
      </w:pPr>
      <w:r>
        <w:rPr>
          <w:b/>
        </w:rPr>
        <w:t xml:space="preserve">Pipedrive pricing: </w:t>
      </w:r>
      <w:r>
        <w:t>https://www.pipedrive.com/en/pricing/professional-crm</w:t>
      </w:r>
    </w:p>
    <w:p>
      <w:pPr>
        <w:pStyle w:val="SmallNote"/>
      </w:pPr>
      <w:r>
        <w:rPr>
          <w:b/>
        </w:rPr>
        <w:t xml:space="preserve">HubSpot Sales pricing: </w:t>
      </w:r>
      <w:r>
        <w:t>https://www.hubspot.com/pricing/sales</w:t>
      </w:r>
    </w:p>
    <w:p>
      <w:pPr>
        <w:pStyle w:val="SmallNote"/>
      </w:pPr>
      <w:r>
        <w:rPr>
          <w:b/>
        </w:rPr>
        <w:t xml:space="preserve">ContractSafe pricing: </w:t>
      </w:r>
      <w:r>
        <w:t>https://www.contractsafe.com/pricing</w:t>
      </w:r>
    </w:p>
    <w:p>
      <w:pPr>
        <w:pStyle w:val="SmallNote"/>
      </w:pPr>
      <w:r>
        <w:rPr>
          <w:b/>
        </w:rPr>
        <w:t xml:space="preserve">Supabase pricing: </w:t>
      </w:r>
      <w:r>
        <w:t>https://supabase.com/pricing</w:t>
      </w:r>
    </w:p>
    <w:p>
      <w:pPr>
        <w:pStyle w:val="SmallNote"/>
      </w:pPr>
      <w:r>
        <w:rPr>
          <w:b/>
        </w:rPr>
        <w:t xml:space="preserve">Vercel pricing: </w:t>
      </w:r>
      <w:r>
        <w:t>https://vercel.com/pricing</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06E"/>
        <w:sz w:val="16"/>
      </w:rPr>
      <w:t xml:space="preserve">ContractConnect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D6B66"/>
        <w:sz w:val="16"/>
      </w:rPr>
      <w:t>CONTRACTCONNECT  |  COMMERCIAL PRICING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533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23B3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D6B6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23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B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4706E"/>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470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ContractConnect Costing and Commercial Pricing Model</dc:title>
  <dc:subject>Proposed subscription, implementation and commercial pricing model</dc:subject>
  <dc:creator>ContractConnect</dc:creator>
  <cp:keywords>ContractConnect, costing, pricing, SaaS, CRM, contract management</cp:keywords>
  <dc:description>generated by python-docx</dc:description>
  <cp:lastModifiedBy/>
  <cp:revision>1</cp:revision>
  <dcterms:created xsi:type="dcterms:W3CDTF">2013-12-23T23:15:00Z</dcterms:created>
  <dcterms:modified xsi:type="dcterms:W3CDTF">2013-12-23T23:15:00Z</dcterms:modified>
  <cp:category/>
</cp:coreProperties>
</file>