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jc w:val="right"/>
      </w:pPr>
      <w:r>
        <w:rPr>
          <w:b/>
          <w:color w:val="6B7280"/>
          <w:sz w:val="18"/>
        </w:rPr>
        <w:t>DOC 01</w:t>
      </w:r>
    </w:p>
    <w:p>
      <w:pPr>
        <w:pStyle w:val="Title"/>
        <w:pageBreakBefore w:val="0"/>
      </w:pPr>
      <w:r>
        <w:t>Visão, Objetivos e Escopo</w:t>
      </w:r>
    </w:p>
    <w:p>
      <w:pPr>
        <w:pageBreakBefore w:val="0"/>
        <w:spacing w:after="160"/>
      </w:pPr>
      <w:r>
        <w:rPr>
          <w:i/>
          <w:color w:val="6B7280"/>
          <w:sz w:val="21"/>
        </w:rPr>
        <w:t>Definição do produto, fronteiras, prioridades, portões e critérios de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568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Projeto</w:t>
            </w:r>
          </w:p>
        </w:tc>
        <w:tc>
          <w:tcPr>
            <w:tcW w:type="dxa" w:w="85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TSP Delivery Route System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Versão</w:t>
            </w:r>
          </w:p>
        </w:tc>
        <w:tc>
          <w:tcPr>
            <w:tcW w:type="dxa" w:w="8568"/>
            <w:vAlign w:val="center"/>
            <w:shd w:fill="F7FAFC"/>
          </w:tcPr>
          <w:p>
            <w:r>
              <w:t>v0.4 - consolidação pré-G0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Data da revisão</w:t>
            </w:r>
          </w:p>
        </w:tc>
        <w:tc>
          <w:tcPr>
            <w:tcW w:type="dxa" w:w="85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06/10/2026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Foco da versão</w:t>
            </w:r>
          </w:p>
        </w:tc>
        <w:tc>
          <w:tcPr>
            <w:tcW w:type="dxa" w:w="8568"/>
            <w:vAlign w:val="center"/>
            <w:shd w:fill="F7FAFC"/>
          </w:tcPr>
          <w:p>
            <w:r>
              <w:t>Correções de rastreabilidade, tipos de contagem, estados, MVP/Gates, origem e observabilidade.</w:t>
            </w:r>
          </w:p>
        </w:tc>
      </w:tr>
    </w:tbl>
    <w:p>
      <w:pPr>
        <w:pageBreakBefore w:val="0"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EEF7F6"/>
          </w:tcPr>
          <w:p>
            <w:pPr>
              <w:spacing w:after="0"/>
            </w:pPr>
            <w:r>
              <w:rPr>
                <w:rFonts w:ascii="Aptos" w:hAnsi="Aptos"/>
                <w:b/>
                <w:color w:val="0F766E"/>
                <w:sz w:val="20"/>
              </w:rPr>
              <w:t xml:space="preserve">DIRETRIZ CENTRAL  </w:t>
            </w:r>
            <w:r>
              <w:rPr>
                <w:rFonts w:ascii="Aptos" w:hAnsi="Aptos"/>
                <w:color w:val="1F2937"/>
                <w:sz w:val="19"/>
              </w:rPr>
              <w:t>O resultado acadêmico obrigatório é um solucionador exato e correto do Problema do Caixeiro Viajante. A interface 3D serve para tornar a busca observável e memorável; não pode substituir nem alterar a matemática do TSP.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1. Resumo executivo</w:t>
      </w:r>
    </w:p>
    <w:p>
      <w:pPr>
        <w:pageBreakBefore w:val="0"/>
      </w:pPr>
      <w:r>
        <w:t>O projeto propõe uma aplicação desktop em Java para resolver e visualizar o Problema do Caixeiro Viajante (TSP). A rede é modelada como um grafo completo ponderado: cada cidade representa um vértice e cada conexão possui um custo inteiro. O sistema encontra um ciclo ótimo, valida a solução e apresenta métricas que permitem compreender a busca.</w:t>
      </w:r>
    </w:p>
    <w:p>
      <w:pPr>
        <w:pageBreakBefore w:val="0"/>
      </w:pPr>
      <w:r>
        <w:t>A experiência visual utilizará JavaFX 21.0.12 e JavaFX 3D em uma estética própria de central de logística e conexão de regiões. A referência conceitual a jogos de entrega é apenas inspiração. Código, marca, nomes, interface e assets serão próprios.</w:t>
      </w:r>
    </w:p>
    <w:p>
      <w:pPr>
        <w:pStyle w:val="Heading1"/>
        <w:pageBreakBefore w:val="0"/>
      </w:pPr>
      <w:r>
        <w:t>2. Visão do produto</w:t>
      </w:r>
    </w:p>
    <w:p>
      <w:pPr>
        <w:pageBreakBefore w:val="0"/>
      </w:pPr>
      <w:r>
        <w:t>A aplicação deve funcionar como uma central de otimização de entregas: o usuário escolhe uma instância e um solver, acompanha a evolução da busca e observa a rota final em um mapa. O sistema deve continuar sendo uma aplicação de algoritmos, e não um jogo completo.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92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Conceito</w:t>
            </w:r>
          </w:p>
        </w:tc>
        <w:tc>
          <w:tcPr>
            <w:tcW w:type="dxa" w:w="8208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Representação no produto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Cidade/terminal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Vértice do grafo e ponto visual na cena 3D.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Conexão</w:t>
            </w:r>
          </w:p>
        </w:tc>
        <w:tc>
          <w:tcPr>
            <w:tcW w:type="dxa" w:w="8208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Aresta possível entre duas cidades.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Custo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Peso inteiro usado pelo solver.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Ciclo</w:t>
            </w:r>
          </w:p>
        </w:tc>
        <w:tc>
          <w:tcPr>
            <w:tcW w:type="dxa" w:w="8208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Rota que visita todas as cidades e retorna à origem.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Solver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Estratégia exata que procura o ótimo.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Observabilidade</w:t>
            </w:r>
          </w:p>
        </w:tc>
        <w:tc>
          <w:tcPr>
            <w:tcW w:type="dxa" w:w="8208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Contadores, melhor custo, rota e estados da execução.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3. Problema acadêmico</w:t>
      </w:r>
    </w:p>
    <w:p>
      <w:pPr>
        <w:pageBreakBefore w:val="0"/>
      </w:pPr>
      <w:r>
        <w:t>Dado um conjunto de cidades, uma origem fixa e os custos entre todos os pares, o sistema deve encontrar a sequência de visita que minimize o custo total, visitando cada cidade exatamente uma vez e retornando à origem.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F3F4F6"/>
          </w:tcPr>
          <w:p>
            <w:pPr>
              <w:spacing w:after="0"/>
              <w:ind w:left="72"/>
            </w:pPr>
            <w:r>
              <w:rPr>
                <w:rFonts w:ascii="Consolas" w:hAnsi="Consolas"/>
                <w:color w:val="111827"/>
                <w:sz w:val="18"/>
              </w:rPr>
              <w:t>Origem -&gt; cidade 1 -&gt; cidade 2 -&gt; ... -&gt; cidade N -&gt; Origem</w:t>
              <w:br/>
            </w:r>
            <w:r>
              <w:rPr>
                <w:rFonts w:ascii="Consolas" w:hAnsi="Consolas"/>
                <w:color w:val="111827"/>
                <w:sz w:val="18"/>
              </w:rPr>
              <w:t>Objetivo: minimizar o custo total do ciclo.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4. Objetivo geral</w:t>
      </w:r>
    </w:p>
    <w:p>
      <w:pPr>
        <w:pageBreakBefore w:val="0"/>
      </w:pPr>
      <w:r>
        <w:t>Desenvolver uma aplicação em Java que resolva o TSP exatamente para as instâncias suportadas, compare força bruta com backtracking com poda e apresente o processo de busca por meio de uma interface JavaFX, com visualização 3D quando disponível.</w:t>
      </w:r>
    </w:p>
    <w:p>
      <w:pPr>
        <w:pStyle w:val="Heading1"/>
        <w:pageBreakBefore w:val="0"/>
      </w:pPr>
      <w:r>
        <w:t>5. Objetivos específicos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Modelar instâncias com cidades, posições, origem e matriz de custos.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Gerar instâncias reproduzíveis com semente, posições válidas e custos determinísticos.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Implementar força bruta com geração lexicográfica e origem fixa.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Implementar backtracking com poda por custo parcial e métricas de exploração.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Garantir desempate determinístico usando índices inteiros e atualização somente com custo estritamente menor.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Validar a rota e o custo antes de declarar uma execução como concluída.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Medir o solver com cronômetro separado da animação e da renderização.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Executar o solver fora da JavaFX Application Thread e permitir cancelamento controlado.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Manter o módulo algorítmico independente de JavaFX.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Criar uma visualização 3D low-poly com câmera orbital e vista superior, com fallback 2D caso Scene3D não esteja disponível.</w:t>
      </w:r>
    </w:p>
    <w:p>
      <w:pPr>
        <w:pStyle w:val="Heading1"/>
        <w:pageBreakBefore/>
      </w:pPr>
      <w:r>
        <w:t>6. Escopo e prioridades</w:t>
      </w:r>
    </w:p>
    <w:p>
      <w:pPr>
        <w:pageBreakBefore w:val="0"/>
      </w:pPr>
      <w:r>
        <w:t>A única escala oficial de prioridade é P0-P3. Os portões G0-G5 indicam ordem de implementação; a correspondência entre as duas escalas é explicitada abaixo.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152"/>
            <w:vAlign w:val="center"/>
            <w:shd w:fill="163A5F"/>
          </w:tcPr>
          <w:p>
            <w:r>
              <w:t>Prioridade</w:t>
            </w:r>
          </w:p>
        </w:tc>
        <w:tc>
          <w:tcPr>
            <w:tcW w:type="dxa" w:w="4824"/>
            <w:vAlign w:val="center"/>
            <w:shd w:fill="163A5F"/>
          </w:tcPr>
          <w:p>
            <w:r>
              <w:t>Conteúdo</w:t>
            </w:r>
          </w:p>
        </w:tc>
        <w:tc>
          <w:tcPr>
            <w:tcW w:type="dxa" w:w="2592"/>
            <w:vAlign w:val="center"/>
            <w:shd w:fill="163A5F"/>
          </w:tcPr>
          <w:p>
            <w:r>
              <w:t>Requisitos</w:t>
            </w:r>
          </w:p>
        </w:tc>
        <w:tc>
          <w:tcPr>
            <w:tcW w:type="dxa" w:w="2160"/>
            <w:vAlign w:val="center"/>
            <w:shd w:fill="163A5F"/>
          </w:tcPr>
          <w:p>
            <w:r>
              <w:t>Gate principal</w:t>
            </w:r>
          </w:p>
        </w:tc>
      </w:tr>
      <w:tr>
        <w:tc>
          <w:tcPr>
            <w:tcW w:type="dxa" w:w="2520"/>
          </w:tcPr>
          <w:p>
            <w:r>
              <w:t>P0</w:t>
            </w:r>
          </w:p>
        </w:tc>
        <w:tc>
          <w:tcPr>
            <w:tcW w:type="dxa" w:w="2520"/>
          </w:tcPr>
          <w:p>
            <w:r>
              <w:t>Criação de instância, custos e força bruta.</w:t>
            </w:r>
          </w:p>
        </w:tc>
        <w:tc>
          <w:tcPr>
            <w:tcW w:type="dxa" w:w="2520"/>
          </w:tcPr>
          <w:p>
            <w:r>
              <w:t>RF-01 a RF-03</w:t>
            </w:r>
          </w:p>
        </w:tc>
        <w:tc>
          <w:tcPr>
            <w:tcW w:type="dxa" w:w="2520"/>
          </w:tcPr>
          <w:p>
            <w:r>
              <w:t>G1</w:t>
            </w:r>
          </w:p>
        </w:tc>
      </w:tr>
      <w:tr>
        <w:tc>
          <w:tcPr>
            <w:tcW w:type="dxa" w:w="2520"/>
          </w:tcPr>
          <w:p>
            <w:r>
              <w:t>P0</w:t>
            </w:r>
          </w:p>
        </w:tc>
        <w:tc>
          <w:tcPr>
            <w:tcW w:type="dxa" w:w="2520"/>
          </w:tcPr>
          <w:p>
            <w:r>
              <w:t>Backtracking com poda e validação.</w:t>
            </w:r>
          </w:p>
        </w:tc>
        <w:tc>
          <w:tcPr>
            <w:tcW w:type="dxa" w:w="2520"/>
          </w:tcPr>
          <w:p>
            <w:r>
              <w:t>RF-04 a RF-05</w:t>
            </w:r>
          </w:p>
        </w:tc>
        <w:tc>
          <w:tcPr>
            <w:tcW w:type="dxa" w:w="2520"/>
          </w:tcPr>
          <w:p>
            <w:r>
              <w:t>G2</w:t>
            </w:r>
          </w:p>
        </w:tc>
      </w:tr>
      <w:tr>
        <w:tc>
          <w:tcPr>
            <w:tcW w:type="dxa" w:w="2520"/>
          </w:tcPr>
          <w:p>
            <w:r>
              <w:t>P0</w:t>
            </w:r>
          </w:p>
        </w:tc>
        <w:tc>
          <w:tcPr>
            <w:tcW w:type="dxa" w:w="2520"/>
          </w:tcPr>
          <w:p>
            <w:r>
              <w:t>Resultado e métricas do núcleo, com integração de apresentação.</w:t>
            </w:r>
          </w:p>
        </w:tc>
        <w:tc>
          <w:tcPr>
            <w:tcW w:type="dxa" w:w="2520"/>
          </w:tcPr>
          <w:p>
            <w:r>
              <w:t>RF-06 a RF-07</w:t>
            </w:r>
          </w:p>
        </w:tc>
        <w:tc>
          <w:tcPr>
            <w:tcW w:type="dxa" w:w="2520"/>
          </w:tcPr>
          <w:p>
            <w:r>
              <w:t>G2-G3</w:t>
            </w:r>
          </w:p>
        </w:tc>
      </w:tr>
      <w:tr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Benchmark e base de execução.</w:t>
            </w:r>
          </w:p>
        </w:tc>
        <w:tc>
          <w:tcPr>
            <w:tcW w:type="dxa" w:w="2520"/>
          </w:tcPr>
          <w:p>
            <w:r>
              <w:t>RF-08</w:t>
            </w:r>
          </w:p>
        </w:tc>
        <w:tc>
          <w:tcPr>
            <w:tcW w:type="dxa" w:w="2520"/>
          </w:tcPr>
          <w:p>
            <w:r>
              <w:t>G1-G2</w:t>
            </w:r>
          </w:p>
        </w:tc>
      </w:tr>
      <w:tr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Estados, execução assíncrona, cancelamento, limites e preflight.</w:t>
            </w:r>
          </w:p>
        </w:tc>
        <w:tc>
          <w:tcPr>
            <w:tcW w:type="dxa" w:w="2520"/>
          </w:tcPr>
          <w:p>
            <w:r>
              <w:t>RF-09 a RF-12</w:t>
            </w:r>
          </w:p>
        </w:tc>
        <w:tc>
          <w:tcPr>
            <w:tcW w:type="dxa" w:w="2520"/>
          </w:tcPr>
          <w:p>
            <w:r>
              <w:t>G2-G3</w:t>
            </w:r>
          </w:p>
        </w:tc>
      </w:tr>
      <w:tr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Cena 3D/fallback, câmera, atualização ao vivo e reexecução.</w:t>
            </w:r>
          </w:p>
        </w:tc>
        <w:tc>
          <w:tcPr>
            <w:tcW w:type="dxa" w:w="2520"/>
          </w:tcPr>
          <w:p>
            <w:r>
              <w:t>RF-13 a RF-16</w:t>
            </w:r>
          </w:p>
        </w:tc>
        <w:tc>
          <w:tcPr>
            <w:tcW w:type="dxa" w:w="2520"/>
          </w:tcPr>
          <w:p>
            <w:r>
              <w:t>G3</w:t>
            </w:r>
          </w:p>
        </w:tc>
      </w:tr>
      <w:tr>
        <w:tc>
          <w:tcPr>
            <w:tcW w:type="dxa" w:w="2520"/>
          </w:tcPr>
          <w:p>
            <w:r>
              <w:t>P2</w:t>
            </w:r>
          </w:p>
        </w:tc>
        <w:tc>
          <w:tcPr>
            <w:tcW w:type="dxa" w:w="2520"/>
          </w:tcPr>
          <w:p>
            <w:r>
              <w:t>Camada didática e visual avançada.</w:t>
            </w:r>
          </w:p>
        </w:tc>
        <w:tc>
          <w:tcPr>
            <w:tcW w:type="dxa" w:w="2520"/>
          </w:tcPr>
          <w:p>
            <w:r>
              <w:t>RF-17 a RF-20</w:t>
            </w:r>
          </w:p>
        </w:tc>
        <w:tc>
          <w:tcPr>
            <w:tcW w:type="dxa" w:w="2520"/>
          </w:tcPr>
          <w:p>
            <w:r>
              <w:t>G4</w:t>
            </w:r>
          </w:p>
        </w:tc>
      </w:tr>
      <w:tr>
        <w:tc>
          <w:tcPr>
            <w:tcW w:type="dxa" w:w="2520"/>
          </w:tcPr>
          <w:p>
            <w:r>
              <w:t>P3</w:t>
            </w:r>
          </w:p>
        </w:tc>
        <w:tc>
          <w:tcPr>
            <w:tcW w:type="dxa" w:w="2520"/>
          </w:tcPr>
          <w:p>
            <w:r>
              <w:t>Extras temáticos.</w:t>
            </w:r>
          </w:p>
        </w:tc>
        <w:tc>
          <w:tcPr>
            <w:tcW w:type="dxa" w:w="2520"/>
          </w:tcPr>
          <w:p>
            <w:r>
              <w:t>RF-21 a RF-22</w:t>
            </w:r>
          </w:p>
        </w:tc>
        <w:tc>
          <w:tcPr>
            <w:tcW w:type="dxa" w:w="2520"/>
          </w:tcPr>
          <w:p>
            <w:r>
              <w:t>G5</w:t>
            </w:r>
          </w:p>
        </w:tc>
      </w:tr>
    </w:tbl>
    <w:p>
      <w:pPr>
        <w:pageBreakBefore w:val="0"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EEF7F6"/>
          </w:tcPr>
          <w:p>
            <w:r>
              <w:t>MVP OFICIAL  O MVP é o conjunto entregue até G3. G1 é o mínimo defensável do núcleo (modelo + força bruta); G2 conclui o núcleo acadêmico com backtracking com poda e comparação entre solvers; G3 fecha a experiência mínima de visualização e demonstração. A apresentação pode ser realizada com o núcleo mesmo se a camada 3D falhar, usando o fallback 2D.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/>
      </w:pPr>
      <w:r>
        <w:t>7. Portões de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5112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4464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Regra de saída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G0 - Fundação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Maven, Java 21, JavaFX 21.0.12, JUnit 5.14.3, módulos tsp-core e tsp-app, hello 3D e verificação de Scene3D.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Build limpo e teste 3D executados em Fedora e Windows; fallback 2D identificado.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G1 - TSP puro</w:t>
            </w:r>
          </w:p>
        </w:tc>
        <w:tc>
          <w:tcPr>
            <w:tcW w:type="dxa" w:w="5112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Modelo, custos, validação, força bruta, testes e CLI de benchmark.</w:t>
            </w:r>
          </w:p>
        </w:tc>
        <w:tc>
          <w:tcPr>
            <w:tcW w:type="dxa" w:w="446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Força bruta correta e determinística; benchmarks sem instrumentação UI.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G2 - Poda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Backtracking com poda, três contadores, cancelamento, limites e testes diferenciais.</w:t>
            </w:r>
          </w:p>
        </w:tc>
        <w:tc>
          <w:tcPr>
            <w:tcW w:type="dxa" w:w="4464"/>
            <w:vAlign w:val="center"/>
          </w:tcPr>
          <w:p>
            <w:r>
              <w:t>Solvers concordam em bateria de instâncias; poda, contadores, limites, cancelamento e estados testados.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G3 - MVP visual</w:t>
            </w:r>
          </w:p>
        </w:tc>
        <w:tc>
          <w:tcPr>
            <w:tcW w:type="dxa" w:w="5112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JavaFX, mapa 3D mínimo, câmera orbital, vista superior, painel, modo Corrida simples, atualização ao vivo e reexecução na mesma instância.</w:t>
            </w:r>
          </w:p>
        </w:tc>
        <w:tc>
          <w:tcPr>
            <w:tcW w:type="dxa" w:w="446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UI responsiva; solver fora da thread JavaFX; solução final visualmente verificável.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G4 - Camada didática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Modo Aula, reprodução de eventos, passo, velocidade, animação de rota, gráfico de convergência e instâncias predefinidas.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Todos os testes do núcleo e MVP permanecem verdes.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G5 - Extras</w:t>
            </w:r>
          </w:p>
        </w:tc>
        <w:tc>
          <w:tcPr>
            <w:tcW w:type="dxa" w:w="5112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Scanner e feixe/marcador visual.</w:t>
            </w:r>
          </w:p>
        </w:tc>
        <w:tc>
          <w:tcPr>
            <w:tcW w:type="dxa" w:w="446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Opcional; não altera o algoritmo nem seus contratos.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8. Funcionalidades de segundo plano</w:t>
      </w:r>
    </w:p>
    <w:p>
      <w:pPr>
        <w:pageBreakBefore w:val="0"/>
      </w:pPr>
      <w:r>
        <w:t>Estas funcionalidades não são necessárias para a entrega do MVP e somente serão implementadas depois de G3 estar estável.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Instâncias predefinidas para facilitar a apresentação e os testes.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Modo Aula com reprodução de eventos selecionados; a pausa pertence à reprodução da UI, não ao estado do solver.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Marcador luminoso/entregador simples percorrendo o ciclo ótimo.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Scanner visual para revelar cidades e conexões.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Gráfico de convergência do melhor custo ao longo do tempo.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EEF7F6"/>
          </w:tcPr>
          <w:p>
            <w:pPr>
              <w:spacing w:after="0"/>
            </w:pPr>
            <w:r>
              <w:rPr>
                <w:rFonts w:ascii="Aptos" w:hAnsi="Aptos"/>
                <w:b/>
                <w:color w:val="0F766E"/>
                <w:sz w:val="20"/>
              </w:rPr>
              <w:t xml:space="preserve">FORA DO ROADMAP ATUAL  </w:t>
            </w:r>
            <w:r>
              <w:rPr>
                <w:rFonts w:ascii="Aptos" w:hAnsi="Aptos"/>
                <w:color w:val="1F2937"/>
                <w:sz w:val="19"/>
              </w:rPr>
              <w:t>Sistema de carga, ranking/likes, clima por partículas, eventos complexos, terreno dinâmico, física, múltiplos veículos, janelas de tempo e problemas de roteamento com capacidade.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/>
      </w:pPr>
      <w:r>
        <w:t>9. Direção visual e identidade</w:t>
      </w:r>
    </w:p>
    <w:p>
      <w:pPr>
        <w:pageBreakBefore w:val="0"/>
      </w:pPr>
      <w:r>
        <w:t>A linguagem visual será inspirada em uma central futurista de logística: fundo escuro, HUD, tipografia monoespaciada, elementos luminosos e geometria 3D low-poly. A cena não deve depender de personagens ou elementos licenciados de uma franquia.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Elemento visual</w:t>
            </w:r>
          </w:p>
        </w:tc>
        <w:tc>
          <w:tcPr>
            <w:tcW w:type="dxa" w:w="864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Decisão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Mapa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Terreno simples ou malha plana; sem relevo dinâmico no MVP.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Cidades</w:t>
            </w:r>
          </w:p>
        </w:tc>
        <w:tc>
          <w:tcPr>
            <w:tcW w:type="dxa" w:w="86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Marcadores 3D simples, identificáveis e com informação ao passar o mouse.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Arestas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Não mostrar a malha completa por padrão para N grandes. Mostrar rota final, arestas sob inspeção e conexões da cidade selecionada.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Câmeras</w:t>
            </w:r>
          </w:p>
        </w:tc>
        <w:tc>
          <w:tcPr>
            <w:tcW w:type="dxa" w:w="86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Órbita básica e vista superior. A complexidade de câmera livre fica fora do escopo.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Fallback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 Scene3D não estiver disponível, abrir visão 2D funcional sem alterar o solver.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10. Identidade e propriedade intelectual</w:t>
      </w:r>
    </w:p>
    <w:p>
      <w:pPr>
        <w:pageBreakBefore w:val="0"/>
      </w:pPr>
      <w:r>
        <w:t>A temática de entregas e conexão pode ser apresentada como inspiração estética. O projeto não utilizará personagens, modelos 3D, músicas, logos, screenshots, texturas ou outros assets extraídos de Death Stranding. Nomes de terminais, marca visual, código e assets serão originais. O projeto será tratado como independente e sem afiliação com os detentores da franquia.</w:t>
      </w:r>
    </w:p>
    <w:p>
      <w:pPr>
        <w:pStyle w:val="Heading1"/>
        <w:pageBreakBefore w:val="0"/>
      </w:pPr>
      <w:r>
        <w:t>11. Fora do escopo inicial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Transformar a aplicação em um jogo completo.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Usar A*, Dijkstra ou pathfinding de terreno como parte do solver TSP principal.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Adicionar restrições de capacidade, janelas de tempo ou múltiplos veículos.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Criar física, colisões ou geração dinâmica de terreno.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Criar backend, autenticação ou persistência em nuvem.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Reproduzir fielmente locais, personagens ou elementos proprietários de uma franquia.</w:t>
      </w:r>
    </w:p>
    <w:p>
      <w:pPr>
        <w:pStyle w:val="Heading1"/>
        <w:pageBreakBefore w:val="0"/>
      </w:pPr>
      <w:r>
        <w:t>12. Critérios de sucesso</w:t>
      </w:r>
    </w:p>
    <w:p>
      <w:pPr>
        <w:pStyle w:val="ListNumber"/>
        <w:pageBreakBefore w:val="0"/>
        <w:spacing w:after="40"/>
      </w:pPr>
      <w:r>
        <w:rPr>
          <w:rFonts w:ascii="Aptos" w:hAnsi="Aptos"/>
          <w:color w:val="1F2937"/>
          <w:sz w:val="20"/>
        </w:rPr>
        <w:t>Para qualquer instância válida dentro do limite suportado, o sistema produz um ciclo válido ou encerra com um estado explícito de cancelamento/limite/erro.</w:t>
      </w:r>
    </w:p>
    <w:p>
      <w:pPr>
        <w:pStyle w:val="ListNumber"/>
        <w:pageBreakBefore w:val="0"/>
        <w:spacing w:after="40"/>
      </w:pPr>
      <w:r>
        <w:rPr>
          <w:rFonts w:ascii="Aptos" w:hAnsi="Aptos"/>
          <w:color w:val="1F2937"/>
          <w:sz w:val="20"/>
        </w:rPr>
        <w:t>Força bruta e backtracking produzem o mesmo custo ótimo e, sob a regra determinística, a mesma rota.</w:t>
      </w:r>
    </w:p>
    <w:p>
      <w:pPr>
        <w:pStyle w:val="ListNumber"/>
        <w:pageBreakBefore w:val="0"/>
        <w:spacing w:after="40"/>
      </w:pPr>
      <w:r>
        <w:rPr>
          <w:rFonts w:ascii="Aptos" w:hAnsi="Aptos"/>
          <w:color w:val="1F2937"/>
          <w:sz w:val="20"/>
        </w:rPr>
        <w:t>A interface permite entender a decisão por meio da rota, soma das transições e métricas.</w:t>
      </w:r>
    </w:p>
    <w:p>
      <w:pPr>
        <w:pStyle w:val="ListNumber"/>
        <w:pageBreakBefore w:val="0"/>
        <w:spacing w:after="40"/>
      </w:pPr>
      <w:r>
        <w:rPr>
          <w:rFonts w:ascii="Aptos" w:hAnsi="Aptos"/>
          <w:color w:val="1F2937"/>
          <w:sz w:val="20"/>
        </w:rPr>
        <w:t>O solver não depende de JavaFX para ser testado.</w:t>
      </w:r>
    </w:p>
    <w:p>
      <w:pPr>
        <w:pStyle w:val="ListNumber"/>
        <w:pageBreakBefore w:val="0"/>
        <w:spacing w:after="40"/>
      </w:pPr>
      <w:r>
        <w:rPr>
          <w:rFonts w:ascii="Aptos" w:hAnsi="Aptos"/>
          <w:color w:val="1F2937"/>
          <w:sz w:val="20"/>
        </w:rPr>
        <w:t>O benchmark pode ser reproduzido em CLI sem gravação de eventos.</w:t>
      </w:r>
    </w:p>
    <w:p>
      <w:pPr>
        <w:pStyle w:val="ListNumber"/>
        <w:pageBreakBefore w:val="0"/>
        <w:spacing w:after="40"/>
      </w:pPr>
      <w:r>
        <w:rPr>
          <w:rFonts w:ascii="Aptos" w:hAnsi="Aptos"/>
          <w:color w:val="1F2937"/>
          <w:sz w:val="20"/>
        </w:rPr>
        <w:t>A execução mantém a UI responsiva e o cancelamento atende ao requisito temporal em condições normais.</w:t>
      </w:r>
    </w:p>
    <w:p>
      <w:pPr>
        <w:pStyle w:val="Heading1"/>
        <w:pageBreakBefore/>
      </w:pPr>
      <w:r>
        <w:t>13. Princípios de decisão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Correção do algoritmo antes da estética.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Clareza acadêmica antes da quantidade de efeitos.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Observabilidade antes de extras de jogo.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Arquitetura modular antes de otimizações prematuras.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Benchmarks e contadores antes de afirmações de desempenho universais.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Nenhum extra pode alterar o contrato matemático do TSP.</w:t>
      </w:r>
    </w:p>
    <w:p>
      <w:pPr>
        <w:pStyle w:val="Heading1"/>
        <w:pageBreakBefore w:val="0"/>
      </w:pPr>
      <w:r>
        <w:t>14. 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Termo</w:t>
            </w:r>
          </w:p>
        </w:tc>
        <w:tc>
          <w:tcPr>
            <w:tcW w:type="dxa" w:w="504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TSP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Travelling Salesman Problem / Problema do Caixeiro Viajante.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Instância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Conjunto específico de cidades, posições, origem e custos.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Vértice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Cidade/terminal representado no grafo.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Aresta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Conexão possível entre dois vértices.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Peso/custo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Valor inteiro associado à conexão.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Ciclo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Rota que começa e termina na mesma cidade e visita cada cidade uma vez.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Nó visitado</w:t>
            </w:r>
          </w:p>
        </w:tc>
        <w:tc>
          <w:tcPr>
            <w:tcW w:type="dxa" w:w="5040"/>
            <w:vAlign w:val="center"/>
          </w:tcPr>
          <w:p>
            <w:r>
              <w:t>Estado parcial efetivamente processado pelo backtracking; pode ser folha, estado interno ou estado em que a poda é verificada.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Rota descartada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Ciclo completo que não será avaliado porque sua subárvore foi podada; a contagem usa o número de permutações restantes.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Poda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Interrupção de uma subárvore que não pode produzir uma solução melhor que a melhor já conhecida.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Modo Aula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Reprodução controlada de eventos gravados para instâncias pequenas.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Modo Corrida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Execução livre do solver em thread separada, com atualização periódica da UI.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15. Histórico da revisão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336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336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Principais alterações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v0.1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Definição inicial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Escopo preliminar, MVP e direção visual.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v0.2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06/10/2026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Poda obrigatória, métricas ampliadas, custo inteiro, determinismo, benchmark, cancelamento, portões e redução de extras.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v0.3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06/10/2026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IDs RF unificados e rastreáveis, MVP fechado em G3, SolverStatus separado de PlaybackStatus, limites definidos, fallback 2D, política de arestas, generator determinístico, eventos e versões de JavaFX/JUnit fixadas.</w:t>
            </w:r>
          </w:p>
        </w:tc>
      </w:tr>
      <w:tr>
        <w:tc>
          <w:tcPr>
            <w:tcW w:type="dxa" w:w="3360"/>
          </w:tcPr>
          <w:p>
            <w:r>
              <w:t>v0.4</w:t>
            </w:r>
          </w:p>
        </w:tc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Correção de rastreabilidade RF→evidências; BigInteger para contagens teóricas; histograma de podas; estados e reprodução; origem index 0; eventos NEW_BEST separados; gerador com coordenadas inteiras; ajuste final do MVP e gates.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16. Referências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APPLEGATE, David L.; BIXBY, Robert E.; CHVATAL, Vasek; COOK, William J. The Traveling Salesman Problem: A Computational Study. Princeton University Press, 2006.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CORMEN, Thomas H. et al. Introduction to Algorithms. 4. ed. MIT Press, 2022.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SEDGEWICK, Robert; WAYNE, Kevin. Algorithms. 4. ed. Addison-Wesley, 2011.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OpenJFX. Documentação oficial e linha JavaFX 21. Projeto dependente gerenciado por Maven.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JUnit. Documentação oficial e JUnit Jupiter 5.14.3.</w:t>
      </w:r>
    </w:p>
    <w:p>
      <w:r>
        <w:t xml:space="preserve">Revisão de escopo acadêmico — 19/10/2026 (após a PR #34)</w:t>
      </w:r>
    </w:p>
    <w:p>
      <w:r>
        <w:t xml:space="preserve">Decisão aprovada: dois problemas distintos. Força bruta e backtracking continuam resolvendo o TSP: ciclo hamiltoniano mínimo que visita todas as cidades e retorna à origem 0. Dijkstra clássico resolve caminhos mínimos entre refúgios, de uma origem aos destinos alcançáveis. Um caminho de Dijkstra não é uma solução do TSP.</w:t>
      </w:r>
    </w:p>
    <w:p>
      <w:r>
        <w:t xml:space="preserve">Esta revisão acrescenta a nova exigência e substitui a exclusão anterior de Dijkstra no escopo geral, preservando o histórico e todos os contratos matemáticos do TSP. Não foi implementado Dijkstra sobre máscaras ou estados expandidos do TSP.</w:t>
      </w:r>
    </w:p>
    <w:p>
      <w:r>
        <w:t xml:space="preserve">RefugeTopology define conexões disponíveis; RefugeGraph usa os mesmos índices e exatamente TspProblem.cost(u,v) em cada conexão. Há topologia completa implícita, esparsa conectada reproduzível por seed e manual inclusive desconectada. A matriz original não é alterada e o terreno não define custos.</w:t>
      </w:r>
    </w:p>
    <w:p>
      <w:r>
        <w:t xml:space="preserve">DijkstraShortestPathSolver possui heap indexado, extração por menor distância, fixação definitiva, relaxamento e predecessores. Distâncias e somas são BigInteger, incluindo resultados acima de Long.MAX_VALUE. Ausência de conexão/distância é explícita. ShortestPathResult é separado de TspResult e de TspSolver.</w:t>
      </w:r>
    </w:p>
    <w:p>
      <w:r>
        <w:t xml:space="preserve">Desempate determinístico: fila por distância e índice, vizinhos crescentes, igualdade preserva predecessor. Não se promete caminho lexicograficamente mínimo. A ordem de fixação diminui seguindo predecessores, impedindo ciclos inclusive com pesos zero.</w:t>
      </w:r>
    </w:p>
    <w:p>
      <w:r>
        <w:t xml:space="preserve">Somente distâncias fixadas são CONFIRMADO. Interrupções preservam apenas confirmações; rótulos tentativos são omitidos. INALCANCAVEL exige busca CONCLUIDO. CANCELADO, LIMITE_ATINGIDO e ERRO são distintos e possuem motivo. Limites de vértices, entradas examinadas e tempo são cooperativos.</w:t>
      </w:r>
    </w:p>
    <w:p>
      <w:r>
        <w:t xml:space="preserve">Complexidade: força bruta e backtracking têm pior caso O(N*(N-1)!) e espaço auxiliar O(N). Dijkstra com heap indexado usa O((V+E)*log V) operações aritméticas e O(V) espaço auxiliar. BigInteger depende dos bits das distâncias. A topologia explícita ocupa O(V+E) e a matriz existente permanece O(V²). Estimativas de memória não são reservas nem limites reais de heap.</w:t>
      </w:r>
    </w:p>
    <w:p>
      <w:r>
        <w:t xml:space="preserve">A auditoria independente usa Floyd–Warshall exclusivamente nos testes, com matrizes manuais, custos zero, empates, desconexões, extremos long, resultados BigInteger, interrupções, limites exatos e reprodução. O baseline TSP permanece preservado.</w:t>
      </w:r>
    </w:p>
    <w:p>
      <w:r>
        <w:t xml:space="preserve">Entregas: PR A — núcleo de caminhos mínimos, contratos, testes e documentação; PR B — issue #12, painel assíncrono e adaptação 3D/2D; PR C — issue #13, validação e demonstração acadêmica. A PR A não implementa o painel. Detalhes normativos atuais, métricas, limites e comandos: docs/CAMINHOS_MINIMOS.md.</w:t>
      </w:r>
    </w:p>
    <w:sectPr w:rsidR="00FC693F" w:rsidRPr="0006063C" w:rsidSect="00034616">
      <w:footerReference w:type="default" r:id="rId9"/>
      <w:footerReference w:type="first" r:id="rId10"/>
      <w:footerReference w:type="even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TSP Delivery Route System - documento de projeto - v0.4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F76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