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Test des 5 blessures de l'âme · Vie Florissante</w:t>
      </w:r>
    </w:p>
    <w:p>
      <w:pPr>
        <w:pStyle w:val="Title"/>
      </w:pPr>
      <w:r>
        <w:rPr>
          <w:b w:val="0"/>
          <w:i w:val="0"/>
        </w:rPr>
        <w:t>Chronique des versions</w:t>
      </w:r>
    </w:p>
    <w:p>
      <w:r>
        <w:rPr>
          <w:b w:val="0"/>
          <w:i w:val="0"/>
        </w:rPr>
        <w:t>Récapitulatif fonctionnel complet de la construction du produit, du premier test mis en ligne jusqu'à l'état actuel. Rédigé pour alimenter le dossier BR/SLA : chaque fonctionnalité porte une référence citable, et la dernière partie rassemble les conditions d'exploitation.</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Périmètre</w:t>
            </w:r>
          </w:p>
        </w:tc>
        <w:tc>
          <w:tcPr>
            <w:tcW w:type="dxa" w:w="4320"/>
          </w:tcPr>
          <w:p>
            <w:r/>
            <w:r>
              <w:rPr>
                <w:b/>
                <w:sz w:val="19"/>
              </w:rPr>
              <w:t>Livraisons #1 à #27</w:t>
            </w:r>
          </w:p>
        </w:tc>
      </w:tr>
      <w:tr>
        <w:tc>
          <w:tcPr>
            <w:tcW w:type="dxa" w:w="4320"/>
          </w:tcPr>
          <w:p>
            <w:r/>
            <w:r>
              <w:rPr>
                <w:sz w:val="19"/>
              </w:rPr>
              <w:t>Première mise en ligne</w:t>
            </w:r>
          </w:p>
        </w:tc>
        <w:tc>
          <w:tcPr>
            <w:tcW w:type="dxa" w:w="4320"/>
          </w:tcPr>
          <w:p>
            <w:r/>
            <w:r>
              <w:rPr>
                <w:sz w:val="19"/>
              </w:rPr>
              <w:t>9 août 2026</w:t>
            </w:r>
          </w:p>
        </w:tc>
      </w:tr>
      <w:tr>
        <w:tc>
          <w:tcPr>
            <w:tcW w:type="dxa" w:w="4320"/>
          </w:tcPr>
          <w:p>
            <w:r/>
            <w:r>
              <w:rPr>
                <w:sz w:val="19"/>
              </w:rPr>
              <w:t>Dernière livraison</w:t>
            </w:r>
          </w:p>
        </w:tc>
        <w:tc>
          <w:tcPr>
            <w:tcW w:type="dxa" w:w="4320"/>
          </w:tcPr>
          <w:p>
            <w:r/>
            <w:r>
              <w:rPr>
                <w:sz w:val="19"/>
              </w:rPr>
              <w:t>21 septembre 2026</w:t>
            </w:r>
          </w:p>
        </w:tc>
      </w:tr>
      <w:tr>
        <w:tc>
          <w:tcPr>
            <w:tcW w:type="dxa" w:w="4320"/>
          </w:tcPr>
          <w:p>
            <w:r/>
            <w:r>
              <w:rPr>
                <w:sz w:val="19"/>
              </w:rPr>
              <w:t>Mise en service</w:t>
            </w:r>
          </w:p>
        </w:tc>
        <w:tc>
          <w:tcPr>
            <w:tcW w:type="dxa" w:w="4320"/>
          </w:tcPr>
          <w:p>
            <w:r/>
            <w:r>
              <w:rPr>
                <w:sz w:val="19"/>
              </w:rPr>
              <w:t>16 septembre 2026</w:t>
            </w:r>
          </w:p>
        </w:tc>
      </w:tr>
      <w:tr>
        <w:tc>
          <w:tcPr>
            <w:tcW w:type="dxa" w:w="4320"/>
          </w:tcPr>
          <w:p>
            <w:r/>
            <w:r>
              <w:rPr>
                <w:sz w:val="19"/>
              </w:rPr>
              <w:t>Adresse de production</w:t>
            </w:r>
          </w:p>
        </w:tc>
        <w:tc>
          <w:tcPr>
            <w:tcW w:type="dxa" w:w="4320"/>
          </w:tcPr>
          <w:p>
            <w:r/>
            <w:r>
              <w:rPr>
                <w:sz w:val="19"/>
              </w:rPr>
              <w:t>coaching.vieflorissante.com</w:t>
            </w:r>
          </w:p>
        </w:tc>
      </w:tr>
      <w:tr>
        <w:tc>
          <w:tcPr>
            <w:tcW w:type="dxa" w:w="4320"/>
          </w:tcPr>
          <w:p>
            <w:r/>
            <w:r>
              <w:rPr>
                <w:sz w:val="19"/>
              </w:rPr>
              <w:t>Versions étiquetées</w:t>
            </w:r>
          </w:p>
        </w:tc>
        <w:tc>
          <w:tcPr>
            <w:tcW w:type="dxa" w:w="4320"/>
          </w:tcPr>
          <w:p>
            <w:r/>
            <w:r>
              <w:rPr>
                <w:sz w:val="19"/>
              </w:rPr>
              <w:t>V1, V2, V3, V3.1, V5, V6, V7</w:t>
            </w:r>
          </w:p>
        </w:tc>
      </w:tr>
      <w:tr>
        <w:tc>
          <w:tcPr>
            <w:tcW w:type="dxa" w:w="4320"/>
          </w:tcPr>
          <w:p>
            <w:r/>
            <w:r>
              <w:rPr>
                <w:sz w:val="19"/>
              </w:rPr>
              <w:t>Migrations base</w:t>
            </w:r>
          </w:p>
        </w:tc>
        <w:tc>
          <w:tcPr>
            <w:tcW w:type="dxa" w:w="4320"/>
          </w:tcPr>
          <w:p>
            <w:r/>
            <w:r>
              <w:rPr>
                <w:sz w:val="19"/>
              </w:rPr>
              <w:t>002 à 006, exécutées</w:t>
            </w:r>
          </w:p>
        </w:tc>
      </w:tr>
      <w:tr>
        <w:tc>
          <w:tcPr>
            <w:tcW w:type="dxa" w:w="4320"/>
          </w:tcPr>
          <w:p>
            <w:r/>
            <w:r>
              <w:rPr>
                <w:sz w:val="19"/>
              </w:rPr>
              <w:t>Couverture de test</w:t>
            </w:r>
          </w:p>
        </w:tc>
        <w:tc>
          <w:tcPr>
            <w:tcW w:type="dxa" w:w="4320"/>
          </w:tcPr>
          <w:p>
            <w:r/>
            <w:r>
              <w:rPr>
                <w:sz w:val="19"/>
              </w:rPr>
              <w:t>106 assertions automatisées</w:t>
            </w:r>
          </w:p>
        </w:tc>
      </w:tr>
    </w:tbl>
    <w:p/>
    <w:p>
      <w:r>
        <w:rPr>
          <w:b w:val="0"/>
          <w:i w:val="0"/>
        </w:rPr>
        <w:t>V1 · 9 août 2026 · livraison #1</w:t>
      </w:r>
    </w:p>
    <w:p>
      <w:pPr>
        <w:pStyle w:val="Heading2"/>
      </w:pPr>
      <w:r>
        <w:rPr>
          <w:b w:val="0"/>
          <w:i w:val="0"/>
          <w:color w:val="2C7A52"/>
        </w:rPr>
        <w:t>Le test, seul</w:t>
      </w:r>
    </w:p>
    <w:p>
      <w:r>
        <w:rPr>
          <w:b w:val="0"/>
          <w:i w:val="0"/>
        </w:rPr>
        <w:t>Première mise en ligne : une application autonome qui fait passer le test et rend son verdict, sans rien enregistrer.</w:t>
      </w:r>
    </w:p>
    <w:p>
      <w:pPr>
        <w:pStyle w:val="Heading3"/>
      </w:pPr>
      <w:r>
        <w:rPr>
          <w:b w:val="0"/>
          <w:i w:val="0"/>
        </w:rPr>
        <w:t>V1-01 — Passation des 50 affirmations</w:t>
      </w:r>
    </w:p>
    <w:p>
      <w:r>
        <w:rPr>
          <w:b w:val="0"/>
          <w:i w:val="0"/>
        </w:rPr>
        <w:t>Les 50 affirmations, 10 par blessure, notées de 1 (Non) à 3 (Oui). Calcul des scores des cinq blessures — Trahison, Rejet, Abandon, Humiliation, Injustice — et affichage de la blessure dominante avec son analyse complète.</w:t>
      </w:r>
    </w:p>
    <w:p>
      <w:r>
        <w:rPr>
          <w:b w:val="0"/>
          <w:i w:val="0"/>
        </w:rPr>
        <w:t>[Fondation]</w:t>
      </w:r>
    </w:p>
    <w:p>
      <w:pPr>
        <w:pStyle w:val="Heading3"/>
      </w:pPr>
      <w:r>
        <w:rPr>
          <w:b w:val="0"/>
          <w:i w:val="0"/>
        </w:rPr>
        <w:t>V1-02 — Reprise d'un test interrompu</w:t>
      </w:r>
    </w:p>
    <w:p>
      <w:r>
        <w:rPr>
          <w:b w:val="0"/>
          <w:i w:val="0"/>
        </w:rPr>
        <w:t>Les réponses sont conservées dans le navigateur au fil de la passation : une personne interrompue retrouve son test là où elle l'avait laissé.</w:t>
      </w:r>
    </w:p>
    <w:p>
      <w:r>
        <w:rPr>
          <w:b w:val="0"/>
          <w:i w:val="0"/>
        </w:rPr>
        <w:t>[Livré]</w:t>
      </w:r>
    </w:p>
    <w:p>
      <w:pPr>
        <w:pStyle w:val="Heading3"/>
      </w:pPr>
      <w:r>
        <w:rPr>
          <w:b w:val="0"/>
          <w:i w:val="0"/>
        </w:rPr>
        <w:t>V1-03 — Prise de rendez-vous et impression</w:t>
      </w:r>
    </w:p>
    <w:p>
      <w:r>
        <w:rPr>
          <w:b w:val="0"/>
          <w:i w:val="0"/>
        </w:rPr>
        <w:t>Un bouton propose de réserver une séance d'accompagnement, avec un e-mail pré-rempli. Un second permet d'imprimer ou d'enregistrer le bulletin en PDF.</w:t>
      </w:r>
    </w:p>
    <w:p>
      <w:r>
        <w:rPr>
          <w:b w:val="0"/>
          <w:i w:val="0"/>
        </w:rPr>
        <w:t>[Livré]</w:t>
      </w:r>
    </w:p>
    <w:p>
      <w:r>
        <w:rPr>
          <w:b w:val="0"/>
          <w:i w:val="0"/>
        </w:rPr>
        <w:t>V2 · 9 août 2026 · livraison #1</w:t>
      </w:r>
    </w:p>
    <w:p>
      <w:pPr>
        <w:pStyle w:val="Heading2"/>
      </w:pPr>
      <w:r>
        <w:rPr>
          <w:b w:val="0"/>
          <w:i w:val="0"/>
          <w:color w:val="2C7A52"/>
        </w:rPr>
        <w:t>Enregistrement et suivi dans le temps</w:t>
      </w:r>
    </w:p>
    <w:p>
      <w:r>
        <w:rPr>
          <w:b w:val="0"/>
          <w:i w:val="0"/>
        </w:rPr>
        <w:t>Refonte engagée le jour même, après les premiers retours d'usage. C'est elle qui fait passer l'outil d'un test ponctuel à un dispositif d'accompagnement.</w:t>
      </w:r>
    </w:p>
    <w:p>
      <w:pPr>
        <w:pStyle w:val="Heading3"/>
      </w:pPr>
      <w:r>
        <w:rPr>
          <w:b w:val="0"/>
          <w:i w:val="0"/>
        </w:rPr>
        <w:t>V2-01 — Recueil des coordonnées et consentement</w:t>
      </w:r>
    </w:p>
    <w:p>
      <w:r>
        <w:rPr>
          <w:b w:val="0"/>
          <w:i w:val="0"/>
        </w:rPr>
        <w:t>Un formulaire d'accueil précède le test : prénom, nom, e-mail, et selon les versions téléphone, ville et code postal. Un consentement explicite est demandé pour l'enregistrement des réponses et la proposition d'un accompagnement.</w:t>
      </w:r>
    </w:p>
    <w:p>
      <w:r>
        <w:rPr>
          <w:b w:val="0"/>
          <w:i w:val="0"/>
        </w:rPr>
        <w:t>[Livré]</w:t>
      </w:r>
    </w:p>
    <w:p>
      <w:pPr>
        <w:pStyle w:val="Heading3"/>
      </w:pPr>
      <w:r>
        <w:rPr>
          <w:b w:val="0"/>
          <w:i w:val="0"/>
        </w:rPr>
        <w:t>V2-02 — Enregistrement de chaque passation</w:t>
      </w:r>
    </w:p>
    <w:p>
      <w:r>
        <w:rPr>
          <w:b w:val="0"/>
          <w:i w:val="0"/>
        </w:rPr>
        <w:t>Chaque test terminé est enregistré en base et rattaché aux passations précédentes de la même personne, ce qui rend le suivi d'évolution possible.</w:t>
      </w:r>
    </w:p>
    <w:p>
      <w:r>
        <w:rPr>
          <w:b w:val="0"/>
          <w:i w:val="0"/>
        </w:rPr>
        <w:t>Les scores sont recalculés côté serveur à partir des réponses brutes : c'est le serveur qui détermine la blessure dominante, pas le navigateur.</w:t>
      </w:r>
    </w:p>
    <w:p>
      <w:r>
        <w:rPr>
          <w:b w:val="0"/>
          <w:i w:val="0"/>
        </w:rPr>
        <w:t>[Livré]</w:t>
      </w:r>
    </w:p>
    <w:p>
      <w:pPr>
        <w:pStyle w:val="Heading3"/>
      </w:pPr>
      <w:r>
        <w:rPr>
          <w:b w:val="0"/>
          <w:i w:val="0"/>
        </w:rPr>
        <w:t>V2-03 — Bulletin resserré</w:t>
      </w:r>
    </w:p>
    <w:p>
      <w:r>
        <w:rPr>
          <w:b w:val="0"/>
          <w:i w:val="0"/>
        </w:rPr>
        <w:t>Le rapport ne détaille que la blessure dominante — les ex æquo sont gérés — et la blessure suivante au classement, pour une première lecture qui n'écrase pas. Le graphique montre néanmoins les cinq scores.</w:t>
      </w:r>
    </w:p>
    <w:p>
      <w:r>
        <w:rPr>
          <w:b w:val="0"/>
          <w:i w:val="0"/>
        </w:rPr>
        <w:t>[Livré]</w:t>
      </w:r>
    </w:p>
    <w:p>
      <w:pPr>
        <w:pStyle w:val="Heading3"/>
      </w:pPr>
      <w:r>
        <w:rPr>
          <w:b w:val="0"/>
          <w:i w:val="0"/>
        </w:rPr>
        <w:t>V2-04 — Blessure masquée pendant le test</w:t>
      </w:r>
    </w:p>
    <w:p>
      <w:r>
        <w:rPr>
          <w:b w:val="0"/>
          <w:i w:val="0"/>
        </w:rPr>
        <w:t>Le nom de la blessure évaluée n'apparaît pas au fil des questions, pour ne pas orienter les réponses. Demande issue d'un retour d'usage, pas d'une intuition de conception.</w:t>
      </w:r>
    </w:p>
    <w:p>
      <w:r>
        <w:rPr>
          <w:b w:val="0"/>
          <w:i w:val="0"/>
        </w:rPr>
        <w:t>[Livré]</w:t>
      </w:r>
    </w:p>
    <w:p>
      <w:pPr>
        <w:pStyle w:val="Heading3"/>
      </w:pPr>
      <w:r>
        <w:rPr>
          <w:b w:val="0"/>
          <w:i w:val="0"/>
        </w:rPr>
        <w:t>V2-05 — Verset intégral sur la version imprimée</w:t>
      </w:r>
    </w:p>
    <w:p>
      <w:r>
        <w:rPr>
          <w:b w:val="0"/>
          <w:i w:val="0"/>
        </w:rPr>
        <w:t>Le verset de 3 Jean 1:2, central pour l'usage spirituel du test, apparaît en entier sur le bulletin et sur sa version papier.</w:t>
      </w:r>
    </w:p>
    <w:p>
      <w:r>
        <w:rPr>
          <w:b w:val="0"/>
          <w:i w:val="0"/>
        </w:rPr>
        <w:t>[Livré]</w:t>
      </w:r>
    </w:p>
    <w:p>
      <w:pPr>
        <w:pStyle w:val="Heading3"/>
      </w:pPr>
      <w:r>
        <w:rPr>
          <w:b w:val="0"/>
          <w:i w:val="0"/>
        </w:rPr>
        <w:t>V2-06 — Tableau de bord d'administration</w:t>
      </w:r>
    </w:p>
    <w:p>
      <w:r>
        <w:rPr>
          <w:b w:val="0"/>
          <w:i w:val="0"/>
        </w:rPr>
        <w:t>Une page distincte, protégée par mot de passe, liste tous les participants et affiche pour chacun un graphique d'évolution des cinq blessures, avec plusieurs fenêtres de lecture (6 mois, 1 an, 3 ans, 5 ans, tout).</w:t>
      </w:r>
    </w:p>
    <w:p>
      <w:r>
        <w:rPr>
          <w:b w:val="0"/>
          <w:i w:val="0"/>
        </w:rPr>
        <w:t>[Livré]</w:t>
      </w:r>
    </w:p>
    <w:p>
      <w:pPr>
        <w:pStyle w:val="Heading3"/>
      </w:pPr>
      <w:r>
        <w:rPr>
          <w:b w:val="0"/>
          <w:i w:val="0"/>
        </w:rPr>
        <w:t>V2-07 — Rappel automatique à 6 mois</w:t>
      </w:r>
    </w:p>
    <w:p>
      <w:r>
        <w:rPr>
          <w:b w:val="0"/>
          <w:i w:val="0"/>
        </w:rPr>
        <w:t>Une tâche planifiée quotidienne relance par e-mail les personnes n'ayant pas refait le test depuis six mois. Optionnelle : en l'absence de configuration d'envoi, le reste de l'application fonctionne normalement.</w:t>
      </w:r>
    </w:p>
    <w:p>
      <w:r>
        <w:rPr>
          <w:b w:val="0"/>
          <w:i w:val="0"/>
        </w:rPr>
        <w:t>[Livré]</w:t>
      </w:r>
    </w:p>
    <w:p>
      <w:r>
        <w:rPr>
          <w:b w:val="0"/>
          <w:i w:val="0"/>
        </w:rPr>
        <w:t>Fiabilisation · 11 août 2026 · livraisons #2 à #6</w:t>
      </w:r>
    </w:p>
    <w:p>
      <w:pPr>
        <w:pStyle w:val="Heading2"/>
      </w:pPr>
      <w:r>
        <w:rPr>
          <w:b w:val="0"/>
          <w:i w:val="0"/>
          <w:color w:val="2C7A52"/>
        </w:rPr>
        <w:t>Correction des pertes de données</w:t>
      </w:r>
    </w:p>
    <w:p>
      <w:r>
        <w:rPr>
          <w:b w:val="0"/>
          <w:i w:val="0"/>
        </w:rPr>
        <w:t>Quatre livraisons consécutives déclenchées par des passations qui n'arrivaient pas en base. Toutes portent sur la même famille de problème : un test terminé qui ne s'enregistrait pas.</w:t>
      </w:r>
    </w:p>
    <w:p>
      <w:pPr>
        <w:pStyle w:val="Heading3"/>
      </w:pPr>
      <w:r>
        <w:rPr>
          <w:b w:val="0"/>
          <w:i w:val="0"/>
        </w:rPr>
        <w:t>FIA-01 — Diagnostic des échecs d'enregistrement</w:t>
      </w:r>
    </w:p>
    <w:p>
      <w:r>
        <w:rPr>
          <w:b w:val="0"/>
          <w:i w:val="0"/>
        </w:rPr>
        <w:t>L'enregistrement échouait sans laisser de trace exploitable. Les refus du serveur détaillent désormais ce qui n'allait pas, ce qui a permis d'identifier les trois causes suivantes.</w:t>
      </w:r>
    </w:p>
    <w:p>
      <w:r>
        <w:rPr>
          <w:b w:val="0"/>
          <w:i w:val="0"/>
        </w:rPr>
        <w:t>[Correctif]</w:t>
      </w:r>
    </w:p>
    <w:p>
      <w:pPr>
        <w:pStyle w:val="Heading3"/>
      </w:pPr>
      <w:r>
        <w:rPr>
          <w:b w:val="0"/>
          <w:i w:val="0"/>
        </w:rPr>
        <w:t>FIA-02 — Formulaire accepté, serveur refusant</w:t>
      </w:r>
    </w:p>
    <w:p>
      <w:r>
        <w:rPr>
          <w:b w:val="0"/>
          <w:i w:val="0"/>
        </w:rPr>
        <w:t>Le contrôle d'adresse e-mail était plus strict côté serveur que dans le formulaire : certaines adresses passaient la saisie puis étaient rejetées à l'enregistrement. Les deux contrôles sont alignés.</w:t>
      </w:r>
    </w:p>
    <w:p>
      <w:r>
        <w:rPr>
          <w:b w:val="0"/>
          <w:i w:val="0"/>
        </w:rPr>
        <w:t>[Correctif]</w:t>
      </w:r>
    </w:p>
    <w:p>
      <w:pPr>
        <w:pStyle w:val="Heading3"/>
      </w:pPr>
      <w:r>
        <w:rPr>
          <w:b w:val="0"/>
          <w:i w:val="0"/>
        </w:rPr>
        <w:t>FIA-03 — Question sautée par un double clic</w:t>
      </w:r>
    </w:p>
    <w:p>
      <w:r>
        <w:rPr>
          <w:b w:val="0"/>
          <w:i w:val="0"/>
        </w:rPr>
        <w:t>Un second clic pendant la transition entre deux questions lançait un second enchaînement en parallèle et sautait une question. Le test paraissait terminé alors qu'une réponse manquait, et l'enregistrement était refusé.</w:t>
      </w:r>
    </w:p>
    <w:p>
      <w:r>
        <w:rPr>
          <w:b w:val="0"/>
          <w:i w:val="0"/>
        </w:rPr>
        <w:t>[Correctif]</w:t>
      </w:r>
    </w:p>
    <w:p>
      <w:pPr>
        <w:pStyle w:val="Heading3"/>
      </w:pPr>
      <w:r>
        <w:rPr>
          <w:b w:val="0"/>
          <w:i w:val="0"/>
        </w:rPr>
        <w:t>FIA-04 — Tolérance sur le format des réponses</w:t>
      </w:r>
    </w:p>
    <w:p>
      <w:r>
        <w:rPr>
          <w:b w:val="0"/>
          <w:i w:val="0"/>
        </w:rPr>
        <w:t>Les réponses transmises sous forme de texte plutôt que de nombre sont désormais acceptées et converties, au lieu d'entraîner un rejet de la passation entière.</w:t>
      </w:r>
    </w:p>
    <w:p>
      <w:r>
        <w:rPr>
          <w:b w:val="0"/>
          <w:i w:val="0"/>
        </w:rPr>
        <w:t>[Correctif]</w:t>
      </w:r>
    </w:p>
    <w:p>
      <w:r>
        <w:rPr>
          <w:b w:val="0"/>
          <w:i w:val="0"/>
        </w:rPr>
        <w:t>V3 et V3.1 · 13 août 2026 · livraisons #7 à #9</w:t>
      </w:r>
    </w:p>
    <w:p>
      <w:pPr>
        <w:pStyle w:val="Heading2"/>
      </w:pPr>
      <w:r>
        <w:rPr>
          <w:b w:val="0"/>
          <w:i w:val="0"/>
          <w:color w:val="2C7A52"/>
        </w:rPr>
        <w:t>Genre, identité de suivi, administration enrichie</w:t>
      </w:r>
    </w:p>
    <w:p>
      <w:pPr>
        <w:pStyle w:val="Heading3"/>
      </w:pPr>
      <w:r>
        <w:rPr>
          <w:b w:val="0"/>
          <w:i w:val="0"/>
        </w:rPr>
        <w:t>V3-01 — Choix du genre en tête de formulaire</w:t>
      </w:r>
    </w:p>
    <w:p>
      <w:r>
        <w:rPr>
          <w:b w:val="0"/>
          <w:i w:val="0"/>
        </w:rPr>
        <w:t>Le genre est demandé en premier : il commande la palette de couleurs et l'accord grammatical de tout le contenu — le verset comme les fiches de blessure.</w:t>
      </w:r>
    </w:p>
    <w:p>
      <w:r>
        <w:rPr>
          <w:b w:val="0"/>
          <w:i w:val="0"/>
        </w:rPr>
        <w:t>[Livré]</w:t>
      </w:r>
    </w:p>
    <w:p>
      <w:pPr>
        <w:pStyle w:val="Heading3"/>
      </w:pPr>
      <w:r>
        <w:rPr>
          <w:b w:val="0"/>
          <w:i w:val="0"/>
        </w:rPr>
        <w:t>V3-02 — Téléphone comme identifiant de suivi</w:t>
      </w:r>
    </w:p>
    <w:p>
      <w:r>
        <w:rPr>
          <w:b w:val="0"/>
          <w:i w:val="0"/>
        </w:rPr>
        <w:t>Le rattachement des passations successives se fait désormais par le numéro de téléphone plutôt que par l'adresse e-mail, qui change plus souvent au fil des années. La V3.1 a rétabli l'e-mail comme obligatoire, pour le contact et les rappels.</w:t>
      </w:r>
    </w:p>
    <w:p>
      <w:r>
        <w:rPr>
          <w:b w:val="0"/>
          <w:i w:val="0"/>
        </w:rPr>
        <w:t>[Livré]</w:t>
      </w:r>
    </w:p>
    <w:p>
      <w:pPr>
        <w:pStyle w:val="Heading3"/>
      </w:pPr>
      <w:r>
        <w:rPr>
          <w:b w:val="0"/>
          <w:i w:val="0"/>
        </w:rPr>
        <w:t>V3-03 — Lecture rapide et filtrage côté administration</w:t>
      </w:r>
    </w:p>
    <w:p>
      <w:r>
        <w:rPr>
          <w:b w:val="0"/>
          <w:i w:val="0"/>
        </w:rPr>
        <w:t>Une colonne « blessure dominante / modérée » avec code couleur, un filtre par blessure dominante, et des zones de sévérité en fond du graphique (dominante, modérée, peu présente, peu marquée).</w:t>
      </w:r>
    </w:p>
    <w:p>
      <w:r>
        <w:rPr>
          <w:b w:val="0"/>
          <w:i w:val="0"/>
        </w:rPr>
        <w:t>[Livré]</w:t>
      </w:r>
    </w:p>
    <w:p>
      <w:pPr>
        <w:pStyle w:val="Heading3"/>
      </w:pPr>
      <w:r>
        <w:rPr>
          <w:b w:val="0"/>
          <w:i w:val="0"/>
        </w:rPr>
        <w:t>V3-04 — Rapport rejouable pour l'accompagnant</w:t>
      </w:r>
    </w:p>
    <w:p>
      <w:r>
        <w:rPr>
          <w:b w:val="0"/>
          <w:i w:val="0"/>
        </w:rPr>
        <w:t>Cliquer sur un test passé affiche le rapport complet tel que la personne l'a vu, accord de genre compris. C'est ce qui permet de préparer un entretien à partir d'une passation ancienne.</w:t>
      </w:r>
    </w:p>
    <w:p>
      <w:r>
        <w:rPr>
          <w:b w:val="0"/>
          <w:i w:val="0"/>
        </w:rPr>
        <w:t>[Livré]</w:t>
      </w:r>
    </w:p>
    <w:p>
      <w:pPr>
        <w:pStyle w:val="Heading3"/>
      </w:pPr>
      <w:r>
        <w:rPr>
          <w:b w:val="0"/>
          <w:i w:val="0"/>
        </w:rPr>
        <w:t>V3-05 — Migration sans perte de données historiques</w:t>
      </w:r>
    </w:p>
    <w:p>
      <w:r>
        <w:rPr>
          <w:b w:val="0"/>
          <w:i w:val="0"/>
        </w:rPr>
        <w:t>Rendre le téléphone obligatoire et unique aurait rejeté les dossiers antérieurs incomplets. La migration remplit d'abord les valeurs manquantes et dédoublonne, avant d'appliquer la contrainte. Aucune ligne existante n'a été perdue.</w:t>
      </w:r>
    </w:p>
    <w:p>
      <w:r>
        <w:rPr>
          <w:b w:val="0"/>
          <w:i w:val="0"/>
        </w:rPr>
        <w:t>[Exécutée]</w:t>
      </w:r>
    </w:p>
    <w:p>
      <w:r>
        <w:rPr>
          <w:b w:val="0"/>
          <w:i w:val="0"/>
        </w:rPr>
        <w:t>Outillage · 13 au 17 août 2026 · livraisons #10 à #17</w:t>
      </w:r>
    </w:p>
    <w:p>
      <w:pPr>
        <w:pStyle w:val="Heading2"/>
      </w:pPr>
      <w:r>
        <w:rPr>
          <w:b w:val="0"/>
          <w:i w:val="0"/>
          <w:color w:val="2C7A52"/>
        </w:rPr>
        <w:t>Outillage de l'administration</w:t>
      </w:r>
    </w:p>
    <w:p>
      <w:r>
        <w:rPr>
          <w:b w:val="0"/>
          <w:i w:val="0"/>
        </w:rPr>
        <w:t>Huit livraisons courtes, tirées de l'usage réel du tableau de bord.</w:t>
      </w:r>
    </w:p>
    <w:p>
      <w:pPr>
        <w:pStyle w:val="Heading3"/>
      </w:pPr>
      <w:r>
        <w:rPr>
          <w:b w:val="0"/>
          <w:i w:val="0"/>
        </w:rPr>
        <w:t>ADM-01 — Lisibilité du graphique d'évolution</w:t>
      </w:r>
    </w:p>
    <w:p>
      <w:r>
        <w:rPr>
          <w:b w:val="0"/>
          <w:i w:val="0"/>
        </w:rPr>
        <w:t>Libellés de sévérité passés à l'horizontale, légende centrée, et dates affichées en oblique pour éviter le chevauchement quand deux tests sont rapprochés.</w:t>
      </w:r>
    </w:p>
    <w:p>
      <w:r>
        <w:rPr>
          <w:b w:val="0"/>
          <w:i w:val="0"/>
        </w:rPr>
        <w:t>[Livré]</w:t>
      </w:r>
    </w:p>
    <w:p>
      <w:pPr>
        <w:pStyle w:val="Heading3"/>
      </w:pPr>
      <w:r>
        <w:rPr>
          <w:b w:val="0"/>
          <w:i w:val="0"/>
        </w:rPr>
        <w:t>ADM-02 — Impression du tableau de bord et des fiches</w:t>
      </w:r>
    </w:p>
    <w:p>
      <w:r>
        <w:rPr>
          <w:b w:val="0"/>
          <w:i w:val="0"/>
        </w:rPr>
        <w:t>La liste des participants comme la fiche détaillée d'une personne peuvent être imprimées ou enregistrées en PDF, pour un entretien ou un dossier papier.</w:t>
      </w:r>
    </w:p>
    <w:p>
      <w:r>
        <w:rPr>
          <w:b w:val="0"/>
          <w:i w:val="0"/>
        </w:rPr>
        <w:t>[Livré]</w:t>
      </w:r>
    </w:p>
    <w:p>
      <w:pPr>
        <w:pStyle w:val="Heading3"/>
      </w:pPr>
      <w:r>
        <w:rPr>
          <w:b w:val="0"/>
          <w:i w:val="0"/>
        </w:rPr>
        <w:t>ADM-03 — Suppression d'un participant ou d'une passation</w:t>
      </w:r>
    </w:p>
    <w:p>
      <w:r>
        <w:rPr>
          <w:b w:val="0"/>
          <w:i w:val="0"/>
        </w:rPr>
        <w:t>Suppression possible depuis la liste comme depuis la fiche, sous confirmation. Supprimer une personne supprime l'ensemble de ses passations.</w:t>
      </w:r>
    </w:p>
    <w:p>
      <w:r>
        <w:rPr>
          <w:b w:val="0"/>
          <w:i w:val="0"/>
        </w:rPr>
        <w:t>C'est aujourd'hui le moyen de répondre à une demande d'effacement au titre du RGPD, à la main.</w:t>
      </w:r>
    </w:p>
    <w:p>
      <w:r>
        <w:rPr>
          <w:b w:val="0"/>
          <w:i w:val="0"/>
        </w:rPr>
        <w:t>[Livré]</w:t>
      </w:r>
    </w:p>
    <w:p>
      <w:pPr>
        <w:pStyle w:val="Heading3"/>
      </w:pPr>
      <w:r>
        <w:rPr>
          <w:b w:val="0"/>
          <w:i w:val="0"/>
        </w:rPr>
        <w:t>ADM-04 — Export CSV</w:t>
      </w:r>
    </w:p>
    <w:p>
      <w:r>
        <w:rPr>
          <w:b w:val="0"/>
          <w:i w:val="0"/>
        </w:rPr>
        <w:t>Export de la liste des participants, et export des passations d'une personne depuis sa fiche. C'est aussi le moyen de constituer une sauvegarde froide des données.</w:t>
      </w:r>
    </w:p>
    <w:p>
      <w:r>
        <w:rPr>
          <w:b w:val="0"/>
          <w:i w:val="0"/>
        </w:rPr>
        <w:t>[Livré]</w:t>
      </w:r>
    </w:p>
    <w:p>
      <w:pPr>
        <w:pStyle w:val="Heading3"/>
      </w:pPr>
      <w:r>
        <w:rPr>
          <w:b w:val="0"/>
          <w:i w:val="0"/>
        </w:rPr>
        <w:t>ADM-05 — Colonnes genre et téléphone, adresse d'accompagnement</w:t>
      </w:r>
    </w:p>
    <w:p>
      <w:r>
        <w:rPr>
          <w:b w:val="0"/>
          <w:i w:val="0"/>
        </w:rPr>
        <w:t>Ajout des colonnes genre et téléphone à la liste, et mise à jour de l'adresse vers laquelle pointe le bouton de prise de rendez-vous.</w:t>
      </w:r>
    </w:p>
    <w:p>
      <w:r>
        <w:rPr>
          <w:b w:val="0"/>
          <w:i w:val="0"/>
        </w:rPr>
        <w:t>[Livré]</w:t>
      </w:r>
    </w:p>
    <w:p>
      <w:r>
        <w:rPr>
          <w:b w:val="0"/>
          <w:i w:val="0"/>
        </w:rPr>
        <w:t>V5 · 19 août 2026 · livraisons #18 à #20</w:t>
      </w:r>
    </w:p>
    <w:p>
      <w:pPr>
        <w:pStyle w:val="Heading2"/>
      </w:pPr>
      <w:r>
        <w:rPr>
          <w:b w:val="0"/>
          <w:i w:val="0"/>
          <w:color w:val="2C7A52"/>
        </w:rPr>
        <w:t>Le suivi rendu au participant</w:t>
      </w:r>
    </w:p>
    <w:p>
      <w:r>
        <w:rPr>
          <w:b w:val="0"/>
          <w:i w:val="0"/>
        </w:rPr>
        <w:t>Jusque-là, l'évolution n'était visible que du côté de l'administration.</w:t>
      </w:r>
    </w:p>
    <w:p>
      <w:pPr>
        <w:pStyle w:val="Heading3"/>
      </w:pPr>
      <w:r>
        <w:rPr>
          <w:b w:val="0"/>
          <w:i w:val="0"/>
        </w:rPr>
        <w:t>V5-01 — Évolution et historique sur le bulletin</w:t>
      </w:r>
    </w:p>
    <w:p>
      <w:r>
        <w:rPr>
          <w:b w:val="0"/>
          <w:i w:val="0"/>
        </w:rPr>
        <w:t>À partir du deuxième test, la personne voit son propre graphique d'évolution — avec les mêmes zones de sévérité que côté administration — et la liste de ses tests passés. Cliquer sur l'un d'eux rejoue son rapport complet, avec un retour explicite vers le dernier.</w:t>
      </w:r>
    </w:p>
    <w:p>
      <w:r>
        <w:rPr>
          <w:b w:val="0"/>
          <w:i w:val="0"/>
        </w:rPr>
        <w:t>Les deux blocs n'apparaissent qu'à partir du deuxième test, quand il y a réellement une évolution à lire.</w:t>
      </w:r>
    </w:p>
    <w:p>
      <w:r>
        <w:rPr>
          <w:b w:val="0"/>
          <w:i w:val="0"/>
        </w:rPr>
        <w:t>[Livré]</w:t>
      </w:r>
    </w:p>
    <w:p>
      <w:pPr>
        <w:pStyle w:val="Heading3"/>
      </w:pPr>
      <w:r>
        <w:rPr>
          <w:b w:val="0"/>
          <w:i w:val="0"/>
        </w:rPr>
        <w:t>V5-02 — Indicatif pays obligatoire</w:t>
      </w:r>
    </w:p>
    <w:p>
      <w:r>
        <w:rPr>
          <w:b w:val="0"/>
          <w:i w:val="0"/>
        </w:rPr>
        <w:t>Le téléphone se saisit en deux champs : un indicatif pays à sélectionner (30 pays, francophones en tête) et le numéro national. L'ensemble est normalisé au format international, qui devient la clé d'identité.</w:t>
      </w:r>
    </w:p>
    <w:p>
      <w:r>
        <w:rPr>
          <w:b w:val="0"/>
          <w:i w:val="0"/>
        </w:rPr>
        <w:t xml:space="preserve">La migration associée a converti les numéros existants et </w:t>
      </w:r>
      <w:r>
        <w:rPr>
          <w:b/>
          <w:i w:val="0"/>
        </w:rPr>
        <w:t>fusionné les historiques</w:t>
      </w:r>
      <w:r>
        <w:rPr>
          <w:b w:val="0"/>
          <w:i w:val="0"/>
        </w:rPr>
        <w:t xml:space="preserve"> des personnes apparaissant en double, une ligne au format national et une au format international.</w:t>
      </w:r>
    </w:p>
    <w:p>
      <w:r>
        <w:rPr>
          <w:b w:val="0"/>
          <w:i w:val="0"/>
        </w:rPr>
        <w:t>[Exécutée]</w:t>
      </w:r>
    </w:p>
    <w:p>
      <w:pPr>
        <w:pStyle w:val="Heading3"/>
      </w:pPr>
      <w:r>
        <w:rPr>
          <w:b w:val="0"/>
          <w:i w:val="0"/>
        </w:rPr>
        <w:t>V5-03 — Retrait du vocabulaire interne</w:t>
      </w:r>
    </w:p>
    <w:p>
      <w:r>
        <w:rPr>
          <w:b w:val="0"/>
          <w:i w:val="0"/>
        </w:rPr>
        <w:t>Les libellés « Leaman » et « Kanegnon » ont été retirés de l'interface : l'application est destinée à un usage plus large que ce vocabulaire.</w:t>
      </w:r>
    </w:p>
    <w:p>
      <w:r>
        <w:rPr>
          <w:b w:val="0"/>
          <w:i w:val="0"/>
        </w:rPr>
        <w:t>[Livré]</w:t>
      </w:r>
    </w:p>
    <w:p>
      <w:pPr>
        <w:pStyle w:val="Heading3"/>
      </w:pPr>
      <w:r>
        <w:rPr>
          <w:b w:val="0"/>
          <w:i w:val="0"/>
        </w:rPr>
        <w:t>V5-04 — Retrait de l'import CSV</w:t>
      </w:r>
    </w:p>
    <w:p>
      <w:r>
        <w:rPr>
          <w:b w:val="0"/>
          <w:i w:val="0"/>
        </w:rPr>
        <w:t>L'import de données, ajouté en phase d'outillage, a été retiré : la structure des données avait trop divergé de l'ancien formulaire Google pour qu'un import soit fiable, et un mauvais appariement silencieux aurait produit des dossiers incohérents.</w:t>
      </w:r>
    </w:p>
    <w:p>
      <w:r>
        <w:rPr>
          <w:b w:val="0"/>
          <w:i w:val="0"/>
        </w:rPr>
        <w:t>L'export reste disponible des deux côtés. Une reprise de l'historique legacy nécessiterait un travail de correspondance dédié.</w:t>
      </w:r>
    </w:p>
    <w:p>
      <w:r>
        <w:rPr>
          <w:b w:val="0"/>
          <w:i w:val="0"/>
        </w:rPr>
        <w:t>[Fonction retirée]</w:t>
      </w:r>
    </w:p>
    <w:p>
      <w:r>
        <w:rPr>
          <w:b w:val="0"/>
          <w:i w:val="0"/>
        </w:rPr>
        <w:t>V6 · 25 et 26 août 2026 · livraison #21</w:t>
      </w:r>
    </w:p>
    <w:p>
      <w:pPr>
        <w:pStyle w:val="Heading2"/>
      </w:pPr>
      <w:r>
        <w:rPr>
          <w:b w:val="0"/>
          <w:i w:val="0"/>
          <w:color w:val="2C7A52"/>
        </w:rPr>
        <w:t>Lecture du bulletin et reconnaissance des progrès</w:t>
      </w:r>
    </w:p>
    <w:p>
      <w:pPr>
        <w:pStyle w:val="Heading3"/>
      </w:pPr>
      <w:r>
        <w:rPr>
          <w:b w:val="0"/>
          <w:i w:val="0"/>
        </w:rPr>
        <w:t>V6-01 — Félicitations sur progrès mesuré</w:t>
      </w:r>
    </w:p>
    <w:p>
      <w:r>
        <w:rPr>
          <w:b w:val="0"/>
          <w:i w:val="0"/>
        </w:rPr>
        <w:t>Un bandeau en tête du bulletin annonce les progrès constatés depuis la passation précédente — et à défaut, depuis le tout premier test. Un changement de palier est signalé en priorité (« Trahison passe de modérée à peu présente ») ; sinon un recul suffisamment net pour ne pas tenir à une seule réponse.</w:t>
      </w:r>
    </w:p>
    <w:p>
      <w:r>
        <w:rPr>
          <w:b w:val="0"/>
          <w:i w:val="0"/>
        </w:rPr>
        <w:t>L'annonce s'accompagne d'une animation de confetti, désactivée pour les personnes ayant demandé une réduction des animations, et absente de la version imprimée. Le même bandeau apparaît dans le rapport rejoué côté administration.</w:t>
      </w:r>
    </w:p>
    <w:p>
      <w:r>
        <w:rPr>
          <w:b w:val="0"/>
          <w:i w:val="0"/>
        </w:rPr>
        <w:t>[Livré]</w:t>
      </w:r>
    </w:p>
    <w:p>
      <w:pPr>
        <w:pStyle w:val="Heading3"/>
      </w:pPr>
      <w:r>
        <w:rPr>
          <w:b w:val="0"/>
          <w:i w:val="0"/>
        </w:rPr>
        <w:t>V6-02 — Bulletin lisible par l'accompagnant</w:t>
      </w:r>
    </w:p>
    <w:p>
      <w:r>
        <w:rPr>
          <w:b w:val="0"/>
          <w:i w:val="0"/>
        </w:rPr>
        <w:t>Le tutoiement a été retiré de l'ensemble du bulletin — titres, notes, fiches de blessure — de sorte que le rapport se lise aussi bien par la personne concernée que par l'accompagnant qui le rejoue.</w:t>
      </w:r>
    </w:p>
    <w:p>
      <w:r>
        <w:rPr>
          <w:b w:val="0"/>
          <w:i w:val="0"/>
        </w:rPr>
        <w:t>L'écran d'accueil, les 50 affirmations rédigées à la première personne et le verset restent inchangés.</w:t>
      </w:r>
    </w:p>
    <w:p>
      <w:r>
        <w:rPr>
          <w:b w:val="0"/>
          <w:i w:val="0"/>
        </w:rPr>
        <w:t>[Livré]</w:t>
      </w:r>
    </w:p>
    <w:p>
      <w:pPr>
        <w:pStyle w:val="Heading3"/>
      </w:pPr>
      <w:r>
        <w:rPr>
          <w:b w:val="0"/>
          <w:i w:val="0"/>
        </w:rPr>
        <w:t>V6-03 — Fenêtre de lecture à 1 mois</w:t>
      </w:r>
    </w:p>
    <w:p>
      <w:r>
        <w:rPr>
          <w:b w:val="0"/>
          <w:i w:val="0"/>
        </w:rPr>
        <w:t>Une fenêtre « 1 mois » s'ajoute en tête des filtres du graphique d'évolution, des deux côtés, pour lire des passations rapprochées sans être noyé dans l'historique long.</w:t>
      </w:r>
    </w:p>
    <w:p>
      <w:r>
        <w:rPr>
          <w:b w:val="0"/>
          <w:i w:val="0"/>
        </w:rPr>
        <w:t>[Livré]</w:t>
      </w:r>
    </w:p>
    <w:p>
      <w:pPr>
        <w:pStyle w:val="Heading3"/>
      </w:pPr>
      <w:r>
        <w:rPr>
          <w:b w:val="0"/>
          <w:i w:val="0"/>
        </w:rPr>
        <w:t>V6-04 — Légende ordonnée sur les courbes</w:t>
      </w:r>
    </w:p>
    <w:p>
      <w:r>
        <w:rPr>
          <w:b w:val="0"/>
          <w:i w:val="0"/>
        </w:rPr>
        <w:t>La légende des cinq blessures suit l'ordre des courbes, de la dominante à la moins présente, au lieu d'un ordre fixe : chaque libellé se retrouve à la hauteur de sa ligne.</w:t>
      </w:r>
    </w:p>
    <w:p>
      <w:r>
        <w:rPr>
          <w:b w:val="0"/>
          <w:i w:val="0"/>
        </w:rPr>
        <w:t>[Livré]</w:t>
      </w:r>
    </w:p>
    <w:p>
      <w:pPr>
        <w:pStyle w:val="Heading3"/>
      </w:pPr>
      <w:r>
        <w:rPr>
          <w:b w:val="0"/>
          <w:i w:val="0"/>
        </w:rPr>
        <w:t>V6-05 — Jeu de données de démonstration</w:t>
      </w:r>
    </w:p>
    <w:p>
      <w:r>
        <w:rPr>
          <w:b w:val="0"/>
          <w:i w:val="0"/>
        </w:rPr>
        <w:t>Un jeu de trois personnes fictives, repérables à leur nom et à leur numéro, permet de montrer le suivi d'évolution et le bandeau de félicitations sans repasser le test cinq fois. Installable et supprimable à volonté.</w:t>
      </w:r>
    </w:p>
    <w:p>
      <w:r>
        <w:rPr>
          <w:b w:val="0"/>
          <w:i w:val="0"/>
        </w:rPr>
        <w:t>[Livré]</w:t>
      </w:r>
    </w:p>
    <w:p>
      <w:r>
        <w:rPr>
          <w:b w:val="0"/>
          <w:i w:val="0"/>
        </w:rPr>
        <w:t>V7 · 1er au 21 septembre 2026 · livraisons #22 à #27</w:t>
      </w:r>
    </w:p>
    <w:p>
      <w:pPr>
        <w:pStyle w:val="Heading2"/>
      </w:pPr>
      <w:r>
        <w:rPr>
          <w:b w:val="0"/>
          <w:i w:val="0"/>
          <w:color w:val="2C7A52"/>
        </w:rPr>
        <w:t>V7 — Comptes, confidentialité, mise en service</w:t>
      </w:r>
    </w:p>
    <w:p>
      <w:r>
        <w:rPr>
          <w:b w:val="0"/>
          <w:i w:val="0"/>
        </w:rPr>
        <w:t>Tout ce qui suit la V6 relève de la V7 : une même étape de maturité, livrée en six temps. Elle donne un compte à chaque participant, ferme un accès aux dossiers d'autrui, met le produit en service sur le domaine de l'association, puis allège l'arrivée d'un nouveau venu.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Sous-partie</w:t>
            </w:r>
          </w:p>
        </w:tc>
        <w:tc>
          <w:tcPr>
            <w:tcW w:type="dxa" w:w="2160"/>
          </w:tcPr>
          <w:p>
            <w:r/>
            <w:r>
              <w:rPr>
                <w:b/>
                <w:sz w:val="19"/>
              </w:rPr>
              <w:t>Objet</w:t>
            </w:r>
          </w:p>
        </w:tc>
        <w:tc>
          <w:tcPr>
            <w:tcW w:type="dxa" w:w="2160"/>
          </w:tcPr>
          <w:p>
            <w:r/>
            <w:r>
              <w:rPr>
                <w:b/>
                <w:sz w:val="19"/>
              </w:rPr>
              <w:t>Date</w:t>
            </w:r>
          </w:p>
        </w:tc>
        <w:tc>
          <w:tcPr>
            <w:tcW w:type="dxa" w:w="2160"/>
          </w:tcPr>
          <w:p>
            <w:r/>
            <w:r>
              <w:rPr>
                <w:b/>
                <w:sz w:val="19"/>
              </w:rPr>
              <w:t>Fiches</w:t>
            </w:r>
          </w:p>
        </w:tc>
      </w:tr>
      <w:tr>
        <w:tc>
          <w:tcPr>
            <w:tcW w:type="dxa" w:w="2160"/>
          </w:tcPr>
          <w:p>
            <w:r/>
            <w:r>
              <w:rPr>
                <w:sz w:val="19"/>
              </w:rPr>
              <w:t>V7.1</w:t>
            </w:r>
          </w:p>
        </w:tc>
        <w:tc>
          <w:tcPr>
            <w:tcW w:type="dxa" w:w="2160"/>
          </w:tcPr>
          <w:p>
            <w:r/>
            <w:r>
              <w:rPr>
                <w:sz w:val="19"/>
              </w:rPr>
              <w:t>Un compte pour chaque participant</w:t>
            </w:r>
          </w:p>
        </w:tc>
        <w:tc>
          <w:tcPr>
            <w:tcW w:type="dxa" w:w="2160"/>
          </w:tcPr>
          <w:p>
            <w:r/>
            <w:r>
              <w:rPr>
                <w:sz w:val="19"/>
              </w:rPr>
              <w:t>1er et 2 septembre</w:t>
            </w:r>
          </w:p>
        </w:tc>
        <w:tc>
          <w:tcPr>
            <w:tcW w:type="dxa" w:w="2160"/>
          </w:tcPr>
          <w:p>
            <w:r/>
            <w:r>
              <w:rPr>
                <w:sz w:val="19"/>
              </w:rPr>
              <w:t>V7-01 à V7-07</w:t>
            </w:r>
          </w:p>
        </w:tc>
      </w:tr>
      <w:tr>
        <w:tc>
          <w:tcPr>
            <w:tcW w:type="dxa" w:w="2160"/>
          </w:tcPr>
          <w:p>
            <w:r/>
            <w:r>
              <w:rPr>
                <w:sz w:val="19"/>
              </w:rPr>
              <w:t>V7.2</w:t>
            </w:r>
          </w:p>
        </w:tc>
        <w:tc>
          <w:tcPr>
            <w:tcW w:type="dxa" w:w="2160"/>
          </w:tcPr>
          <w:p>
            <w:r/>
            <w:r>
              <w:rPr>
                <w:sz w:val="19"/>
              </w:rPr>
              <w:t>Continuité de service</w:t>
            </w:r>
          </w:p>
        </w:tc>
        <w:tc>
          <w:tcPr>
            <w:tcW w:type="dxa" w:w="2160"/>
          </w:tcPr>
          <w:p>
            <w:r/>
            <w:r>
              <w:rPr>
                <w:sz w:val="19"/>
              </w:rPr>
              <w:t>2 septembre</w:t>
            </w:r>
          </w:p>
        </w:tc>
        <w:tc>
          <w:tcPr>
            <w:tcW w:type="dxa" w:w="2160"/>
          </w:tcPr>
          <w:p>
            <w:r/>
            <w:r>
              <w:rPr>
                <w:sz w:val="19"/>
              </w:rPr>
              <w:t>V7-08 et V7-09</w:t>
            </w:r>
          </w:p>
        </w:tc>
      </w:tr>
      <w:tr>
        <w:tc>
          <w:tcPr>
            <w:tcW w:type="dxa" w:w="2160"/>
          </w:tcPr>
          <w:p>
            <w:r/>
            <w:r>
              <w:rPr>
                <w:sz w:val="19"/>
              </w:rPr>
              <w:t>V7.3</w:t>
            </w:r>
          </w:p>
        </w:tc>
        <w:tc>
          <w:tcPr>
            <w:tcW w:type="dxa" w:w="2160"/>
          </w:tcPr>
          <w:p>
            <w:r/>
            <w:r>
              <w:rPr>
                <w:sz w:val="19"/>
              </w:rPr>
              <w:t>Fermeture d'un accès aux dossiers d'autrui</w:t>
            </w:r>
          </w:p>
        </w:tc>
        <w:tc>
          <w:tcPr>
            <w:tcW w:type="dxa" w:w="2160"/>
          </w:tcPr>
          <w:p>
            <w:r/>
            <w:r>
              <w:rPr>
                <w:sz w:val="19"/>
              </w:rPr>
              <w:t>3 septembre</w:t>
            </w:r>
          </w:p>
        </w:tc>
        <w:tc>
          <w:tcPr>
            <w:tcW w:type="dxa" w:w="2160"/>
          </w:tcPr>
          <w:p>
            <w:r/>
            <w:r>
              <w:rPr>
                <w:sz w:val="19"/>
              </w:rPr>
              <w:t>V7-10 à V7-12</w:t>
            </w:r>
          </w:p>
        </w:tc>
      </w:tr>
      <w:tr>
        <w:tc>
          <w:tcPr>
            <w:tcW w:type="dxa" w:w="2160"/>
          </w:tcPr>
          <w:p>
            <w:r/>
            <w:r>
              <w:rPr>
                <w:sz w:val="19"/>
              </w:rPr>
              <w:t>V7.4</w:t>
            </w:r>
          </w:p>
        </w:tc>
        <w:tc>
          <w:tcPr>
            <w:tcW w:type="dxa" w:w="2160"/>
          </w:tcPr>
          <w:p>
            <w:r/>
            <w:r>
              <w:rPr>
                <w:sz w:val="19"/>
              </w:rPr>
              <w:t>Passage sur le domaine de l'association</w:t>
            </w:r>
          </w:p>
        </w:tc>
        <w:tc>
          <w:tcPr>
            <w:tcW w:type="dxa" w:w="2160"/>
          </w:tcPr>
          <w:p>
            <w:r/>
            <w:r>
              <w:rPr>
                <w:sz w:val="19"/>
              </w:rPr>
              <w:t>16 septembre</w:t>
            </w:r>
          </w:p>
        </w:tc>
        <w:tc>
          <w:tcPr>
            <w:tcW w:type="dxa" w:w="2160"/>
          </w:tcPr>
          <w:p>
            <w:r/>
            <w:r>
              <w:rPr>
                <w:sz w:val="19"/>
              </w:rPr>
              <w:t>V7-13 et V7-14</w:t>
            </w:r>
          </w:p>
        </w:tc>
      </w:tr>
      <w:tr>
        <w:tc>
          <w:tcPr>
            <w:tcW w:type="dxa" w:w="2160"/>
          </w:tcPr>
          <w:p>
            <w:r/>
            <w:r>
              <w:rPr>
                <w:sz w:val="19"/>
              </w:rPr>
              <w:t>V7.5</w:t>
            </w:r>
          </w:p>
        </w:tc>
        <w:tc>
          <w:tcPr>
            <w:tcW w:type="dxa" w:w="2160"/>
          </w:tcPr>
          <w:p>
            <w:r/>
            <w:r>
              <w:rPr>
                <w:sz w:val="19"/>
              </w:rPr>
              <w:t>Arrivée simplifiée et identité par l'e-mail</w:t>
            </w:r>
          </w:p>
        </w:tc>
        <w:tc>
          <w:tcPr>
            <w:tcW w:type="dxa" w:w="2160"/>
          </w:tcPr>
          <w:p>
            <w:r/>
            <w:r>
              <w:rPr>
                <w:sz w:val="19"/>
              </w:rPr>
              <w:t>18 septembre</w:t>
            </w:r>
          </w:p>
        </w:tc>
        <w:tc>
          <w:tcPr>
            <w:tcW w:type="dxa" w:w="2160"/>
          </w:tcPr>
          <w:p>
            <w:r/>
            <w:r>
              <w:rPr>
                <w:sz w:val="19"/>
              </w:rPr>
              <w:t>V7-15 à V7-21</w:t>
            </w:r>
          </w:p>
        </w:tc>
      </w:tr>
      <w:tr>
        <w:tc>
          <w:tcPr>
            <w:tcW w:type="dxa" w:w="2160"/>
          </w:tcPr>
          <w:p>
            <w:r/>
            <w:r>
              <w:rPr>
                <w:sz w:val="19"/>
              </w:rPr>
              <w:t>V7.6</w:t>
            </w:r>
          </w:p>
        </w:tc>
        <w:tc>
          <w:tcPr>
            <w:tcW w:type="dxa" w:w="2160"/>
          </w:tcPr>
          <w:p>
            <w:r/>
            <w:r>
              <w:rPr>
                <w:sz w:val="19"/>
              </w:rPr>
              <w:t>Fiabilité de la réinstallation</w:t>
            </w:r>
          </w:p>
        </w:tc>
        <w:tc>
          <w:tcPr>
            <w:tcW w:type="dxa" w:w="2160"/>
          </w:tcPr>
          <w:p>
            <w:r/>
            <w:r>
              <w:rPr>
                <w:sz w:val="19"/>
              </w:rPr>
              <w:t>21 septembre</w:t>
            </w:r>
          </w:p>
        </w:tc>
        <w:tc>
          <w:tcPr>
            <w:tcW w:type="dxa" w:w="2160"/>
          </w:tcPr>
          <w:p>
            <w:r/>
            <w:r>
              <w:rPr>
                <w:sz w:val="19"/>
              </w:rPr>
              <w:t>V7-22</w:t>
            </w:r>
          </w:p>
        </w:tc>
      </w:tr>
    </w:tbl>
    <w:p/>
    <w:p>
      <w:r>
        <w:rPr>
          <w:b w:val="0"/>
          <w:i w:val="0"/>
        </w:rPr>
        <w:t>V7.1 · 1er et 2 septembre 2026 · livraison #22</w:t>
      </w:r>
    </w:p>
    <w:p>
      <w:pPr>
        <w:pStyle w:val="Heading2"/>
      </w:pPr>
      <w:r>
        <w:rPr>
          <w:b w:val="0"/>
          <w:i w:val="0"/>
          <w:color w:val="2C7A52"/>
        </w:rPr>
        <w:t>Un compte pour chaque participant</w:t>
      </w:r>
    </w:p>
    <w:p>
      <w:r>
        <w:rPr>
          <w:b w:val="0"/>
          <w:i w:val="0"/>
        </w:rPr>
        <w:t>Jusque-là, une personne ne revoyait ses résultats qu'en repassant le test. Cette livraison lui donne un compte et un espace personnel.</w:t>
      </w:r>
    </w:p>
    <w:p>
      <w:pPr>
        <w:pStyle w:val="Heading3"/>
      </w:pPr>
      <w:r>
        <w:rPr>
          <w:b w:val="0"/>
          <w:i w:val="0"/>
        </w:rPr>
        <w:t>V7-01ex-L22-01 — Connexion par e-mail et mot de passe</w:t>
      </w:r>
    </w:p>
    <w:p>
      <w:r>
        <w:rPr>
          <w:b w:val="0"/>
          <w:i w:val="0"/>
        </w:rPr>
        <w:t>Un mot de passe est demandé au formulaire d'accueil, à la première passation. Il ouvre ensuite l'accès à l'espace personnel depuis n'importe quel appareil, sans repasser le test. Huit caractères minimum ; la session reste ouverte sept jours, avec déconnexion disponible à tout moment.</w:t>
      </w:r>
    </w:p>
    <w:p>
      <w:r>
        <w:rPr>
          <w:b w:val="0"/>
          <w:i w:val="0"/>
        </w:rPr>
        <w:t>Révisé en V7.5 (fiche V7-15) : le mot de passe n'est plus demandé au formulaire. Il se définit depuis l'espace personnel.</w:t>
      </w:r>
    </w:p>
    <w:p>
      <w:r>
        <w:rPr>
          <w:b w:val="0"/>
          <w:i w:val="0"/>
        </w:rPr>
        <w:t>[Livré]</w:t>
      </w:r>
    </w:p>
    <w:p>
      <w:pPr>
        <w:pStyle w:val="Heading3"/>
      </w:pPr>
      <w:r>
        <w:rPr>
          <w:b w:val="0"/>
          <w:i w:val="0"/>
        </w:rPr>
        <w:t>V7-02ex-L22-02 — Récupération par code à 6 chiffres</w:t>
      </w:r>
    </w:p>
    <w:p>
      <w:r>
        <w:rPr>
          <w:b w:val="0"/>
          <w:i w:val="0"/>
        </w:rPr>
        <w:t>Pour un mot de passe oublié, ou pour les personnes ayant passé le test avant l'existence des comptes : un code à usage unique est envoyé par e-mail, valable dix minutes, cinq essais maximum. Une fois entrée, la personne définit son mot de passe.</w:t>
      </w:r>
    </w:p>
    <w:p>
      <w:r>
        <w:rPr>
          <w:b w:val="0"/>
          <w:i w:val="0"/>
        </w:rPr>
        <w:t>[Livré]</w:t>
      </w:r>
    </w:p>
    <w:p>
      <w:pPr>
        <w:pStyle w:val="Heading3"/>
      </w:pPr>
      <w:r>
        <w:rPr>
          <w:b w:val="0"/>
          <w:i w:val="0"/>
        </w:rPr>
        <w:t>V7-03ex-L22-03 — Espace personnel</w:t>
      </w:r>
    </w:p>
    <w:p>
      <w:r>
        <w:rPr>
          <w:b w:val="0"/>
          <w:i w:val="0"/>
        </w:rPr>
        <w:t>Une page d'accueil personnelle indique le nombre de tests passés et la date du dernier, et propose trois actions : consulter son dernier bulletin, refaire le test sans resaisir son profil, changer son mot de passe.</w:t>
      </w:r>
    </w:p>
    <w:p>
      <w:r>
        <w:rPr>
          <w:b w:val="0"/>
          <w:i w:val="0"/>
        </w:rPr>
        <w:t>L'évolution et l'historique complet ne s'affichent pas sur cette page : ils vivent dans le bulletin, accessible d'un clic. Choix retenu pour garder l'espace lisible.</w:t>
      </w:r>
    </w:p>
    <w:p>
      <w:r>
        <w:rPr>
          <w:b w:val="0"/>
          <w:i w:val="0"/>
        </w:rPr>
        <w:t>[Livré]</w:t>
      </w:r>
    </w:p>
    <w:p>
      <w:pPr>
        <w:pStyle w:val="Heading3"/>
      </w:pPr>
      <w:r>
        <w:rPr>
          <w:b w:val="0"/>
          <w:i w:val="0"/>
        </w:rPr>
        <w:t>V7-04ex-L22-04 — Sortie d'un test en cours</w:t>
      </w:r>
    </w:p>
    <w:p>
      <w:r>
        <w:rPr>
          <w:b w:val="0"/>
          <w:i w:val="0"/>
        </w:rPr>
        <w:t>Un test commencé peut être quitté pour revenir à l'espace personnel. Une confirmation prévient que les réponses déjà données seront perdues, puisqu'un test n'est enregistré qu'une fois terminé — et seulement s'il y a réellement quelque chose à perdre.</w:t>
      </w:r>
    </w:p>
    <w:p>
      <w:r>
        <w:rPr>
          <w:b w:val="0"/>
          <w:i w:val="0"/>
        </w:rPr>
        <w:t>[Livré]</w:t>
      </w:r>
    </w:p>
    <w:p>
      <w:pPr>
        <w:pStyle w:val="Heading3"/>
      </w:pPr>
      <w:r>
        <w:rPr>
          <w:b w:val="0"/>
          <w:i w:val="0"/>
        </w:rPr>
        <w:t>V7-05ex-L22-05 — Thème « Vie Florissante »</w:t>
      </w:r>
    </w:p>
    <w:p>
      <w:r>
        <w:rPr>
          <w:b w:val="0"/>
          <w:i w:val="0"/>
        </w:rPr>
        <w:t>Un second jeu de thèmes, construit d'après la charte du site de l'association, est appliqué par défaut. Le thème d'origine reste disponible via un sélecteur en tête de page, et le choix est mémorisé d'une visite à l'autre. L'accord de couleur reste piloté par le genre choisi au formulaire.</w:t>
      </w:r>
    </w:p>
    <w:p>
      <w:r>
        <w:rPr>
          <w:b w:val="0"/>
          <w:i w:val="0"/>
        </w:rPr>
        <w:t>[Livré]</w:t>
      </w:r>
    </w:p>
    <w:p>
      <w:pPr>
        <w:pStyle w:val="Heading3"/>
      </w:pPr>
      <w:r>
        <w:rPr>
          <w:b w:val="0"/>
          <w:i w:val="0"/>
        </w:rPr>
        <w:t>V7-06ex-L22-06 — Police de caractères servie depuis l'application</w:t>
      </w:r>
    </w:p>
    <w:p>
      <w:r>
        <w:rPr>
          <w:b w:val="0"/>
          <w:i w:val="0"/>
        </w:rPr>
        <w:t>La typographie était chargée depuis les serveurs de Google, ce qui transmettait l'adresse IP de chaque visiteur à un tiers — une pratique jugée contraire au RGPD en l'absence de consentement. Les fichiers sont désormais hébergés avec l'application.</w:t>
      </w:r>
    </w:p>
    <w:p>
      <w:r>
        <w:rPr>
          <w:b w:val="0"/>
          <w:i w:val="0"/>
        </w:rPr>
        <w:t>Vérification automatisée : le chargement des deux pages ne doit provoquer aucune requête vers un domaine externe.</w:t>
      </w:r>
    </w:p>
    <w:p>
      <w:r>
        <w:rPr>
          <w:b w:val="0"/>
          <w:i w:val="0"/>
        </w:rPr>
        <w:t>[Conformité RGPD] [Livré]</w:t>
      </w:r>
    </w:p>
    <w:p>
      <w:pPr>
        <w:pStyle w:val="Heading3"/>
      </w:pPr>
      <w:r>
        <w:rPr>
          <w:b w:val="0"/>
          <w:i w:val="0"/>
        </w:rPr>
        <w:t>V7-07ex-L22-07 — Protection des mots de passe et des codes</w:t>
      </w:r>
    </w:p>
    <w:p>
      <w:r>
        <w:rPr>
          <w:b w:val="0"/>
          <w:i w:val="0"/>
        </w:rPr>
        <w:t>Les mots de passe sont stockés sous forme d'empreinte, jamais en clair ; les codes de connexion également. Une copie de la base ne permet pas de les retrouver. Le mot de passe choisi au formulaire ne transite jamais par le stockage du navigateur, souvent partagé entre plusieurs personnes.</w:t>
      </w:r>
    </w:p>
    <w:p>
      <w:r>
        <w:rPr>
          <w:b w:val="0"/>
          <w:i w:val="0"/>
        </w:rPr>
        <w:t>[Livré]</w:t>
      </w:r>
    </w:p>
    <w:p>
      <w:r>
        <w:rPr>
          <w:b w:val="0"/>
          <w:i w:val="0"/>
        </w:rPr>
        <w:t>V7.2 · 2 septembre 2026 · livraison #23</w:t>
      </w:r>
    </w:p>
    <w:p>
      <w:pPr>
        <w:pStyle w:val="Heading2"/>
      </w:pPr>
      <w:r>
        <w:rPr>
          <w:b w:val="0"/>
          <w:i w:val="0"/>
          <w:color w:val="2C7A52"/>
        </w:rPr>
        <w:t>Continuité de service</w:t>
      </w:r>
    </w:p>
    <w:p>
      <w:r>
        <w:rPr>
          <w:b w:val="0"/>
          <w:i w:val="0"/>
        </w:rPr>
        <w:t>Deux mesures prises après une alerte d'inactivité de la base de données, pour qu'aucune passation ne soit perdue en silence.</w:t>
      </w:r>
    </w:p>
    <w:p>
      <w:pPr>
        <w:pStyle w:val="Heading3"/>
      </w:pPr>
      <w:r>
        <w:rPr>
          <w:b w:val="0"/>
          <w:i w:val="0"/>
        </w:rPr>
        <w:t>V7-08ex-L23-01 — Maintien en éveil de la base de données</w:t>
      </w:r>
    </w:p>
    <w:p>
      <w:r>
        <w:rPr>
          <w:b w:val="0"/>
          <w:i w:val="0"/>
        </w:rPr>
        <w:t>L'offre gratuite de l'hébergeur de la base met un projet en pause après sept jours sans activité. La tâche planifiée quotidienne interroge désormais la base à chaque exécution, y compris lorsqu'elle n'a aucun e-mail à envoyer — ce qui n'était pas le cas auparavant et expliquait l'alerte reçue.</w:t>
      </w:r>
    </w:p>
    <w:p>
      <w:r>
        <w:rPr>
          <w:b w:val="0"/>
          <w:i w:val="0"/>
        </w:rPr>
        <w:t>[Livré]</w:t>
      </w:r>
    </w:p>
    <w:p>
      <w:pPr>
        <w:pStyle w:val="Heading3"/>
      </w:pPr>
      <w:r>
        <w:rPr>
          <w:b w:val="0"/>
          <w:i w:val="0"/>
        </w:rPr>
        <w:t>V7-09ex-L23-02 — Avertissement en cas de non-enregistrement</w:t>
      </w:r>
    </w:p>
    <w:p>
      <w:r>
        <w:rPr>
          <w:b w:val="0"/>
          <w:i w:val="0"/>
        </w:rPr>
        <w:t>Si l'enregistrement échoue — base en pause, coupure réseau, incident serveur — les résultats restent affichés, mais un bandeau en tête du bulletin annonce clairement qu'ils ne rejoindront ni l'historique ni le graphique d'évolution, et invite à imprimer la page.</w:t>
      </w:r>
    </w:p>
    <w:p>
      <w:r>
        <w:rPr>
          <w:b w:val="0"/>
          <w:i w:val="0"/>
        </w:rPr>
        <w:t>Auparavant l'échec était silencieux : la personne repartait en croyant son test conservé.</w:t>
      </w:r>
    </w:p>
    <w:p>
      <w:r>
        <w:rPr>
          <w:b w:val="0"/>
          <w:i w:val="0"/>
        </w:rPr>
        <w:t>[Livré]</w:t>
      </w:r>
    </w:p>
    <w:p>
      <w:r>
        <w:rPr>
          <w:b w:val="0"/>
          <w:i w:val="0"/>
        </w:rPr>
        <w:t>V7.3 · 3 septembre 2026 · livraison #24</w:t>
      </w:r>
    </w:p>
    <w:p>
      <w:pPr>
        <w:pStyle w:val="Heading2"/>
      </w:pPr>
      <w:r>
        <w:rPr>
          <w:b w:val="0"/>
          <w:i w:val="0"/>
          <w:color w:val="2C7A52"/>
        </w:rPr>
        <w:t>Fermeture d'un accès aux dossiers d'autrui</w:t>
      </w:r>
    </w:p>
    <w:p>
      <w:r>
        <w:rPr>
          <w:b w:val="0"/>
          <w:i w:val="0"/>
        </w:rPr>
        <w:t>Le point le plus important de l'ensemble du périmètre. Une faille identifiée en recette permettait de lire le suivi psychologique d'une autre personne.</w:t>
      </w:r>
    </w:p>
    <w:p>
      <w:pPr>
        <w:pStyle w:val="Heading3"/>
      </w:pPr>
      <w:r>
        <w:rPr>
          <w:b w:val="0"/>
          <w:i w:val="0"/>
        </w:rPr>
        <w:t>V7-10ex-L24-01 — Un test ne peut être rattaché qu'à son propre dossier</w:t>
      </w:r>
    </w:p>
    <w:p>
      <w:r>
        <w:rPr>
          <w:b w:val="0"/>
          <w:i w:val="0"/>
        </w:rPr>
        <w:t xml:space="preserve">Auparavant, saisir le téléphone ou l'e-mail d'une autre personne au formulaire d'accueil suffisait à rattacher sa passation au dossier de cette personne </w:t>
      </w:r>
      <w:r>
        <w:rPr>
          <w:b w:val="0"/>
          <w:i/>
        </w:rPr>
        <w:t>et</w:t>
      </w:r>
      <w:r>
        <w:rPr>
          <w:b w:val="0"/>
          <w:i w:val="0"/>
        </w:rPr>
        <w:t xml:space="preserve"> à recevoir tout son historique. Aucune preuve n'était demandée.</w:t>
      </w:r>
    </w:p>
    <w:p>
      <w:r>
        <w:rPr>
          <w:b w:val="0"/>
          <w:i w:val="0"/>
        </w:rPr>
        <w:t>L'enregistrement est désormais refusé si les coordonnées correspondent à un dossier existant et que la session ne prouve pas qu'on en est le titulaire. Le dossier est recherché par téléphone comme par e-mail. Le refus est prononcé côté serveur : il ne se contourne pas depuis le navigateur.</w:t>
      </w:r>
    </w:p>
    <w:p>
      <w:r>
        <w:rPr>
          <w:b w:val="0"/>
          <w:i w:val="0"/>
        </w:rPr>
        <w:t>Révisé en V7.5 (fiche V7-18) : le dossier est désormais recherché par la seule adresse e-mail, le téléphone pouvant être partagé dans un foyer. Le contrôle côté serveur, lui, n'a pas bougé.</w:t>
      </w:r>
    </w:p>
    <w:p>
      <w:r>
        <w:rPr>
          <w:b w:val="0"/>
          <w:i w:val="0"/>
        </w:rPr>
        <w:t>[Correctif de sécurité] [Livré]</w:t>
      </w:r>
    </w:p>
    <w:p>
      <w:pPr>
        <w:pStyle w:val="Heading3"/>
      </w:pPr>
      <w:r>
        <w:rPr>
          <w:b w:val="0"/>
          <w:i w:val="0"/>
        </w:rPr>
        <w:t>V7-11ex-L24-02 — Contrôle d'identité avant le test</w:t>
      </w:r>
    </w:p>
    <w:p>
      <w:r>
        <w:rPr>
          <w:b w:val="0"/>
          <w:i w:val="0"/>
        </w:rPr>
        <w:t>Pour ne pas faire répondre aux 50 questions avant d'annoncer un refus, l'identité est vérifiée dès la validation du formulaire. Le mot de passe déjà demandé sert de preuve : s'il correspond, le test démarre sans écran supplémentaire.</w:t>
      </w:r>
    </w:p>
    <w:p>
      <w:r>
        <w:rPr>
          <w:b w:val="0"/>
          <w:i w:val="0"/>
        </w:rPr>
        <w:t>Sinon un écran de connexion s'interpose, et la connexion enchaîne directement sur le test. Un dossier nouveau n'est jamais bloqué.</w:t>
      </w:r>
    </w:p>
    <w:p>
      <w:r>
        <w:rPr>
          <w:b w:val="0"/>
          <w:i w:val="0"/>
        </w:rPr>
        <w:t>Révisé en V7.5 (fiche V7-15) : le formulaire ne demandant plus de mot de passe, l'écran de connexion s'interpose chaque fois que l'adresse saisie correspond à un dossier existant.</w:t>
      </w:r>
    </w:p>
    <w:p>
      <w:r>
        <w:rPr>
          <w:b w:val="0"/>
          <w:i w:val="0"/>
        </w:rPr>
        <w:t>[Livré]</w:t>
      </w:r>
    </w:p>
    <w:p>
      <w:pPr>
        <w:pStyle w:val="Heading3"/>
      </w:pPr>
      <w:r>
        <w:rPr>
          <w:b w:val="0"/>
          <w:i w:val="0"/>
        </w:rPr>
        <w:t>V7-12ex-L24-03 — Deux correctifs d'affichage</w:t>
      </w:r>
    </w:p>
    <w:p>
      <w:r>
        <w:rPr>
          <w:b w:val="0"/>
          <w:i w:val="0"/>
        </w:rPr>
        <w:t>Sur la fiche d'un participant, une adresse e-mail longue débordait sur la colonne « Ville ». Sur l'écran de connexion, les trois formulaires s'affichaient simultanément. Les deux sont corrigés, et vérifiés automatiquement — le premier à cinq largeurs d'écran.</w:t>
      </w:r>
    </w:p>
    <w:p>
      <w:r>
        <w:rPr>
          <w:b w:val="0"/>
          <w:i w:val="0"/>
        </w:rPr>
        <w:t>[Correctif]</w:t>
      </w:r>
    </w:p>
    <w:p>
      <w:r>
        <w:rPr>
          <w:b w:val="0"/>
          <w:i w:val="0"/>
        </w:rPr>
        <w:t>V7.4 · 16 septembre 2026</w:t>
      </w:r>
    </w:p>
    <w:p>
      <w:pPr>
        <w:pStyle w:val="Heading2"/>
      </w:pPr>
      <w:r>
        <w:rPr>
          <w:b w:val="0"/>
          <w:i w:val="0"/>
          <w:color w:val="2C7A52"/>
        </w:rPr>
        <w:t>Passage sur le domaine de l'association</w:t>
      </w:r>
    </w:p>
    <w:p>
      <w:r>
        <w:rPr>
          <w:b w:val="0"/>
          <w:i w:val="0"/>
        </w:rPr>
        <w:t>Sans modification du code : configuration du domaine et activation de l'envoi d'e-mails, dernier prérequis qui restait ouvert.</w:t>
      </w:r>
    </w:p>
    <w:p>
      <w:pPr>
        <w:pStyle w:val="Heading3"/>
      </w:pPr>
      <w:r>
        <w:rPr>
          <w:b w:val="0"/>
          <w:i w:val="0"/>
        </w:rPr>
        <w:t>V7-13ex-MES-01 — Adresse publique définitive</w:t>
      </w:r>
    </w:p>
    <w:p>
      <w:r>
        <w:rPr>
          <w:b w:val="0"/>
          <w:i w:val="0"/>
        </w:rPr>
        <w:t xml:space="preserve">L'application est servie sur </w:t>
      </w:r>
      <w:r>
        <w:rPr>
          <w:rFonts w:ascii="Consolas" w:hAnsi="Consolas"/>
          <w:b w:val="0"/>
          <w:i w:val="0"/>
          <w:sz w:val="19"/>
        </w:rPr>
        <w:t>https://coaching.vieflorissante.com</w:t>
      </w:r>
      <w:r>
        <w:rPr>
          <w:b w:val="0"/>
          <w:i w:val="0"/>
        </w:rPr>
        <w:t>, sous-domaine du domaine de l'association, avec certificat émis automatiquement. L'ancienne adresse technique reste valide.</w:t>
      </w:r>
    </w:p>
    <w:p>
      <w:r>
        <w:rPr>
          <w:b w:val="0"/>
          <w:i w:val="0"/>
        </w:rPr>
        <w:t>[En service]</w:t>
      </w:r>
    </w:p>
    <w:p>
      <w:pPr>
        <w:pStyle w:val="Heading3"/>
      </w:pPr>
      <w:r>
        <w:rPr>
          <w:b w:val="0"/>
          <w:i w:val="0"/>
        </w:rPr>
        <w:t>V7-14ex-MES-02 — Envoi d'e-mails activé</w:t>
      </w:r>
    </w:p>
    <w:p>
      <w:r>
        <w:rPr>
          <w:b w:val="0"/>
          <w:i w:val="0"/>
        </w:rPr>
        <w:t xml:space="preserve">Le domaine d'expédition est vérifié et les envois partent de </w:t>
      </w:r>
      <w:r>
        <w:rPr>
          <w:rFonts w:ascii="Consolas" w:hAnsi="Consolas"/>
          <w:b w:val="0"/>
          <w:i w:val="0"/>
          <w:sz w:val="19"/>
        </w:rPr>
        <w:t>contact@coaching.vieflorissante.com</w:t>
      </w:r>
      <w:r>
        <w:rPr>
          <w:b w:val="0"/>
          <w:i w:val="0"/>
        </w:rPr>
        <w:t>, les réponses étant redirigées vers une boîte réellement relevée de l'association. L'envoi des codes de connexion a été validé de bout en bout.</w:t>
      </w:r>
    </w:p>
    <w:p>
      <w:r>
        <w:rPr>
          <w:b w:val="0"/>
          <w:i w:val="0"/>
        </w:rPr>
        <w:t>Conséquence : les personnes ayant passé le test avant l'existence des comptes disposent enfin d'un moyen de connexion, et le rappel automatique à six mois devient effectif.</w:t>
      </w:r>
    </w:p>
    <w:p>
      <w:r>
        <w:rPr>
          <w:b w:val="0"/>
          <w:i w:val="0"/>
        </w:rPr>
        <w:t>[En service]</w:t>
      </w:r>
    </w:p>
    <w:p>
      <w:r>
        <w:rPr>
          <w:b w:val="0"/>
          <w:i w:val="0"/>
        </w:rPr>
        <w:t>V7.5 · 18 septembre 2026 · livraisons #25 et #26</w:t>
      </w:r>
    </w:p>
    <w:p>
      <w:pPr>
        <w:pStyle w:val="Heading2"/>
      </w:pPr>
      <w:r>
        <w:rPr>
          <w:b w:val="0"/>
          <w:i w:val="0"/>
          <w:color w:val="2C7A52"/>
        </w:rPr>
        <w:t>Arrivée simplifiée et identité par l'e-mail</w:t>
      </w:r>
    </w:p>
    <w:p>
      <w:r>
        <w:rPr>
          <w:b w:val="0"/>
          <w:i w:val="0"/>
        </w:rPr>
        <w:t>Deux changements demandés après les premiers usages réels : réduire ce qu'on exige d'une personne qui découvre le test, et cesser de traiter le numéro de téléphone comme la propriété d'une seule personne.</w:t>
      </w:r>
    </w:p>
    <w:p>
      <w:pPr>
        <w:pStyle w:val="Heading3"/>
      </w:pPr>
      <w:r>
        <w:rPr>
          <w:b w:val="0"/>
          <w:i w:val="0"/>
        </w:rPr>
        <w:t>V7-15ex-L25-01 — Plus de mot de passe au formulaire du test</w:t>
      </w:r>
    </w:p>
    <w:p>
      <w:r>
        <w:rPr>
          <w:b w:val="0"/>
          <w:i w:val="0"/>
        </w:rPr>
        <w:t>Le formulaire d'accueil ne demande plus que les coordonnées et le consentement. Le mot de passe se définit depuis l'espace personnel, le jour où la personne souhaite revenir consulter son suivi — par un code reçu par e-mail.</w:t>
      </w:r>
    </w:p>
    <w:p>
      <w:r>
        <w:rPr>
          <w:b w:val="0"/>
          <w:i w:val="0"/>
        </w:rPr>
        <w:t>Conséquence assumée : une personne qui revient sans avoir créé d'espace passe d'abord par le code e-mail. La friction retirée profite au primo-arrivant, qui est le cas visé ; celui qui revient a un dossier à protéger.</w:t>
      </w:r>
    </w:p>
    <w:p>
      <w:r>
        <w:rPr>
          <w:b w:val="0"/>
          <w:i w:val="0"/>
        </w:rPr>
        <w:t>[En service]</w:t>
      </w:r>
    </w:p>
    <w:p>
      <w:pPr>
        <w:pStyle w:val="Heading3"/>
      </w:pPr>
      <w:r>
        <w:rPr>
          <w:b w:val="0"/>
          <w:i w:val="0"/>
        </w:rPr>
        <w:t>V7-16ex-L25-02 — Deux correctifs d'affichage signalés par les utilisateurs</w:t>
      </w:r>
    </w:p>
    <w:p>
      <w:r>
        <w:rPr>
          <w:b w:val="0"/>
          <w:i w:val="0"/>
        </w:rPr>
        <w:t>Le champ de saisie du mot de passe, visiblement plus mince que ses voisins, est revenu à la même hauteur, et un bouton permet désormais d'afficher la saisie pour la vérifier. Le texte des fiches de blessure, qui était coupé net sur téléphone sans possibilité de faire défiler, s'affiche à nouveau en entier quelle que soit sa longueur.</w:t>
      </w:r>
    </w:p>
    <w:p>
      <w:r>
        <w:rPr>
          <w:b w:val="0"/>
          <w:i w:val="0"/>
        </w:rPr>
        <w:t>[Correctif]</w:t>
      </w:r>
    </w:p>
    <w:p>
      <w:pPr>
        <w:pStyle w:val="Heading3"/>
      </w:pPr>
      <w:r>
        <w:rPr>
          <w:b w:val="0"/>
          <w:i w:val="0"/>
        </w:rPr>
        <w:t>V7-17ex-L25-03 — Demande de séance adressée à l'association</w:t>
      </w:r>
    </w:p>
    <w:p>
      <w:r>
        <w:rPr>
          <w:b w:val="0"/>
          <w:i w:val="0"/>
        </w:rPr>
        <w:t>Le bouton de réservation adresse désormais la demande à la boîte de l'association, l'accompagnante étant en copie, afin qu'aucune demande ne repose sur une seule personne. L'adresse est en outre affichée en clair sous le bouton, avec une copie en un clic : sur un ordinateur sans logiciel de messagerie associé, un lien de ce type reste sans effet, et rien ne l'annonce.</w:t>
      </w:r>
    </w:p>
    <w:p>
      <w:r>
        <w:rPr>
          <w:b w:val="0"/>
          <w:i w:val="0"/>
        </w:rPr>
        <w:t>[En service]</w:t>
      </w:r>
    </w:p>
    <w:p>
      <w:pPr>
        <w:pStyle w:val="Heading3"/>
      </w:pPr>
      <w:r>
        <w:rPr>
          <w:b w:val="0"/>
          <w:i w:val="0"/>
        </w:rPr>
        <w:t>V7-18ex-L26-01 — L'adresse e-mail devient l'identité du dossier</w:t>
      </w:r>
    </w:p>
    <w:p>
      <w:r>
        <w:rPr>
          <w:b w:val="0"/>
          <w:i w:val="0"/>
        </w:rPr>
        <w:t>Le téléphone reste obligatoire mais cesse d'être unique : plusieurs personnes d'un même foyer peuvent donner le même numéro. C'est l'adresse e-mail qui relie désormais les passations successives et qui déclenche, le cas échéant, la demande de connexion.</w:t>
      </w:r>
    </w:p>
    <w:p>
      <w:r>
        <w:rPr>
          <w:b w:val="0"/>
          <w:i w:val="0"/>
        </w:rPr>
        <w:t>Motif : la contrainte d'unicité sur le numéro empêchait un enfant de passer le test avec celui d'un parent — un cas d'usage réel, et non une hypothèse.</w:t>
      </w:r>
    </w:p>
    <w:p>
      <w:r>
        <w:rPr>
          <w:b w:val="0"/>
          <w:i w:val="0"/>
        </w:rPr>
        <w:t>[En service]</w:t>
      </w:r>
    </w:p>
    <w:p>
      <w:pPr>
        <w:pStyle w:val="Heading3"/>
      </w:pPr>
      <w:r>
        <w:rPr>
          <w:b w:val="0"/>
          <w:i w:val="0"/>
        </w:rPr>
        <w:t>V7-19ex-L26-02 — Rappel automatique à un mois</w:t>
      </w:r>
    </w:p>
    <w:p>
      <w:r>
        <w:rPr>
          <w:b w:val="0"/>
          <w:i w:val="0"/>
        </w:rPr>
        <w:t>Un second rappel par e-mail s'ajoute à celui de six mois, envoyé un mois après une passation. Chacun n'est envoyé qu'une fois entre deux tests, et repasser le test remet les deux compteurs à zéro. Le rappel à un mois ne s'applique pas au-delà de six mois, le message de six mois étant alors le bon.</w:t>
      </w:r>
    </w:p>
    <w:p>
      <w:r>
        <w:rPr>
          <w:b w:val="0"/>
          <w:i w:val="0"/>
        </w:rPr>
        <w:t>[En service]</w:t>
      </w:r>
    </w:p>
    <w:p>
      <w:pPr>
        <w:pStyle w:val="Heading3"/>
      </w:pPr>
      <w:r>
        <w:rPr>
          <w:b w:val="0"/>
          <w:i w:val="0"/>
        </w:rPr>
        <w:t>V7-20ex-L26-03 — Ordre d'écriture revu pour ne plus perdre une passation</w:t>
      </w:r>
    </w:p>
    <w:p>
      <w:r>
        <w:rPr>
          <w:b w:val="0"/>
          <w:i w:val="0"/>
        </w:rPr>
        <w:t>L'enregistrement d'un test précède désormais la mise à jour du profil. Auparavant, l'échec d'une écriture de confort — un champ du profil — faisait échouer l'ensemble et emportait les cinquante réponses. Ce qui ne peut pas être reproduit s'écrit en premier ; le reste suit au mieux, avec une trace en cas d'échec.</w:t>
      </w:r>
    </w:p>
    <w:p>
      <w:r>
        <w:rPr>
          <w:b w:val="0"/>
          <w:i w:val="0"/>
        </w:rPr>
        <w:t>[Correctif]</w:t>
      </w:r>
    </w:p>
    <w:p>
      <w:pPr>
        <w:pStyle w:val="Heading3"/>
      </w:pPr>
      <w:r>
        <w:rPr>
          <w:b w:val="0"/>
          <w:i w:val="0"/>
        </w:rPr>
        <w:t>V7-21ex-L26-04 — Migration de base 006</w:t>
      </w:r>
    </w:p>
    <w:p>
      <w:r>
        <w:rPr>
          <w:b w:val="0"/>
          <w:i w:val="0"/>
        </w:rPr>
        <w:t>Exécutée dans une transaction — soit elle passe entièrement, soit rien ne change — et volontairement bloquante si deux dossiers partagent une adresse : fusionner à l'aveugle mêlerait le suivi de deux personnes différentes, ce qui relève d'un arbitrage humain.</w:t>
      </w:r>
    </w:p>
    <w:p>
      <w:r>
        <w:rPr>
          <w:b w:val="0"/>
          <w:i w:val="0"/>
        </w:rPr>
        <w:t>[Exécutée]</w:t>
      </w:r>
    </w:p>
    <w:p>
      <w:r>
        <w:rPr>
          <w:b w:val="0"/>
          <w:i w:val="0"/>
        </w:rPr>
        <w:t>V7.6 · 21 septembre 2026 · livraison #27</w:t>
      </w:r>
    </w:p>
    <w:p>
      <w:pPr>
        <w:pStyle w:val="Heading2"/>
      </w:pPr>
      <w:r>
        <w:rPr>
          <w:b w:val="0"/>
          <w:i w:val="0"/>
          <w:color w:val="2C7A52"/>
        </w:rPr>
        <w:t>Fiabilité de la réinstallation</w:t>
      </w:r>
    </w:p>
    <w:p>
      <w:r>
        <w:rPr>
          <w:b w:val="0"/>
          <w:i w:val="0"/>
        </w:rPr>
        <w:t>Sans effet sur le produit en service : il s'agit de garantir qu'une recréation de la base parte du bon schéma.</w:t>
      </w:r>
    </w:p>
    <w:p>
      <w:pPr>
        <w:pStyle w:val="Heading3"/>
      </w:pPr>
      <w:r>
        <w:rPr>
          <w:b w:val="0"/>
          <w:i w:val="0"/>
        </w:rPr>
        <w:t>V7-22ex-L27-01 — Schéma d'installation réaligné</w:t>
      </w:r>
    </w:p>
    <w:p>
      <w:r>
        <w:rPr>
          <w:b w:val="0"/>
          <w:i w:val="0"/>
        </w:rPr>
        <w:t>Le fichier servant à recréer la base à neuf décrivait encore un état antérieur de quatre évolutions, dont l'ancienne identité par téléphone. Une réinstallation — nouvel hébergement, restauration, environnement de secours — serait repartie avec des défauts déjà corrigés. Il décrit désormais l'état en service, et une vérification automatique échoue si les deux sources divergent à nouveau.</w:t>
      </w:r>
    </w:p>
    <w:p>
      <w:r>
        <w:rPr>
          <w:b w:val="0"/>
          <w:i w:val="0"/>
        </w:rPr>
        <w:t>[Correctif]</w:t>
      </w:r>
    </w:p>
    <w:p>
      <w:pPr>
        <w:pStyle w:val="Heading2"/>
      </w:pPr>
      <w:r>
        <w:rPr>
          <w:b w:val="0"/>
          <w:i w:val="0"/>
          <w:color w:val="2C7A52"/>
        </w:rPr>
        <w:t>Décisions structurantes</w:t>
      </w:r>
    </w:p>
    <w:p>
      <w:r>
        <w:rPr>
          <w:b w:val="0"/>
          <w:i w:val="0"/>
        </w:rPr>
        <w:t>Arbitrages pris en cours de construction, dont dépend le comportement actuel du produit.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Sujet</w:t>
            </w:r>
          </w:p>
        </w:tc>
        <w:tc>
          <w:tcPr>
            <w:tcW w:type="dxa" w:w="2880"/>
          </w:tcPr>
          <w:p>
            <w:r/>
            <w:r>
              <w:rPr>
                <w:b/>
                <w:sz w:val="19"/>
              </w:rPr>
              <w:t>Décision</w:t>
            </w:r>
          </w:p>
        </w:tc>
        <w:tc>
          <w:tcPr>
            <w:tcW w:type="dxa" w:w="2880"/>
          </w:tcPr>
          <w:p>
            <w:r/>
            <w:r>
              <w:rPr>
                <w:b/>
                <w:sz w:val="19"/>
              </w:rPr>
              <w:t>Motif</w:t>
            </w:r>
          </w:p>
        </w:tc>
      </w:tr>
      <w:tr>
        <w:tc>
          <w:tcPr>
            <w:tcW w:type="dxa" w:w="2880"/>
          </w:tcPr>
          <w:p>
            <w:r/>
            <w:r>
              <w:rPr>
                <w:sz w:val="19"/>
              </w:rPr>
              <w:t>Base de données</w:t>
            </w:r>
          </w:p>
        </w:tc>
        <w:tc>
          <w:tcPr>
            <w:tcW w:type="dxa" w:w="2880"/>
          </w:tcPr>
          <w:p>
            <w:r/>
            <w:r>
              <w:rPr>
                <w:sz w:val="19"/>
              </w:rPr>
              <w:t>Base SQL dédiée plutôt qu'Airtable</w:t>
            </w:r>
          </w:p>
        </w:tc>
        <w:tc>
          <w:tcPr>
            <w:tcW w:type="dxa" w:w="2880"/>
          </w:tcPr>
          <w:p>
            <w:r/>
            <w:r>
              <w:rPr>
                <w:sz w:val="19"/>
              </w:rPr>
              <w:t>Hébergement européen, verrouillage natif des accès, données portables</w:t>
            </w:r>
          </w:p>
        </w:tc>
      </w:tr>
      <w:tr>
        <w:tc>
          <w:tcPr>
            <w:tcW w:type="dxa" w:w="2880"/>
          </w:tcPr>
          <w:p>
            <w:r/>
            <w:r>
              <w:rPr>
                <w:sz w:val="19"/>
              </w:rPr>
              <w:t>Cloisonnement</w:t>
            </w:r>
          </w:p>
        </w:tc>
        <w:tc>
          <w:tcPr>
            <w:tcW w:type="dxa" w:w="2880"/>
          </w:tcPr>
          <w:p>
            <w:r/>
            <w:r>
              <w:rPr>
                <w:sz w:val="19"/>
              </w:rPr>
              <w:t>Base dédiée, non partagée avec le suivi pastoral existant</w:t>
            </w:r>
          </w:p>
        </w:tc>
        <w:tc>
          <w:tcPr>
            <w:tcW w:type="dxa" w:w="2880"/>
          </w:tcPr>
          <w:p>
            <w:r/>
            <w:r>
              <w:rPr>
                <w:sz w:val="19"/>
              </w:rPr>
              <w:t>Une base par domaine ; pas de mélange entre systèmes non liés</w:t>
            </w:r>
          </w:p>
        </w:tc>
      </w:tr>
      <w:tr>
        <w:tc>
          <w:tcPr>
            <w:tcW w:type="dxa" w:w="2880"/>
          </w:tcPr>
          <w:p>
            <w:r/>
            <w:r>
              <w:rPr>
                <w:sz w:val="19"/>
              </w:rPr>
              <w:t>Identifiant de suivi</w:t>
            </w:r>
          </w:p>
        </w:tc>
        <w:tc>
          <w:tcPr>
            <w:tcW w:type="dxa" w:w="2880"/>
          </w:tcPr>
          <w:p>
            <w:r/>
            <w:r>
              <w:rPr>
                <w:sz w:val="19"/>
              </w:rPr>
              <w:t>Adresse e-mail (téléphone jusqu'au 18 septembre 2026)</w:t>
            </w:r>
          </w:p>
        </w:tc>
        <w:tc>
          <w:tcPr>
            <w:tcW w:type="dxa" w:w="2880"/>
          </w:tcPr>
          <w:p>
            <w:r/>
            <w:r>
              <w:rPr>
                <w:sz w:val="19"/>
              </w:rPr>
              <w:t>Un numéro se partage dans un foyer ; l'exiger unique empêchait un enfant de passer le test avec celui d'un parent</w:t>
            </w:r>
          </w:p>
        </w:tc>
      </w:tr>
      <w:tr>
        <w:tc>
          <w:tcPr>
            <w:tcW w:type="dxa" w:w="2880"/>
          </w:tcPr>
          <w:p>
            <w:r/>
            <w:r>
              <w:rPr>
                <w:sz w:val="19"/>
              </w:rPr>
              <w:t>Contenu du bulletin</w:t>
            </w:r>
          </w:p>
        </w:tc>
        <w:tc>
          <w:tcPr>
            <w:tcW w:type="dxa" w:w="2880"/>
          </w:tcPr>
          <w:p>
            <w:r/>
            <w:r>
              <w:rPr>
                <w:sz w:val="19"/>
              </w:rPr>
              <w:t>Dominante et modérée détaillées seulement</w:t>
            </w:r>
          </w:p>
        </w:tc>
        <w:tc>
          <w:tcPr>
            <w:tcW w:type="dxa" w:w="2880"/>
          </w:tcPr>
          <w:p>
            <w:r/>
            <w:r>
              <w:rPr>
                <w:sz w:val="19"/>
              </w:rPr>
              <w:t>Éviter la surcharge à la première lecture</w:t>
            </w:r>
          </w:p>
        </w:tc>
      </w:tr>
      <w:tr>
        <w:tc>
          <w:tcPr>
            <w:tcW w:type="dxa" w:w="2880"/>
          </w:tcPr>
          <w:p>
            <w:r/>
            <w:r>
              <w:rPr>
                <w:sz w:val="19"/>
              </w:rPr>
              <w:t>Calcul des scores</w:t>
            </w:r>
          </w:p>
        </w:tc>
        <w:tc>
          <w:tcPr>
            <w:tcW w:type="dxa" w:w="2880"/>
          </w:tcPr>
          <w:p>
            <w:r/>
            <w:r>
              <w:rPr>
                <w:sz w:val="19"/>
              </w:rPr>
              <w:t>Recalculé côté serveur</w:t>
            </w:r>
          </w:p>
        </w:tc>
        <w:tc>
          <w:tcPr>
            <w:tcW w:type="dxa" w:w="2880"/>
          </w:tcPr>
          <w:p>
            <w:r/>
            <w:r>
              <w:rPr>
                <w:sz w:val="19"/>
              </w:rPr>
              <w:t>Ne jamais faire confiance à une valeur calculée par le navigateur</w:t>
            </w:r>
          </w:p>
        </w:tc>
      </w:tr>
      <w:tr>
        <w:tc>
          <w:tcPr>
            <w:tcW w:type="dxa" w:w="2880"/>
          </w:tcPr>
          <w:p>
            <w:r/>
            <w:r>
              <w:rPr>
                <w:sz w:val="19"/>
              </w:rPr>
              <w:t>Import de données</w:t>
            </w:r>
          </w:p>
        </w:tc>
        <w:tc>
          <w:tcPr>
            <w:tcW w:type="dxa" w:w="2880"/>
          </w:tcPr>
          <w:p>
            <w:r/>
            <w:r>
              <w:rPr>
                <w:sz w:val="19"/>
              </w:rPr>
              <w:t>Abandonné</w:t>
            </w:r>
          </w:p>
        </w:tc>
        <w:tc>
          <w:tcPr>
            <w:tcW w:type="dxa" w:w="2880"/>
          </w:tcPr>
          <w:p>
            <w:r/>
            <w:r>
              <w:rPr>
                <w:sz w:val="19"/>
              </w:rPr>
              <w:t>Divergence avec l'ancien formulaire ; risque d'incohérence silencieuse</w:t>
            </w:r>
          </w:p>
        </w:tc>
      </w:tr>
      <w:tr>
        <w:tc>
          <w:tcPr>
            <w:tcW w:type="dxa" w:w="2880"/>
          </w:tcPr>
          <w:p>
            <w:r/>
            <w:r>
              <w:rPr>
                <w:sz w:val="19"/>
              </w:rPr>
              <w:t>Rappels e-mail</w:t>
            </w:r>
          </w:p>
        </w:tc>
        <w:tc>
          <w:tcPr>
            <w:tcW w:type="dxa" w:w="2880"/>
          </w:tcPr>
          <w:p>
            <w:r/>
            <w:r>
              <w:rPr>
                <w:sz w:val="19"/>
              </w:rPr>
              <w:t>Optionnels</w:t>
            </w:r>
          </w:p>
        </w:tc>
        <w:tc>
          <w:tcPr>
            <w:tcW w:type="dxa" w:w="2880"/>
          </w:tcPr>
          <w:p>
            <w:r/>
            <w:r>
              <w:rPr>
                <w:sz w:val="19"/>
              </w:rPr>
              <w:t>L'application reste pleinement fonctionnelle sans envoi configuré</w:t>
            </w:r>
          </w:p>
        </w:tc>
      </w:tr>
      <w:tr>
        <w:tc>
          <w:tcPr>
            <w:tcW w:type="dxa" w:w="2880"/>
          </w:tcPr>
          <w:p>
            <w:r/>
            <w:r>
              <w:rPr>
                <w:sz w:val="19"/>
              </w:rPr>
              <w:t>Accès à un dossier</w:t>
            </w:r>
          </w:p>
        </w:tc>
        <w:tc>
          <w:tcPr>
            <w:tcW w:type="dxa" w:w="2880"/>
          </w:tcPr>
          <w:p>
            <w:r/>
            <w:r>
              <w:rPr>
                <w:sz w:val="19"/>
              </w:rPr>
              <w:t>Preuve d'identité exigée, contrôlée côté serveur</w:t>
            </w:r>
          </w:p>
        </w:tc>
        <w:tc>
          <w:tcPr>
            <w:tcW w:type="dxa" w:w="2880"/>
          </w:tcPr>
          <w:p>
            <w:r/>
            <w:r>
              <w:rPr>
                <w:sz w:val="19"/>
              </w:rPr>
              <w:t>Connaître un numéro ou une adresse ne doit donner accès à rien</w:t>
            </w:r>
          </w:p>
        </w:tc>
      </w:tr>
      <w:tr>
        <w:tc>
          <w:tcPr>
            <w:tcW w:type="dxa" w:w="2880"/>
          </w:tcPr>
          <w:p>
            <w:r/>
            <w:r>
              <w:rPr>
                <w:sz w:val="19"/>
              </w:rPr>
              <w:t>Preuve d'identité</w:t>
            </w:r>
          </w:p>
        </w:tc>
        <w:tc>
          <w:tcPr>
            <w:tcW w:type="dxa" w:w="2880"/>
          </w:tcPr>
          <w:p>
            <w:r/>
            <w:r>
              <w:rPr>
                <w:sz w:val="19"/>
              </w:rPr>
              <w:t>Mot de passe défini depuis l'espace personnel (demandé au formulaire jusqu'au 18 septembre 2026)</w:t>
            </w:r>
          </w:p>
        </w:tc>
        <w:tc>
          <w:tcPr>
            <w:tcW w:type="dxa" w:w="2880"/>
          </w:tcPr>
          <w:p>
            <w:r/>
            <w:r>
              <w:rPr>
                <w:sz w:val="19"/>
              </w:rPr>
              <w:t>Alléger l'arrivée d'une personne qui découvre le test ; celui qui revient a un dossier à protéger, pas le primo-arrivant</w:t>
            </w:r>
          </w:p>
        </w:tc>
      </w:tr>
      <w:tr>
        <w:tc>
          <w:tcPr>
            <w:tcW w:type="dxa" w:w="2880"/>
          </w:tcPr>
          <w:p>
            <w:r/>
            <w:r>
              <w:rPr>
                <w:sz w:val="19"/>
              </w:rPr>
              <w:t>Écriture d'un test</w:t>
            </w:r>
          </w:p>
        </w:tc>
        <w:tc>
          <w:tcPr>
            <w:tcW w:type="dxa" w:w="2880"/>
          </w:tcPr>
          <w:p>
            <w:r/>
            <w:r>
              <w:rPr>
                <w:sz w:val="19"/>
              </w:rPr>
              <w:t>La passation s'enregistre avant la mise à jour du profil</w:t>
            </w:r>
          </w:p>
        </w:tc>
        <w:tc>
          <w:tcPr>
            <w:tcW w:type="dxa" w:w="2880"/>
          </w:tcPr>
          <w:p>
            <w:r/>
            <w:r>
              <w:rPr>
                <w:sz w:val="19"/>
              </w:rPr>
              <w:t>Ce qui ne peut pas être reproduit passe en premier : cinquante réponses ne se rejouent pas</w:t>
            </w:r>
          </w:p>
        </w:tc>
      </w:tr>
    </w:tbl>
    <w:p/>
    <w:p>
      <w:pPr>
        <w:pStyle w:val="Heading3"/>
      </w:pPr>
      <w:r>
        <w:rPr>
          <w:b w:val="0"/>
          <w:i w:val="0"/>
        </w:rPr>
        <w:t>Note sur la numérotation des versions</w:t>
      </w:r>
    </w:p>
    <w:p>
      <w:r>
        <w:rPr>
          <w:b/>
          <w:i w:val="0"/>
        </w:rPr>
        <w:t>Aucune version 4 n'a été produite.</w:t>
      </w:r>
      <w:r>
        <w:rPr>
          <w:b w:val="0"/>
          <w:i w:val="0"/>
        </w:rPr>
        <w:t xml:space="preserve"> La numérotation passe de la V3.1 (13 août) à la V5 (19 août) : la période intermédiaire a été consacrée à l'outillage de l'administration, livré en huit lots successifs sans libellé de version. Ce saut est intentionnel et ne correspond à aucune livraison manquante.</w:t>
      </w:r>
    </w:p>
    <w:p>
      <w:r>
        <w:rPr>
          <w:b/>
          <w:i w:val="0"/>
        </w:rPr>
        <w:t>La V7 rassemble six livraisons.</w:t>
      </w:r>
      <w:r>
        <w:rPr>
          <w:b w:val="0"/>
          <w:i w:val="0"/>
        </w:rPr>
        <w:t xml:space="preserve"> Tout ce qui suit la V6 formait une même étape de maturité, mais était arrivé par lots successifs étalés sur trois semaines. Ces lots sont devenus les sous-parties V7.1 à V7.6, et leurs fiches ont été renumérotées en V7-01 à V7-22, dans l'ordre chronologique.</w:t>
      </w:r>
    </w:p>
    <w:p>
      <w:r>
        <w:rPr>
          <w:b/>
          <w:i w:val="0"/>
        </w:rPr>
        <w:t>Les références antérieures restent lisibles.</w:t>
      </w:r>
      <w:r>
        <w:rPr>
          <w:b w:val="0"/>
          <w:i w:val="0"/>
        </w:rPr>
        <w:t xml:space="preserve"> Chaque fiche porte son ancien code sous le nouveau (</w:t>
      </w:r>
      <w:r>
        <w:rPr>
          <w:rFonts w:ascii="Consolas" w:hAnsi="Consolas"/>
          <w:b w:val="0"/>
          <w:i w:val="0"/>
          <w:sz w:val="19"/>
        </w:rPr>
        <w:t>ex-L22-01</w:t>
      </w:r>
      <w:r>
        <w:rPr>
          <w:b w:val="0"/>
          <w:i w:val="0"/>
        </w:rPr>
        <w:t>), de sorte qu'une citation faite avant cette réorganisation reste retrouvable. Les fiches des versions V1 à V6 n'ont pas bougé.</w:t>
      </w:r>
    </w:p>
    <w:p>
      <w:pPr>
        <w:pStyle w:val="Heading2"/>
      </w:pPr>
      <w:r>
        <w:rPr>
          <w:b w:val="0"/>
          <w:i w:val="0"/>
          <w:color w:val="2C7A52"/>
        </w:rPr>
        <w:t>Conditions d'exploitation</w:t>
      </w:r>
    </w:p>
    <w:p>
      <w:r>
        <w:rPr>
          <w:b w:val="0"/>
          <w:i w:val="0"/>
        </w:rPr>
        <w:t>Paramètres de service à reporter dans le dossier SLA, et répartition des responsabilités.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Paramètre</w:t>
            </w:r>
          </w:p>
        </w:tc>
        <w:tc>
          <w:tcPr>
            <w:tcW w:type="dxa" w:w="2880"/>
          </w:tcPr>
          <w:p>
            <w:r/>
            <w:r>
              <w:rPr>
                <w:b/>
                <w:sz w:val="19"/>
              </w:rPr>
              <w:t>Valeur</w:t>
            </w:r>
          </w:p>
        </w:tc>
        <w:tc>
          <w:tcPr>
            <w:tcW w:type="dxa" w:w="2880"/>
          </w:tcPr>
          <w:p>
            <w:r/>
            <w:r>
              <w:rPr>
                <w:b/>
                <w:sz w:val="19"/>
              </w:rPr>
              <w:t>Responsable</w:t>
            </w:r>
          </w:p>
        </w:tc>
      </w:tr>
      <w:tr>
        <w:tc>
          <w:tcPr>
            <w:tcW w:type="dxa" w:w="2880"/>
          </w:tcPr>
          <w:p>
            <w:r/>
            <w:r>
              <w:rPr>
                <w:sz w:val="19"/>
              </w:rPr>
              <w:t>Durée de session participant</w:t>
            </w:r>
          </w:p>
        </w:tc>
        <w:tc>
          <w:tcPr>
            <w:tcW w:type="dxa" w:w="2880"/>
          </w:tcPr>
          <w:p>
            <w:r/>
            <w:r>
              <w:rPr>
                <w:sz w:val="19"/>
              </w:rPr>
              <w:t>7 jours</w:t>
            </w:r>
          </w:p>
        </w:tc>
        <w:tc>
          <w:tcPr>
            <w:tcW w:type="dxa" w:w="2880"/>
          </w:tcPr>
          <w:p>
            <w:r/>
            <w:r>
              <w:rPr>
                <w:sz w:val="19"/>
              </w:rPr>
              <w:t>Applicatif</w:t>
            </w:r>
          </w:p>
        </w:tc>
      </w:tr>
      <w:tr>
        <w:tc>
          <w:tcPr>
            <w:tcW w:type="dxa" w:w="2880"/>
          </w:tcPr>
          <w:p>
            <w:r/>
            <w:r>
              <w:rPr>
                <w:sz w:val="19"/>
              </w:rPr>
              <w:t>Durée de session administrateur</w:t>
            </w:r>
          </w:p>
        </w:tc>
        <w:tc>
          <w:tcPr>
            <w:tcW w:type="dxa" w:w="2880"/>
          </w:tcPr>
          <w:p>
            <w:r/>
            <w:r>
              <w:rPr>
                <w:sz w:val="19"/>
              </w:rPr>
              <w:t>12 heures</w:t>
            </w:r>
          </w:p>
        </w:tc>
        <w:tc>
          <w:tcPr>
            <w:tcW w:type="dxa" w:w="2880"/>
          </w:tcPr>
          <w:p>
            <w:r/>
            <w:r>
              <w:rPr>
                <w:sz w:val="19"/>
              </w:rPr>
              <w:t>Applicatif</w:t>
            </w:r>
          </w:p>
        </w:tc>
      </w:tr>
      <w:tr>
        <w:tc>
          <w:tcPr>
            <w:tcW w:type="dxa" w:w="2880"/>
          </w:tcPr>
          <w:p>
            <w:r/>
            <w:r>
              <w:rPr>
                <w:sz w:val="19"/>
              </w:rPr>
              <w:t>Validité d'un code de connexion</w:t>
            </w:r>
          </w:p>
        </w:tc>
        <w:tc>
          <w:tcPr>
            <w:tcW w:type="dxa" w:w="2880"/>
          </w:tcPr>
          <w:p>
            <w:r/>
            <w:r>
              <w:rPr>
                <w:sz w:val="19"/>
              </w:rPr>
              <w:t>10 min, usage unique, 5 essais</w:t>
            </w:r>
          </w:p>
        </w:tc>
        <w:tc>
          <w:tcPr>
            <w:tcW w:type="dxa" w:w="2880"/>
          </w:tcPr>
          <w:p>
            <w:r/>
            <w:r>
              <w:rPr>
                <w:sz w:val="19"/>
              </w:rPr>
              <w:t>Applicatif</w:t>
            </w:r>
          </w:p>
        </w:tc>
      </w:tr>
      <w:tr>
        <w:tc>
          <w:tcPr>
            <w:tcW w:type="dxa" w:w="2880"/>
          </w:tcPr>
          <w:p>
            <w:r/>
            <w:r>
              <w:rPr>
                <w:sz w:val="19"/>
              </w:rPr>
              <w:t>Tâche planifiée</w:t>
            </w:r>
          </w:p>
        </w:tc>
        <w:tc>
          <w:tcPr>
            <w:tcW w:type="dxa" w:w="2880"/>
          </w:tcPr>
          <w:p>
            <w:r/>
            <w:r>
              <w:rPr>
                <w:sz w:val="19"/>
              </w:rPr>
              <w:t>1 exécution par jour, 08:00 UTC</w:t>
            </w:r>
          </w:p>
        </w:tc>
        <w:tc>
          <w:tcPr>
            <w:tcW w:type="dxa" w:w="2880"/>
          </w:tcPr>
          <w:p>
            <w:r/>
            <w:r>
              <w:rPr>
                <w:sz w:val="19"/>
              </w:rPr>
              <w:t>Hébergeur applicatif</w:t>
            </w:r>
          </w:p>
        </w:tc>
      </w:tr>
      <w:tr>
        <w:tc>
          <w:tcPr>
            <w:tcW w:type="dxa" w:w="2880"/>
          </w:tcPr>
          <w:p>
            <w:r/>
            <w:r>
              <w:rPr>
                <w:sz w:val="19"/>
              </w:rPr>
              <w:t>Rappel de passation</w:t>
            </w:r>
          </w:p>
        </w:tc>
        <w:tc>
          <w:tcPr>
            <w:tcW w:type="dxa" w:w="2880"/>
          </w:tcPr>
          <w:p>
            <w:r/>
            <w:r>
              <w:rPr>
                <w:sz w:val="19"/>
              </w:rPr>
              <w:t>2 e-mails : après 1 mois, puis après 6 mois sans nouveau test</w:t>
            </w:r>
          </w:p>
        </w:tc>
        <w:tc>
          <w:tcPr>
            <w:tcW w:type="dxa" w:w="2880"/>
          </w:tcPr>
          <w:p>
            <w:r/>
            <w:r>
              <w:rPr>
                <w:sz w:val="19"/>
              </w:rPr>
              <w:t>Applicatif</w:t>
            </w:r>
          </w:p>
        </w:tc>
      </w:tr>
      <w:tr>
        <w:tc>
          <w:tcPr>
            <w:tcW w:type="dxa" w:w="2880"/>
          </w:tcPr>
          <w:p>
            <w:r/>
            <w:r>
              <w:rPr>
                <w:sz w:val="19"/>
              </w:rPr>
              <w:t>Mise en pause de la base</w:t>
            </w:r>
          </w:p>
        </w:tc>
        <w:tc>
          <w:tcPr>
            <w:tcW w:type="dxa" w:w="2880"/>
          </w:tcPr>
          <w:p>
            <w:r/>
            <w:r>
              <w:rPr>
                <w:sz w:val="19"/>
              </w:rPr>
              <w:t>Après 7 jours d'inactivité (offre gratuite)</w:t>
            </w:r>
          </w:p>
        </w:tc>
        <w:tc>
          <w:tcPr>
            <w:tcW w:type="dxa" w:w="2880"/>
          </w:tcPr>
          <w:p>
            <w:r/>
            <w:r>
              <w:rPr>
                <w:sz w:val="19"/>
              </w:rPr>
              <w:t>Association</w:t>
            </w:r>
          </w:p>
        </w:tc>
      </w:tr>
      <w:tr>
        <w:tc>
          <w:tcPr>
            <w:tcW w:type="dxa" w:w="2880"/>
          </w:tcPr>
          <w:p>
            <w:r/>
            <w:r>
              <w:rPr>
                <w:sz w:val="19"/>
              </w:rPr>
              <w:t>Sauvegarde des données</w:t>
            </w:r>
          </w:p>
        </w:tc>
        <w:tc>
          <w:tcPr>
            <w:tcW w:type="dxa" w:w="2880"/>
          </w:tcPr>
          <w:p>
            <w:r/>
            <w:r>
              <w:rPr>
                <w:sz w:val="19"/>
              </w:rPr>
              <w:t>Export CSV manuel depuis l'administration</w:t>
            </w:r>
          </w:p>
        </w:tc>
        <w:tc>
          <w:tcPr>
            <w:tcW w:type="dxa" w:w="2880"/>
          </w:tcPr>
          <w:p>
            <w:r/>
            <w:r>
              <w:rPr>
                <w:sz w:val="19"/>
              </w:rPr>
              <w:t>Association</w:t>
            </w:r>
          </w:p>
        </w:tc>
      </w:tr>
      <w:tr>
        <w:tc>
          <w:tcPr>
            <w:tcW w:type="dxa" w:w="2880"/>
          </w:tcPr>
          <w:p>
            <w:r/>
            <w:r>
              <w:rPr>
                <w:sz w:val="19"/>
              </w:rPr>
              <w:t>Effacement d'un dossier</w:t>
            </w:r>
          </w:p>
        </w:tc>
        <w:tc>
          <w:tcPr>
            <w:tcW w:type="dxa" w:w="2880"/>
          </w:tcPr>
          <w:p>
            <w:r/>
            <w:r>
              <w:rPr>
                <w:sz w:val="19"/>
              </w:rPr>
              <w:t>Suppression manuelle depuis l'administration</w:t>
            </w:r>
          </w:p>
        </w:tc>
        <w:tc>
          <w:tcPr>
            <w:tcW w:type="dxa" w:w="2880"/>
          </w:tcPr>
          <w:p>
            <w:r/>
            <w:r>
              <w:rPr>
                <w:sz w:val="19"/>
              </w:rPr>
              <w:t>Association</w:t>
            </w:r>
          </w:p>
        </w:tc>
      </w:tr>
      <w:tr>
        <w:tc>
          <w:tcPr>
            <w:tcW w:type="dxa" w:w="2880"/>
          </w:tcPr>
          <w:p>
            <w:r/>
            <w:r>
              <w:rPr>
                <w:sz w:val="19"/>
              </w:rPr>
              <w:t>Accès aux données</w:t>
            </w:r>
          </w:p>
        </w:tc>
        <w:tc>
          <w:tcPr>
            <w:tcW w:type="dxa" w:w="2880"/>
          </w:tcPr>
          <w:p>
            <w:r/>
            <w:r>
              <w:rPr>
                <w:sz w:val="19"/>
              </w:rPr>
              <w:t>Base verrouillée, aucun accès public</w:t>
            </w:r>
          </w:p>
        </w:tc>
        <w:tc>
          <w:tcPr>
            <w:tcW w:type="dxa" w:w="2880"/>
          </w:tcPr>
          <w:p>
            <w:r/>
            <w:r>
              <w:rPr>
                <w:sz w:val="19"/>
              </w:rPr>
              <w:t>Applicatif</w:t>
            </w:r>
          </w:p>
        </w:tc>
      </w:tr>
      <w:tr>
        <w:tc>
          <w:tcPr>
            <w:tcW w:type="dxa" w:w="2880"/>
          </w:tcPr>
          <w:p>
            <w:r/>
            <w:r>
              <w:rPr>
                <w:sz w:val="19"/>
              </w:rPr>
              <w:t>Capacité de la formule d'hébergement</w:t>
            </w:r>
          </w:p>
        </w:tc>
        <w:tc>
          <w:tcPr>
            <w:tcW w:type="dxa" w:w="2880"/>
          </w:tcPr>
          <w:p>
            <w:r/>
            <w:r>
              <w:rPr>
                <w:sz w:val="19"/>
              </w:rPr>
              <w:t>10 fonctions sur 12 utilisées</w:t>
            </w:r>
          </w:p>
        </w:tc>
        <w:tc>
          <w:tcPr>
            <w:tcW w:type="dxa" w:w="2880"/>
          </w:tcPr>
          <w:p>
            <w:r/>
            <w:r>
              <w:rPr>
                <w:sz w:val="19"/>
              </w:rPr>
              <w:t>Prestataire</w:t>
            </w:r>
          </w:p>
        </w:tc>
      </w:tr>
    </w:tbl>
    <w:p/>
    <w:p>
      <w:pPr>
        <w:pStyle w:val="Heading3"/>
      </w:pPr>
      <w:r>
        <w:rPr>
          <w:b w:val="0"/>
          <w:i w:val="0"/>
        </w:rPr>
        <w:t>Points de vigilance à consigner</w:t>
      </w:r>
    </w:p>
    <w:p>
      <w:r>
        <w:rPr>
          <w:b/>
          <w:i w:val="0"/>
        </w:rPr>
        <w:t>Mise en pause de la base.</w:t>
      </w:r>
      <w:r>
        <w:rPr>
          <w:b w:val="0"/>
          <w:i w:val="0"/>
        </w:rPr>
        <w:t xml:space="preserve"> L'exécution quotidienne </w:t>
      </w:r>
      <w:r>
        <w:rPr>
          <w:b w:val="0"/>
          <w:i/>
        </w:rPr>
        <w:t>repousse</w:t>
      </w:r>
      <w:r>
        <w:rPr>
          <w:b w:val="0"/>
          <w:i w:val="0"/>
        </w:rPr>
        <w:t xml:space="preserve"> la mise en pause, elle ne la supprime pas. Un incident d'hébergement de plus d'une semaine ou un projet dépublié la ramènent. Seule une formule payante chez l'hébergeur de la base garantit l'absence de mise en pause ; en son absence, la réactivation est manuelle et se fait en un clic. Il est recommandé de rattacher une adresse de l'association à ce compte, afin que les alertes d'inactivité ne parviennent pas uniquement à la personne ayant créé le projet.</w:t>
      </w:r>
    </w:p>
    <w:p>
      <w:r>
        <w:rPr>
          <w:b/>
          <w:i w:val="0"/>
        </w:rPr>
        <w:t>Réputation d'expédition.</w:t>
      </w:r>
      <w:r>
        <w:rPr>
          <w:b w:val="0"/>
          <w:i w:val="0"/>
        </w:rPr>
        <w:t xml:space="preserve"> Le domaine d'envoi est neuf : sa réputation se construit avec les premiers messages. Une adresse inexistante à laquelle l'application écrirait — un dossier fictif laissé en base, par exemple — produit un rebond dur qui dégrade cette réputation, au risque d'envoyer les codes de connexion des vrais participants dans les indésirables. Aucun dossier de démonstration ne doit subsister en production.</w:t>
      </w:r>
    </w:p>
    <w:p>
      <w:pPr>
        <w:pStyle w:val="Heading2"/>
      </w:pPr>
      <w:r>
        <w:rPr>
          <w:b w:val="0"/>
          <w:i w:val="0"/>
          <w:color w:val="2C7A52"/>
        </w:rPr>
        <w:t>Traçabilité</w:t>
      </w:r>
    </w:p>
    <w:p>
      <w:r>
        <w:rPr>
          <w:b w:val="0"/>
          <w:i w:val="0"/>
        </w:rPr>
        <w:t>Correspondance entre les livraisons et les exigences ci-dessus.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Livraison</w:t>
            </w:r>
          </w:p>
        </w:tc>
        <w:tc>
          <w:tcPr>
            <w:tcW w:type="dxa" w:w="4320"/>
          </w:tcPr>
          <w:p>
            <w:r/>
            <w:r>
              <w:rPr>
                <w:b/>
                <w:sz w:val="19"/>
              </w:rPr>
              <w:t>Contenu</w:t>
            </w:r>
          </w:p>
        </w:tc>
      </w:tr>
      <w:tr>
        <w:tc>
          <w:tcPr>
            <w:tcW w:type="dxa" w:w="4320"/>
          </w:tcPr>
          <w:p>
            <w:r/>
            <w:r>
              <w:rPr>
                <w:sz w:val="19"/>
              </w:rPr>
              <w:t>#1</w:t>
            </w:r>
          </w:p>
        </w:tc>
        <w:tc>
          <w:tcPr>
            <w:tcW w:type="dxa" w:w="4320"/>
          </w:tcPr>
          <w:p>
            <w:r/>
            <w:r>
              <w:rPr>
                <w:sz w:val="19"/>
              </w:rPr>
              <w:t>Mise en ligne initiale et refonte V2 — V1-01 à V1-03, V2-01 à V2-07.</w:t>
            </w:r>
          </w:p>
        </w:tc>
      </w:tr>
      <w:tr>
        <w:tc>
          <w:tcPr>
            <w:tcW w:type="dxa" w:w="4320"/>
          </w:tcPr>
          <w:p>
            <w:r/>
            <w:r>
              <w:rPr>
                <w:sz w:val="19"/>
              </w:rPr>
              <w:t>#2 à #6</w:t>
            </w:r>
          </w:p>
        </w:tc>
        <w:tc>
          <w:tcPr>
            <w:tcW w:type="dxa" w:w="4320"/>
          </w:tcPr>
          <w:p>
            <w:r/>
            <w:r>
              <w:rPr>
                <w:sz w:val="19"/>
              </w:rPr>
              <w:t>Fiabilisation de l'enregistrement — FIA-01 à FIA-04.</w:t>
            </w:r>
          </w:p>
        </w:tc>
      </w:tr>
      <w:tr>
        <w:tc>
          <w:tcPr>
            <w:tcW w:type="dxa" w:w="4320"/>
          </w:tcPr>
          <w:p>
            <w:r/>
            <w:r>
              <w:rPr>
                <w:sz w:val="19"/>
              </w:rPr>
              <w:t>#7 à #9</w:t>
            </w:r>
          </w:p>
        </w:tc>
        <w:tc>
          <w:tcPr>
            <w:tcW w:type="dxa" w:w="4320"/>
          </w:tcPr>
          <w:p>
            <w:r/>
            <w:r>
              <w:rPr>
                <w:sz w:val="19"/>
              </w:rPr>
              <w:t>V3 et V3.1 — V3-01 à V3-05. Migration base 002.</w:t>
            </w:r>
          </w:p>
        </w:tc>
      </w:tr>
      <w:tr>
        <w:tc>
          <w:tcPr>
            <w:tcW w:type="dxa" w:w="4320"/>
          </w:tcPr>
          <w:p>
            <w:r/>
            <w:r>
              <w:rPr>
                <w:sz w:val="19"/>
              </w:rPr>
              <w:t>#10 à #17</w:t>
            </w:r>
          </w:p>
        </w:tc>
        <w:tc>
          <w:tcPr>
            <w:tcW w:type="dxa" w:w="4320"/>
          </w:tcPr>
          <w:p>
            <w:r/>
            <w:r>
              <w:rPr>
                <w:sz w:val="19"/>
              </w:rPr>
              <w:t>Outillage de l'administration — ADM-01 à ADM-05.</w:t>
            </w:r>
          </w:p>
        </w:tc>
      </w:tr>
      <w:tr>
        <w:tc>
          <w:tcPr>
            <w:tcW w:type="dxa" w:w="4320"/>
          </w:tcPr>
          <w:p>
            <w:r/>
            <w:r>
              <w:rPr>
                <w:sz w:val="19"/>
              </w:rPr>
              <w:t>#18 à #20</w:t>
            </w:r>
          </w:p>
        </w:tc>
        <w:tc>
          <w:tcPr>
            <w:tcW w:type="dxa" w:w="4320"/>
          </w:tcPr>
          <w:p>
            <w:r/>
            <w:r>
              <w:rPr>
                <w:sz w:val="19"/>
              </w:rPr>
              <w:t>V5 — V5-01 à V5-04. Migration base 003.</w:t>
            </w:r>
          </w:p>
        </w:tc>
      </w:tr>
      <w:tr>
        <w:tc>
          <w:tcPr>
            <w:tcW w:type="dxa" w:w="4320"/>
          </w:tcPr>
          <w:p>
            <w:r/>
            <w:r>
              <w:rPr>
                <w:sz w:val="19"/>
              </w:rPr>
              <w:t>#21</w:t>
            </w:r>
          </w:p>
        </w:tc>
        <w:tc>
          <w:tcPr>
            <w:tcW w:type="dxa" w:w="4320"/>
          </w:tcPr>
          <w:p>
            <w:r/>
            <w:r>
              <w:rPr>
                <w:sz w:val="19"/>
              </w:rPr>
              <w:t>V6 — V6-01 à V6-05.</w:t>
            </w:r>
          </w:p>
        </w:tc>
      </w:tr>
      <w:tr>
        <w:tc>
          <w:tcPr>
            <w:tcW w:type="dxa" w:w="4320"/>
          </w:tcPr>
          <w:p>
            <w:r/>
            <w:r>
              <w:rPr>
                <w:sz w:val="19"/>
              </w:rPr>
              <w:t>#22</w:t>
            </w:r>
          </w:p>
        </w:tc>
        <w:tc>
          <w:tcPr>
            <w:tcW w:type="dxa" w:w="4320"/>
          </w:tcPr>
          <w:p>
            <w:r/>
            <w:r>
              <w:rPr>
                <w:sz w:val="19"/>
              </w:rPr>
              <w:t>V7.1 — Comptes participants et identité visuelle, V7-01 à V7-07. Migrations base 004 et 005.</w:t>
            </w:r>
          </w:p>
        </w:tc>
      </w:tr>
      <w:tr>
        <w:tc>
          <w:tcPr>
            <w:tcW w:type="dxa" w:w="4320"/>
          </w:tcPr>
          <w:p>
            <w:r/>
            <w:r>
              <w:rPr>
                <w:sz w:val="19"/>
              </w:rPr>
              <w:t>#23</w:t>
            </w:r>
          </w:p>
        </w:tc>
        <w:tc>
          <w:tcPr>
            <w:tcW w:type="dxa" w:w="4320"/>
          </w:tcPr>
          <w:p>
            <w:r/>
            <w:r>
              <w:rPr>
                <w:sz w:val="19"/>
              </w:rPr>
              <w:t>V7.2 — Continuité de service, V7-08 et V7-09.</w:t>
            </w:r>
          </w:p>
        </w:tc>
      </w:tr>
      <w:tr>
        <w:tc>
          <w:tcPr>
            <w:tcW w:type="dxa" w:w="4320"/>
          </w:tcPr>
          <w:p>
            <w:r/>
            <w:r>
              <w:rPr>
                <w:sz w:val="19"/>
              </w:rPr>
              <w:t>#24</w:t>
            </w:r>
          </w:p>
        </w:tc>
        <w:tc>
          <w:tcPr>
            <w:tcW w:type="dxa" w:w="4320"/>
          </w:tcPr>
          <w:p>
            <w:r/>
            <w:r>
              <w:rPr>
                <w:sz w:val="19"/>
              </w:rPr>
              <w:t>V7.3 — Confidentialité des dossiers, V7-10 à V7-12.</w:t>
            </w:r>
          </w:p>
        </w:tc>
      </w:tr>
      <w:tr>
        <w:tc>
          <w:tcPr>
            <w:tcW w:type="dxa" w:w="4320"/>
          </w:tcPr>
          <w:p>
            <w:r/>
            <w:r>
              <w:rPr>
                <w:sz w:val="19"/>
              </w:rPr>
              <w:t>Exploitation</w:t>
            </w:r>
          </w:p>
        </w:tc>
        <w:tc>
          <w:tcPr>
            <w:tcW w:type="dxa" w:w="4320"/>
          </w:tcPr>
          <w:p>
            <w:r/>
            <w:r>
              <w:rPr>
                <w:sz w:val="19"/>
              </w:rPr>
              <w:t>V7.4 — Mise en service sur le domaine de l'association, V7-13 et V7-14. Sans modification du code.</w:t>
            </w:r>
          </w:p>
        </w:tc>
      </w:tr>
      <w:tr>
        <w:tc>
          <w:tcPr>
            <w:tcW w:type="dxa" w:w="4320"/>
          </w:tcPr>
          <w:p>
            <w:r/>
            <w:r>
              <w:rPr>
                <w:sz w:val="19"/>
              </w:rPr>
              <w:t>#25</w:t>
            </w:r>
          </w:p>
        </w:tc>
        <w:tc>
          <w:tcPr>
            <w:tcW w:type="dxa" w:w="4320"/>
          </w:tcPr>
          <w:p>
            <w:r/>
            <w:r>
              <w:rPr>
                <w:sz w:val="19"/>
              </w:rPr>
              <w:t>V7.5, première partie — Allègement du parcours d'arrivée, V7-15 à V7-17.</w:t>
            </w:r>
          </w:p>
        </w:tc>
      </w:tr>
      <w:tr>
        <w:tc>
          <w:tcPr>
            <w:tcW w:type="dxa" w:w="4320"/>
          </w:tcPr>
          <w:p>
            <w:r/>
            <w:r>
              <w:rPr>
                <w:sz w:val="19"/>
              </w:rPr>
              <w:t>#26</w:t>
            </w:r>
          </w:p>
        </w:tc>
        <w:tc>
          <w:tcPr>
            <w:tcW w:type="dxa" w:w="4320"/>
          </w:tcPr>
          <w:p>
            <w:r/>
            <w:r>
              <w:rPr>
                <w:sz w:val="19"/>
              </w:rPr>
              <w:t>V7.5, seconde partie — Identité par l'e-mail et rappel à un mois, V7-18 à V7-21. Migration base 006.</w:t>
            </w:r>
          </w:p>
        </w:tc>
      </w:tr>
      <w:tr>
        <w:tc>
          <w:tcPr>
            <w:tcW w:type="dxa" w:w="4320"/>
          </w:tcPr>
          <w:p>
            <w:r/>
            <w:r>
              <w:rPr>
                <w:sz w:val="19"/>
              </w:rPr>
              <w:t>#27</w:t>
            </w:r>
          </w:p>
        </w:tc>
        <w:tc>
          <w:tcPr>
            <w:tcW w:type="dxa" w:w="4320"/>
          </w:tcPr>
          <w:p>
            <w:r/>
            <w:r>
              <w:rPr>
                <w:sz w:val="19"/>
              </w:rPr>
              <w:t>V7.6 — Fiabilité de la réinstallation, V7-22. Sans effet sur le produit en service.</w:t>
            </w:r>
          </w:p>
        </w:tc>
      </w:tr>
    </w:tbl>
    <w:p/>
    <w:p>
      <w:r>
        <w:rPr>
          <w:b w:val="0"/>
          <w:i w:val="0"/>
        </w:rPr>
        <w:t>Document de synthèse établi à partir de l'historique du dépôt et de la suite de tests automatisés. Toutes les fonctionnalités décrites sont en production, à l'exception de l'import CSV (V5-04), retiré. Les dates des livraisons sont celles de l'intégration du code, qui peuvent précéder de peu leur mise en ligne. Mis à jour le 23 septembre 2026 : regroupement sous la V7 de tout ce qui suit la V6.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Chronique des versions</dc:title>
  <dc:subject/>
  <dc:creator>Vie Florissante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