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43b251f1e49cda7f47e29b353fb582de7b3ce9"/>
    <w:p>
      <w:pPr>
        <w:pStyle w:val="Heading1"/>
      </w:pPr>
      <w:r>
        <w:t xml:space="preserve">Dating Stats Atlas — data licensing and publication review</w:t>
      </w:r>
    </w:p>
    <w:p>
      <w:pPr>
        <w:pStyle w:val="FirstParagraph"/>
      </w:pPr>
      <w:r>
        <w:rPr>
          <w:b/>
          <w:bCs/>
        </w:rPr>
        <w:t xml:space="preserve">Prepared for counsel · 24 September 2026 · Nathan, sole founder</w:t>
      </w:r>
    </w:p>
    <w:bookmarkStart w:id="9" w:name="what-we-are-asking-for"/>
    <w:p>
      <w:pPr>
        <w:pStyle w:val="Heading2"/>
      </w:pPr>
      <w:r>
        <w:t xml:space="preserve">What we are asking for</w:t>
      </w:r>
    </w:p>
    <w:p>
      <w:pPr>
        <w:pStyle w:val="FirstParagraph"/>
      </w:pPr>
      <w:r>
        <w:t xml:space="preserve">A written memo covering (a) whether each data source listed in Part B may be used as</w:t>
      </w:r>
      <w:r>
        <w:t xml:space="preserve"> </w:t>
      </w:r>
      <w:r>
        <w:t xml:space="preserve">described, and on what conditions, and (b) the three analysis questions in Part C that we</w:t>
      </w:r>
      <w:r>
        <w:t xml:space="preserve"> </w:t>
      </w:r>
      <w:r>
        <w:t xml:space="preserve">cannot answer ourselves — our exposure on personalised rankings that use race and</w:t>
      </w:r>
      <w:r>
        <w:t xml:space="preserve"> </w:t>
      </w:r>
      <w:r>
        <w:t xml:space="preserve">ethnicity, both as an optional filter and inside the</w:t>
      </w:r>
      <w:r>
        <w:t xml:space="preserve"> </w:t>
      </w:r>
      <w:r>
        <w:t xml:space="preserve">“chances of matching”</w:t>
      </w:r>
      <w:r>
        <w:t xml:space="preserve"> </w:t>
      </w:r>
      <w:r>
        <w:t xml:space="preserve">figure described</w:t>
      </w:r>
      <w:r>
        <w:t xml:space="preserve"> </w:t>
      </w:r>
      <w:r>
        <w:t xml:space="preserve">in Part A; whether the distinction we draw between publishing a rendered page and</w:t>
      </w:r>
      <w:r>
        <w:t xml:space="preserve"> </w:t>
      </w:r>
      <w:r>
        <w:t xml:space="preserve">distributing data holds up; and what follows from a visitor’s own race or ethnicity, if</w:t>
      </w:r>
      <w:r>
        <w:t xml:space="preserve"> </w:t>
      </w:r>
      <w:r>
        <w:t xml:space="preserve">they choose to give it, travelling in the page address and in a cookie.</w:t>
      </w:r>
    </w:p>
    <w:p>
      <w:pPr>
        <w:pStyle w:val="BodyText"/>
      </w:pPr>
      <w:r>
        <w:t xml:space="preserve">A per-source table of</w:t>
      </w:r>
      <w:r>
        <w:t xml:space="preserve"> </w:t>
      </w:r>
      <w:r>
        <w:rPr>
          <w:b/>
          <w:bCs/>
        </w:rPr>
        <w:t xml:space="preserve">yes / no / yes-with-conditions</w:t>
      </w:r>
      <w:r>
        <w:t xml:space="preserve">, plus required attribution or</w:t>
      </w:r>
      <w:r>
        <w:t xml:space="preserve"> </w:t>
      </w:r>
      <w:r>
        <w:t xml:space="preserve">disclaimer language, is the most useful form for us: our build system has a typed licence</w:t>
      </w:r>
      <w:r>
        <w:t xml:space="preserve"> </w:t>
      </w:r>
      <w:r>
        <w:t xml:space="preserve">field on every data source and refuses to ship if a source marked non-shippable reaches the</w:t>
      </w:r>
      <w:r>
        <w:t xml:space="preserve"> </w:t>
      </w:r>
      <w:r>
        <w:t xml:space="preserve">published artifact, so your answers get encoded and enforced automatically.</w:t>
      </w:r>
    </w:p>
    <w:p>
      <w:pPr>
        <w:pStyle w:val="BodyText"/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asking about corporate structure, employment, tax, or fundraising.</w:t>
      </w:r>
    </w:p>
    <w:p>
      <w:pPr>
        <w:pStyle w:val="BodyText"/>
      </w:pPr>
      <w:r>
        <w:t xml:space="preserve">Attached: dated copies of each source’s licence or terms page, saved on the date shown in</w:t>
      </w:r>
      <w:r>
        <w:t xml:space="preserve"> </w:t>
      </w:r>
      <w:r>
        <w:t xml:space="preserve">each filename.</w:t>
      </w:r>
    </w:p>
    <w:bookmarkEnd w:id="9"/>
    <w:bookmarkStart w:id="10" w:name="part-a-the-product-in-one-page"/>
    <w:p>
      <w:pPr>
        <w:pStyle w:val="Heading2"/>
      </w:pPr>
      <w:r>
        <w:t xml:space="preserve">Part A — The product, in one page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 pre-launch website that estimates, for one person’s stated preferences,</w:t>
      </w:r>
      <w:r>
        <w:t xml:space="preserve"> </w:t>
      </w:r>
      <w:r>
        <w:t xml:space="preserve">how many compatible potential partners live in each US metropolitan area, how closely those</w:t>
      </w:r>
      <w:r>
        <w:t xml:space="preserve"> </w:t>
      </w:r>
      <w:r>
        <w:t xml:space="preserve">people resemble the people who actually pair with someone like the visitor (the</w:t>
      </w:r>
      <w:r>
        <w:t xml:space="preserve"> </w:t>
      </w:r>
      <w:r>
        <w:t xml:space="preserve">“chances of</w:t>
      </w:r>
      <w:r>
        <w:t xml:space="preserve"> </w:t>
      </w:r>
      <w:r>
        <w:t xml:space="preserve">matching”</w:t>
      </w:r>
      <w:r>
        <w:t xml:space="preserve"> </w:t>
      </w:r>
      <w:r>
        <w:t xml:space="preserve">figure below), and what living there costs — then ranks the metro areas</w:t>
      </w:r>
      <w:r>
        <w:t xml:space="preserve"> </w:t>
      </w:r>
      <w:r>
        <w:t xml:space="preserve">accordingly. It also shows, for information and not as part of the ranking, the balance of</w:t>
      </w:r>
      <w:r>
        <w:t xml:space="preserve"> </w:t>
      </w:r>
      <w:r>
        <w:t xml:space="preserve">single men to single women at the visitor’s chosen ages. It is a statistical reference tool,</w:t>
      </w:r>
      <w:r>
        <w:t xml:space="preserve"> </w:t>
      </w:r>
      <w:r>
        <w:t xml:space="preserve">not a dating app: there are no profiles, no messaging, and no other users to meet.</w:t>
      </w:r>
    </w:p>
    <w:p>
      <w:pPr>
        <w:pStyle w:val="BodyText"/>
      </w:pPr>
      <w:r>
        <w:rPr>
          <w:b/>
          <w:bCs/>
        </w:rPr>
        <w:t xml:space="preserve">Where the numbers come from.</w:t>
      </w:r>
      <w:r>
        <w:t xml:space="preserve"> </w:t>
      </w:r>
      <w:r>
        <w:t xml:space="preserve">Almost entirely from US federal statistical agencies,</w:t>
      </w:r>
      <w:r>
        <w:t xml:space="preserve"> </w:t>
      </w:r>
      <w:r>
        <w:t xml:space="preserve">chiefly the Census Bureau’s American Community Survey public-use microdata — anonymised</w:t>
      </w:r>
      <w:r>
        <w:t xml:space="preserve"> </w:t>
      </w:r>
      <w:r>
        <w:t xml:space="preserve">individual survey records, published by the Bureau for exactly this kind of analysis, with</w:t>
      </w:r>
      <w:r>
        <w:t xml:space="preserve"> </w:t>
      </w:r>
      <w:r>
        <w:t xml:space="preserve">no names, addresses, or identifying detail. We aggregate those records to metropolitan-area</w:t>
      </w:r>
      <w:r>
        <w:t xml:space="preserve"> </w:t>
      </w:r>
      <w:r>
        <w:t xml:space="preserve">population estimates. Nothing we publish describes an identifiable person.</w:t>
      </w:r>
    </w:p>
    <w:p>
      <w:pPr>
        <w:pStyle w:val="BodyText"/>
      </w:pPr>
      <w:r>
        <w:rPr>
          <w:b/>
          <w:bCs/>
        </w:rPr>
        <w:t xml:space="preserve">Chances of matching (added 23 September 2026; race and education combined since 24</w:t>
      </w:r>
      <w:r>
        <w:rPr>
          <w:b/>
          <w:bCs/>
        </w:rPr>
        <w:t xml:space="preserve"> </w:t>
      </w:r>
      <w:r>
        <w:rPr>
          <w:b/>
          <w:bCs/>
        </w:rPr>
        <w:t xml:space="preserve">September).</w:t>
      </w:r>
      <w:r>
        <w:t xml:space="preserve"> </w:t>
      </w:r>
      <w:r>
        <w:t xml:space="preserve">Beside the count of compatible people, each metro area now carries a second</w:t>
      </w:r>
      <w:r>
        <w:t xml:space="preserve"> </w:t>
      </w:r>
      <w:r>
        <w:t xml:space="preserve">figure,</w:t>
      </w:r>
      <w:r>
        <w:t xml:space="preserve"> </w:t>
      </w:r>
      <w:r>
        <w:t xml:space="preserve">“Chances of matching”</w:t>
      </w:r>
      <w:r>
        <w:t xml:space="preserve">: how closely the people who match the visitor’s search</w:t>
      </w:r>
      <w:r>
        <w:t xml:space="preserve"> </w:t>
      </w:r>
      <w:r>
        <w:t xml:space="preserve">resemble the people who actually pair with someone like the visitor, where 100 is the US</w:t>
      </w:r>
      <w:r>
        <w:t xml:space="preserve"> </w:t>
      </w:r>
      <w:r>
        <w:t xml:space="preserve">average for that same search. The pattern behind it comes from real couples in the same</w:t>
      </w:r>
      <w:r>
        <w:t xml:space="preserve"> </w:t>
      </w:r>
      <w:r>
        <w:t xml:space="preserve">Census survey — the person answering the survey and their spouse or unmarried partner in the</w:t>
      </w:r>
      <w:r>
        <w:t xml:space="preserve"> </w:t>
      </w:r>
      <w:r>
        <w:t xml:space="preserve">household — across the whole country: how often each age gap, each education pairing and</w:t>
      </w:r>
      <w:r>
        <w:t xml:space="preserve"> </w:t>
      </w:r>
      <w:r>
        <w:t xml:space="preserve">each racial or ethnic pairing occurs among couples, compared with how often it would occur</w:t>
      </w:r>
      <w:r>
        <w:t xml:space="preserve"> </w:t>
      </w:r>
      <w:r>
        <w:t xml:space="preserve">if single people paired at random. That national pattern is adjusted a little for each</w:t>
      </w:r>
      <w:r>
        <w:t xml:space="preserve"> </w:t>
      </w:r>
      <w:r>
        <w:t xml:space="preserve">metro’s own couples and applied to the single people who match the search there. It</w:t>
      </w:r>
      <w:r>
        <w:t xml:space="preserve"> </w:t>
      </w:r>
      <w:r>
        <w:t xml:space="preserve">describes observed pairing patterns in aggregate. It is not a prediction about any person,</w:t>
      </w:r>
      <w:r>
        <w:t xml:space="preserve"> </w:t>
      </w:r>
      <w:r>
        <w:t xml:space="preserve">and the page says so in as many words (</w:t>
      </w:r>
      <w:r>
        <w:t xml:space="preserve">“an aggregate pattern from recent unions, not a</w:t>
      </w:r>
      <w:r>
        <w:t xml:space="preserve"> </w:t>
      </w:r>
      <w:r>
        <w:t xml:space="preserve">prediction about any one person”</w:t>
      </w:r>
      <w:r>
        <w:t xml:space="preserve">). A slider divides the people side of the score between</w:t>
      </w:r>
      <w:r>
        <w:t xml:space="preserve"> </w:t>
      </w:r>
      <w:r>
        <w:t xml:space="preserve">pool size and chances of matching; by default it sits a little towards pool size (pool size</w:t>
      </w:r>
      <w:r>
        <w:t xml:space="preserve"> </w:t>
      </w:r>
      <w:r>
        <w:t xml:space="preserve">carries 30% of the overall score and chances of matching 25%; cost, social life, weather</w:t>
      </w:r>
      <w:r>
        <w:t xml:space="preserve"> </w:t>
      </w:r>
      <w:r>
        <w:t xml:space="preserve">and students share the rest). The figure is displayed as a whole number against the US</w:t>
      </w:r>
      <w:r>
        <w:t xml:space="preserve"> </w:t>
      </w:r>
      <w:r>
        <w:t xml:space="preserve">average of 100 and is capped on the page at</w:t>
      </w:r>
      <w:r>
        <w:t xml:space="preserve"> </w:t>
      </w:r>
      <w:r>
        <w:t xml:space="preserve">“250+”</w:t>
      </w:r>
      <w:r>
        <w:t xml:space="preserve">; the ranking behind the page uses the</w:t>
      </w:r>
      <w:r>
        <w:t xml:space="preserve"> </w:t>
      </w:r>
      <w:r>
        <w:t xml:space="preserve">uncapped figure. What the page tells the visitor about race is in three places, all in the</w:t>
      </w:r>
      <w:r>
        <w:t xml:space="preserve"> </w:t>
      </w:r>
      <w:r>
        <w:t xml:space="preserve">same register as age and education and with no separate caveat, by recorded decision: the</w:t>
      </w:r>
      <w:r>
        <w:t xml:space="preserve"> </w:t>
      </w:r>
      <w:r>
        <w:t xml:space="preserve">information box beside the figure says it compares the visitor’s matches against</w:t>
      </w:r>
      <w:r>
        <w:t xml:space="preserve"> </w:t>
      </w:r>
      <w:r>
        <w:t xml:space="preserve">“the</w:t>
      </w:r>
      <w:r>
        <w:t xml:space="preserve"> </w:t>
      </w:r>
      <w:r>
        <w:t xml:space="preserve">racial and ethnic pairings that occur”</w:t>
      </w:r>
      <w:r>
        <w:t xml:space="preserve">; the</w:t>
      </w:r>
      <w:r>
        <w:t xml:space="preserve"> </w:t>
      </w:r>
      <w:r>
        <w:t xml:space="preserve">“How this is measured”</w:t>
      </w:r>
      <w:r>
        <w:t xml:space="preserve"> </w:t>
      </w:r>
      <w:r>
        <w:t xml:space="preserve">text names race or</w:t>
      </w:r>
      <w:r>
        <w:t xml:space="preserve"> </w:t>
      </w:r>
      <w:r>
        <w:t xml:space="preserve">ethnicity as one of the three inputs, says the pattern is measured against random pairing,</w:t>
      </w:r>
      <w:r>
        <w:t xml:space="preserve"> </w:t>
      </w:r>
      <w:r>
        <w:t xml:space="preserve">and carries the not-a-prediction sentence; and the optional</w:t>
      </w:r>
      <w:r>
        <w:t xml:space="preserve"> </w:t>
      </w:r>
      <w:r>
        <w:t xml:space="preserve">“about you”</w:t>
      </w:r>
      <w:r>
        <w:t xml:space="preserve"> </w:t>
      </w:r>
      <w:r>
        <w:t xml:space="preserve">controls carry a</w:t>
      </w:r>
      <w:r>
        <w:t xml:space="preserve"> </w:t>
      </w:r>
      <w:r>
        <w:t xml:space="preserve">note that the visitor’s own education and race or ethnicity feed only this figure, and that</w:t>
      </w:r>
      <w:r>
        <w:t xml:space="preserve"> </w:t>
      </w:r>
      <w:r>
        <w:t xml:space="preserve">the average for people of their age and sex is used if either is left unset.</w:t>
      </w:r>
    </w:p>
    <w:p>
      <w:pPr>
        <w:pStyle w:val="BodyText"/>
      </w:pPr>
      <w:r>
        <w:rPr>
          <w:b/>
          <w:bCs/>
        </w:rPr>
        <w:t xml:space="preserve">What a visitor may tell the site, and what it does with it.</w:t>
      </w:r>
      <w:r>
        <w:t xml:space="preserve"> </w:t>
      </w:r>
      <w:r>
        <w:t xml:space="preserve">About themselves: their sex</w:t>
      </w:r>
      <w:r>
        <w:t xml:space="preserve"> </w:t>
      </w:r>
      <w:r>
        <w:t xml:space="preserve">and age (the panel always holds a value for both, starting from a stated default profile),</w:t>
      </w:r>
      <w:r>
        <w:t xml:space="preserve"> </w:t>
      </w:r>
      <w:r>
        <w:t xml:space="preserve">and optionally their education (four levels) and their race or ethnicity (the eight Census</w:t>
      </w:r>
      <w:r>
        <w:t xml:space="preserve"> </w:t>
      </w:r>
      <w:r>
        <w:t xml:space="preserve">categories, with</w:t>
      </w:r>
      <w:r>
        <w:t xml:space="preserve"> </w:t>
      </w:r>
      <w:r>
        <w:t xml:space="preserve">“Prefer not to say”</w:t>
      </w:r>
      <w:r>
        <w:t xml:space="preserve">). About whom they are looking for: sex (defaults to the</w:t>
      </w:r>
      <w:r>
        <w:t xml:space="preserve"> </w:t>
      </w:r>
      <w:r>
        <w:t xml:space="preserve">opposite of their own), an age range, marital status (never married, previously married, or</w:t>
      </w:r>
      <w:r>
        <w:t xml:space="preserve"> </w:t>
      </w:r>
      <w:r>
        <w:t xml:space="preserve">both), a minimum education, a minimum income, and any of the eight race or ethnicity groups</w:t>
      </w:r>
      <w:r>
        <w:t xml:space="preserve"> </w:t>
      </w:r>
      <w:r>
        <w:t xml:space="preserve">as a filter. And how to weigh things: the slider, four</w:t>
      </w:r>
      <w:r>
        <w:t xml:space="preserve"> </w:t>
      </w:r>
      <w:r>
        <w:t xml:space="preserve">“how much this matters”</w:t>
      </w:r>
      <w:r>
        <w:t xml:space="preserve"> </w:t>
      </w:r>
      <w:r>
        <w:t xml:space="preserve">controls,</w:t>
      </w:r>
      <w:r>
        <w:t xml:space="preserve"> </w:t>
      </w:r>
      <w:r>
        <w:t xml:space="preserve">and a sort order. Everything after the visitor’s own sex and age is optional.</w:t>
      </w:r>
    </w:p>
    <w:p>
      <w:pPr>
        <w:pStyle w:val="BodyText"/>
      </w:pPr>
      <w:r>
        <w:t xml:space="preserve">A visitor’s own race or ethnicity, if given, changes their ranking in one way: the</w:t>
      </w:r>
      <w:r>
        <w:t xml:space="preserve"> </w:t>
      </w:r>
      <w:r>
        <w:t xml:space="preserve">chances-of-matching figure is then built from how often people of that group pair within</w:t>
      </w:r>
      <w:r>
        <w:t xml:space="preserve"> </w:t>
      </w:r>
      <w:r>
        <w:t xml:space="preserve">the group and with each of the other groups — measured nationally for each sex and adjusted</w:t>
      </w:r>
      <w:r>
        <w:t xml:space="preserve"> </w:t>
      </w:r>
      <w:r>
        <w:t xml:space="preserve">a little per metro — and, since 24 September, from how those rates differ by education. Two</w:t>
      </w:r>
      <w:r>
        <w:t xml:space="preserve"> </w:t>
      </w:r>
      <w:r>
        <w:t xml:space="preserve">visitors identical in every other respect can therefore see different figures and a</w:t>
      </w:r>
      <w:r>
        <w:t xml:space="preserve"> </w:t>
      </w:r>
      <w:r>
        <w:t xml:space="preserve">different order of cities for the same search; measured on the current build, the</w:t>
      </w:r>
      <w:r>
        <w:t xml:space="preserve"> </w:t>
      </w:r>
      <w:r>
        <w:t xml:space="preserve">difference is material, not cosmetic. A visitor who gives no race or ethnicity is not</w:t>
      </w:r>
      <w:r>
        <w:t xml:space="preserve"> </w:t>
      </w:r>
      <w:r>
        <w:t xml:space="preserve">outside those patterns: their figure uses the average of the patterns across all eight</w:t>
      </w:r>
      <w:r>
        <w:t xml:space="preserve"> </w:t>
      </w:r>
      <w:r>
        <w:t xml:space="preserve">groups, weighted by how common each group is among single people of their sex and age</w:t>
      </w:r>
      <w:r>
        <w:t xml:space="preserve"> </w:t>
      </w:r>
      <w:r>
        <w:t xml:space="preserve">nationally, so the observed rates at which groups pair with one another shape every</w:t>
      </w:r>
      <w:r>
        <w:t xml:space="preserve"> </w:t>
      </w:r>
      <w:r>
        <w:t xml:space="preserve">visitor’s ranking to some degree. The same holds for education. For a visitor seeking</w:t>
      </w:r>
      <w:r>
        <w:t xml:space="preserve"> </w:t>
      </w:r>
      <w:r>
        <w:t xml:space="preserve">their own sex, the age gaps and the education pairings come from same-sex couples in the</w:t>
      </w:r>
      <w:r>
        <w:t xml:space="preserve"> </w:t>
      </w:r>
      <w:r>
        <w:t xml:space="preserve">same survey; the racial and ethnic pairings are borrowed from opposite-sex couples, because</w:t>
      </w:r>
      <w:r>
        <w:t xml:space="preserve"> </w:t>
      </w:r>
      <w:r>
        <w:t xml:space="preserve">the survey’s same-sex couples are too few to measure them dependably for the smaller</w:t>
      </w:r>
      <w:r>
        <w:t xml:space="preserve"> </w:t>
      </w:r>
      <w:r>
        <w:t xml:space="preserve">groups. The page says this in one sentence on every row of a same-sex search and on the</w:t>
      </w:r>
      <w:r>
        <w:t xml:space="preserve"> </w:t>
      </w:r>
      <w:r>
        <w:t xml:space="preserve">methodology page.</w:t>
      </w:r>
    </w:p>
    <w:p>
      <w:pPr>
        <w:pStyle w:val="BodyText"/>
      </w:pPr>
      <w:r>
        <w:rPr>
          <w:b/>
          <w:bCs/>
        </w:rPr>
        <w:t xml:space="preserve">What we collect from visitors.</w:t>
      </w:r>
      <w:r>
        <w:t xml:space="preserve"> </w:t>
      </w:r>
      <w:r>
        <w:t xml:space="preserve">At launch there are no accounts, no login, no analytics,</w:t>
      </w:r>
      <w:r>
        <w:t xml:space="preserve"> </w:t>
      </w:r>
      <w:r>
        <w:t xml:space="preserve">no third-party scripts (fonts and photographs are served from our own site) and no database</w:t>
      </w:r>
      <w:r>
        <w:t xml:space="preserve"> </w:t>
      </w:r>
      <w:r>
        <w:t xml:space="preserve">of visitors or searches; the ranking service holds nothing between requests and writes</w:t>
      </w:r>
      <w:r>
        <w:t xml:space="preserve"> </w:t>
      </w:r>
      <w:r>
        <w:t xml:space="preserve">nothing. A visitor’s search nevertheless lives in two places on their own device, and both</w:t>
      </w:r>
      <w:r>
        <w:t xml:space="preserve"> </w:t>
      </w:r>
      <w:r>
        <w:t xml:space="preserve">can carry the two optional items about the visitor themselves. First, the page address:</w:t>
      </w:r>
      <w:r>
        <w:t xml:space="preserve"> </w:t>
      </w:r>
      <w:r>
        <w:t xml:space="preserve">every setting above is a parameter in the URL of the results page (for example</w:t>
      </w:r>
      <w:r>
        <w:t xml:space="preserve"> </w:t>
      </w:r>
      <w:r>
        <w:rPr>
          <w:rStyle w:val="VerbatimChar"/>
        </w:rPr>
        <w:t xml:space="preserve">self_race=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self_edu=</w:t>
      </w:r>
      <w:r>
        <w:t xml:space="preserve"> </w:t>
      </w:r>
      <w:r>
        <w:t xml:space="preserve">beside the filters), so it sits in the browser’s history and in any link the</w:t>
      </w:r>
      <w:r>
        <w:t xml:space="preserve"> </w:t>
      </w:r>
      <w:r>
        <w:t xml:space="preserve">visitor copies or shares; a</w:t>
      </w:r>
      <w:r>
        <w:t xml:space="preserve"> </w:t>
      </w:r>
      <w:r>
        <w:t xml:space="preserve">“permalink”</w:t>
      </w:r>
      <w:r>
        <w:t xml:space="preserve"> </w:t>
      </w:r>
      <w:r>
        <w:t xml:space="preserve">to a fixed edition of the results carries the same</w:t>
      </w:r>
      <w:r>
        <w:t xml:space="preserve"> </w:t>
      </w:r>
      <w:r>
        <w:t xml:space="preserve">settings encoded in its path. Second, a first-party cookie named</w:t>
      </w:r>
      <w:r>
        <w:t xml:space="preserve"> </w:t>
      </w:r>
      <w:r>
        <w:rPr>
          <w:rStyle w:val="VerbatimChar"/>
        </w:rPr>
        <w:t xml:space="preserve">dsa_prefs</w:t>
      </w:r>
      <w:r>
        <w:t xml:space="preserve">, written by</w:t>
      </w:r>
      <w:r>
        <w:t xml:space="preserve"> </w:t>
      </w:r>
      <w:r>
        <w:t xml:space="preserve">the page whenever the visitor changes their search so that the search follows them to the</w:t>
      </w:r>
      <w:r>
        <w:t xml:space="preserve"> </w:t>
      </w:r>
      <w:r>
        <w:t xml:space="preserve">site’s other pages: it holds the same parameters as the URL, is kept for about 180 days, is</w:t>
      </w:r>
      <w:r>
        <w:t xml:space="preserve"> </w:t>
      </w:r>
      <w:r>
        <w:t xml:space="preserve">restricted to our own site (SameSite=Lax) and is sent by the browser with every request to</w:t>
      </w:r>
      <w:r>
        <w:t xml:space="preserve"> </w:t>
      </w:r>
      <w:r>
        <w:t xml:space="preserve">our site; the site reads it only when a page is opened with no search parameters in the</w:t>
      </w:r>
      <w:r>
        <w:t xml:space="preserve"> </w:t>
      </w:r>
      <w:r>
        <w:t xml:space="preserve">URL. What our servers and the host keep: the ranking service’s standard request log records</w:t>
      </w:r>
      <w:r>
        <w:t xml:space="preserve"> </w:t>
      </w:r>
      <w:r>
        <w:t xml:space="preserve">the time, path and status of each ranking call made by our own web server — the search</w:t>
      </w:r>
      <w:r>
        <w:t xml:space="preserve"> </w:t>
      </w:r>
      <w:r>
        <w:t xml:space="preserve">itself travels in the body of that call and is not logged — and our web server writes no</w:t>
      </w:r>
      <w:r>
        <w:t xml:space="preserve"> </w:t>
      </w:r>
      <w:r>
        <w:t xml:space="preserve">per-request log of its own. The hosting provider in our committed but not yet deployed</w:t>
      </w:r>
      <w:r>
        <w:t xml:space="preserve"> </w:t>
      </w:r>
      <w:r>
        <w:t xml:space="preserve">configuration, Fly.io, terminates the visitor’s connection, so its edge sees every request</w:t>
      </w:r>
      <w:r>
        <w:t xml:space="preserve"> </w:t>
      </w:r>
      <w:r>
        <w:t xml:space="preserve">address and cookie in passing, and it retains both processes’ logs for its own standard</w:t>
      </w:r>
      <w:r>
        <w:t xml:space="preserve"> </w:t>
      </w:r>
      <w:r>
        <w:t xml:space="preserve">period; we have set up no log shipping and no other recording. In short: our servers store</w:t>
      </w:r>
      <w:r>
        <w:t xml:space="preserve"> </w:t>
      </w:r>
      <w:r>
        <w:t xml:space="preserve">no search; the visitor’s browser does, in the URL and the cookie. Questions 8 and 9 follow</w:t>
      </w:r>
      <w:r>
        <w:t xml:space="preserve"> </w:t>
      </w:r>
      <w:r>
        <w:t xml:space="preserve">from this.</w:t>
      </w:r>
    </w:p>
    <w:p>
      <w:pPr>
        <w:pStyle w:val="BodyText"/>
      </w:pPr>
      <w:r>
        <w:rPr>
          <w:b/>
          <w:bCs/>
        </w:rPr>
        <w:t xml:space="preserve">Aggregate only, with suppression.</w:t>
      </w:r>
      <w:r>
        <w:t xml:space="preserve"> </w:t>
      </w:r>
      <w:r>
        <w:t xml:space="preserve">Every figure displayed is a population estimate for a</w:t>
      </w:r>
      <w:r>
        <w:t xml:space="preserve"> </w:t>
      </w:r>
      <w:r>
        <w:t xml:space="preserve">metro area of at least 250,000 people. Where the underlying sample is too small to support</w:t>
      </w:r>
      <w:r>
        <w:t xml:space="preserve"> </w:t>
      </w:r>
      <w:r>
        <w:t xml:space="preserve">an estimate — fewer than 100 survey respondents — we suppress the result and say so rather</w:t>
      </w:r>
      <w:r>
        <w:t xml:space="preserve"> </w:t>
      </w:r>
      <w:r>
        <w:t xml:space="preserve">than publishing a number; the chances-of-matching figure is suppressed on the same rule.</w:t>
      </w:r>
      <w:r>
        <w:t xml:space="preserve"> </w:t>
      </w:r>
      <w:r>
        <w:t xml:space="preserve">One disclosure decision a reviewer will otherwise ask about (Phase 2g, ADR 0008): the site</w:t>
      </w:r>
      <w:r>
        <w:t xml:space="preserve"> </w:t>
      </w:r>
      <w:r>
        <w:t xml:space="preserve">computes margins of error on every count and suppresses on them, but since the</w:t>
      </w:r>
      <w:r>
        <w:t xml:space="preserve"> </w:t>
      </w:r>
      <w:r>
        <w:t xml:space="preserve">methodology-page rewrite it no longer tells visitors anywhere that this uncertainty</w:t>
      </w:r>
      <w:r>
        <w:t xml:space="preserve"> </w:t>
      </w:r>
      <w:r>
        <w:t xml:space="preserve">machinery exists — the removal was deliberate, and the technical figures remain available</w:t>
      </w:r>
      <w:r>
        <w:t xml:space="preserve"> </w:t>
      </w:r>
      <w:r>
        <w:t xml:space="preserve">on request.</w:t>
      </w:r>
    </w:p>
    <w:p>
      <w:pPr>
        <w:pStyle w:val="BodyText"/>
      </w:pPr>
      <w:r>
        <w:rPr>
          <w:b/>
          <w:bCs/>
        </w:rPr>
        <w:t xml:space="preserve">Build time versus serve time.</w:t>
      </w:r>
      <w:r>
        <w:t xml:space="preserve"> </w:t>
      </w:r>
      <w:r>
        <w:t xml:space="preserve">A build process reads the source data and produces a</w:t>
      </w:r>
      <w:r>
        <w:t xml:space="preserve"> </w:t>
      </w:r>
      <w:r>
        <w:t xml:space="preserve">fixed, immutable data file. The website reads only that file. Some sources are read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during the build</w:t>
      </w:r>
      <w:r>
        <w:t xml:space="preserve">, used as a quality check, and never contribute any value to the published</w:t>
      </w:r>
      <w:r>
        <w:t xml:space="preserve"> </w:t>
      </w:r>
      <w:r>
        <w:t xml:space="preserve">file; the Pew Research Center table in Part B, Group 3, is one today. This separation is</w:t>
      </w:r>
      <w:r>
        <w:t xml:space="preserve"> </w:t>
      </w:r>
      <w:r>
        <w:t xml:space="preserve">enforced by an automated assertion that fails the build, not by staff discipline (one</w:t>
      </w:r>
      <w:r>
        <w:t xml:space="preserve"> </w:t>
      </w:r>
      <w:r>
        <w:t xml:space="preserve">qualification, for that table, is stated in Group 3).</w:t>
      </w:r>
    </w:p>
    <w:p>
      <w:pPr>
        <w:pStyle w:val="BodyText"/>
      </w:pPr>
      <w:r>
        <w:rPr>
          <w:b/>
          <w:bCs/>
        </w:rPr>
        <w:t xml:space="preserve">No public API.</w:t>
      </w:r>
      <w:r>
        <w:t xml:space="preserve"> </w:t>
      </w:r>
      <w:r>
        <w:t xml:space="preserve">The site renders pages. There is no data feed, no bulk download and no</w:t>
      </w:r>
      <w:r>
        <w:t xml:space="preserve"> </w:t>
      </w:r>
      <w:r>
        <w:t xml:space="preserve">documented public endpoint — the ranking endpoint is same-origin and undocumented. This is a</w:t>
      </w:r>
      <w:r>
        <w:t xml:space="preserve"> </w:t>
      </w:r>
      <w:r>
        <w:t xml:space="preserve">deliberate decision (see question 3).</w:t>
      </w:r>
    </w:p>
    <w:p>
      <w:pPr>
        <w:pStyle w:val="BodyText"/>
      </w:pPr>
      <w:r>
        <w:rPr>
          <w:b/>
          <w:bCs/>
        </w:rPr>
        <w:t xml:space="preserve">Identity filters.</w:t>
      </w:r>
      <w:r>
        <w:t xml:space="preserve"> </w:t>
      </w:r>
      <w:r>
        <w:t xml:space="preserve">A visitor may optionally filter by race and ethnicity, using the eight</w:t>
      </w:r>
      <w:r>
        <w:t xml:space="preserve"> </w:t>
      </w:r>
      <w:r>
        <w:t xml:space="preserve">standard categories derived from Census variables. Our own guardrails: the filter is off by</w:t>
      </w:r>
      <w:r>
        <w:t xml:space="preserve"> </w:t>
      </w:r>
      <w:r>
        <w:t xml:space="preserve">default; we publish no page or headline of the form</w:t>
      </w:r>
      <w:r>
        <w:t xml:space="preserve"> </w:t>
      </w:r>
      <w:r>
        <w:t xml:space="preserve">“best cities to meet [group] women”</w:t>
      </w:r>
      <w:r>
        <w:t xml:space="preserve">;</w:t>
      </w:r>
      <w:r>
        <w:t xml:space="preserve"> </w:t>
      </w:r>
      <w:r>
        <w:t xml:space="preserve">metro pages describe population composition as demography; and whenever the filter is on we</w:t>
      </w:r>
      <w:r>
        <w:t xml:space="preserve"> </w:t>
      </w:r>
      <w:r>
        <w:t xml:space="preserve">display alongside it the observed rate at which people of that group partner outside it,</w:t>
      </w:r>
      <w:r>
        <w:t xml:space="preserve"> </w:t>
      </w:r>
      <w:r>
        <w:t xml:space="preserve">computed from the same public data, so the filter reads as the visitor’s own preference</w:t>
      </w:r>
      <w:r>
        <w:t xml:space="preserve"> </w:t>
      </w:r>
      <w:r>
        <w:t xml:space="preserve">rather than a boundary. The chances-of-matching figure uses race and ethnicity differently —</w:t>
      </w:r>
      <w:r>
        <w:t xml:space="preserve"> </w:t>
      </w:r>
      <w:r>
        <w:t xml:space="preserve">as observed pairing patterns rather than as a filter — and is described above; question 2</w:t>
      </w:r>
      <w:r>
        <w:t xml:space="preserve"> </w:t>
      </w:r>
      <w:r>
        <w:t xml:space="preserve">covers both. A later release will add a religion estimate, modelled from a public survey and</w:t>
      </w:r>
      <w:r>
        <w:t xml:space="preserve"> </w:t>
      </w:r>
      <w:r>
        <w:t xml:space="preserve">labelled as modelled with a wider stated uncertainty.</w:t>
      </w:r>
    </w:p>
    <w:p>
      <w:pPr>
        <w:pStyle w:val="BodyText"/>
      </w:pPr>
      <w:r>
        <w:rPr>
          <w:b/>
          <w:bCs/>
        </w:rPr>
        <w:t xml:space="preserve">Status and intent.</w:t>
      </w:r>
      <w:r>
        <w:t xml:space="preserve"> </w:t>
      </w:r>
      <w:r>
        <w:t xml:space="preserve">Pre-launch, no public URL, no revenue. Intended to become a</w:t>
      </w:r>
      <w:r>
        <w:t xml:space="preserve"> </w:t>
      </w:r>
      <w:r>
        <w:t xml:space="preserve">commercial product; business model not yet decided.</w:t>
      </w:r>
    </w:p>
    <w:bookmarkEnd w:id="10"/>
    <w:bookmarkStart w:id="11" w:name="part-b-data-sources"/>
    <w:p>
      <w:pPr>
        <w:pStyle w:val="Heading2"/>
      </w:pPr>
      <w:r>
        <w:t xml:space="preserve">Part B — Data sources</w:t>
      </w:r>
    </w:p>
    <w:p>
      <w:pPr>
        <w:pStyle w:val="FirstParagraph"/>
      </w:pPr>
      <w:r>
        <w:rPr>
          <w:b/>
          <w:bCs/>
        </w:rPr>
        <w:t xml:space="preserve">Group 1 — federal sources that will ship at launch.</w:t>
      </w:r>
      <w:r>
        <w:t xml:space="preserve"> </w:t>
      </w:r>
      <w:r>
        <w:t xml:space="preserve">Our understanding is that these are</w:t>
      </w:r>
      <w:r>
        <w:t xml:space="preserve"> </w:t>
      </w:r>
      <w:r>
        <w:t xml:space="preserve">US government works, usable commercially with attribution. Question 1 asks you to confirm</w:t>
      </w:r>
      <w:r>
        <w:t xml:space="preserve"> </w:t>
      </w:r>
      <w:r>
        <w:t xml:space="preserve">that and to specify required attribution or disclaimer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</w:p>
        </w:tc>
        <w:tc>
          <w:tcPr/>
          <w:p>
            <w:pPr>
              <w:pStyle w:val="Compact"/>
            </w:pPr>
            <w:r>
              <w:t xml:space="preserve">How used</w:t>
            </w:r>
          </w:p>
        </w:tc>
        <w:tc>
          <w:tcPr/>
          <w:p>
            <w:pPr>
              <w:pStyle w:val="Compact"/>
            </w:pPr>
            <w:r>
              <w:t xml:space="preserve">Reaches the site?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ACS 5-year public-use microdata (PUMS), 2020–2024</w:t>
            </w:r>
          </w:p>
        </w:tc>
        <w:tc>
          <w:tcPr/>
          <w:p>
            <w:pPr>
              <w:pStyle w:val="Compact"/>
            </w:pPr>
            <w:r>
              <w:t xml:space="preserve">Census Bureau</w:t>
            </w:r>
          </w:p>
        </w:tc>
        <w:tc>
          <w:tcPr/>
          <w:p>
            <w:pPr>
              <w:pStyle w:val="Compact"/>
            </w:pPr>
            <w:r>
              <w:t xml:space="preserve">The core population estimates; since September 2026 also the couples (spouses and unmarried partners in the same household) behind the chances-of-matching figure</w:t>
            </w:r>
          </w:p>
        </w:tc>
        <w:tc>
          <w:tcPr/>
          <w:p>
            <w:pPr>
              <w:pStyle w:val="Compact"/>
            </w:pPr>
            <w:r>
              <w:t xml:space="preserve">Aggregated into our data file; the pairing pattern is fitted from the couple records and stored as national tables plus one small adjustment per metro</w:t>
            </w:r>
          </w:p>
        </w:tc>
        <w:tc>
          <w:tcPr/>
          <w:p>
            <w:pPr>
              <w:pStyle w:val="Compact"/>
            </w:pPr>
            <w:r>
              <w:t xml:space="preserve">Yes, as aggregates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ACS 5-year summary tables</w:t>
            </w:r>
          </w:p>
        </w:tc>
        <w:tc>
          <w:tcPr/>
          <w:p>
            <w:pPr>
              <w:pStyle w:val="Compact"/>
            </w:pPr>
            <w:r>
              <w:t xml:space="preserve">Census Bureau</w:t>
            </w:r>
          </w:p>
        </w:tc>
        <w:tc>
          <w:tcPr/>
          <w:p>
            <w:pPr>
              <w:pStyle w:val="Compact"/>
            </w:pPr>
            <w:r>
              <w:t xml:space="preserve">Median rent, group-quarters share, calibration totals</w:t>
            </w:r>
          </w:p>
        </w:tc>
        <w:tc>
          <w:tcPr/>
          <w:p>
            <w:pPr>
              <w:pStyle w:val="Compact"/>
            </w:pPr>
            <w:r>
              <w:t xml:space="preserve">Context features; accuracy checks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 Census DHC (tables P1, P18)</w:t>
            </w:r>
          </w:p>
        </w:tc>
        <w:tc>
          <w:tcPr/>
          <w:p>
            <w:pPr>
              <w:pStyle w:val="Compact"/>
            </w:pPr>
            <w:r>
              <w:t xml:space="preserve">Census Bureau</w:t>
            </w:r>
          </w:p>
        </w:tc>
        <w:tc>
          <w:tcPr/>
          <w:p>
            <w:pPr>
              <w:pStyle w:val="Compact"/>
            </w:pPr>
            <w:r>
              <w:t xml:space="preserve">Tract-level population and group-quarters counts</w:t>
            </w:r>
          </w:p>
        </w:tc>
        <w:tc>
          <w:tcPr/>
          <w:p>
            <w:pPr>
              <w:pStyle w:val="Compact"/>
            </w:pPr>
            <w:r>
              <w:t xml:space="preserve">Geographic allocation weights</w:t>
            </w:r>
          </w:p>
        </w:tc>
        <w:tc>
          <w:tcPr/>
          <w:p>
            <w:pPr>
              <w:pStyle w:val="Compact"/>
            </w:pPr>
            <w:r>
              <w:t xml:space="preserve">Indirectly, via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geographic relationship files (2020 tract-to-PUMA, 2010 tract-to-PUMA, 2020↔2010 tract crosswalk)</w:t>
            </w:r>
          </w:p>
        </w:tc>
        <w:tc>
          <w:tcPr/>
          <w:p>
            <w:pPr>
              <w:pStyle w:val="Compact"/>
            </w:pPr>
            <w:r>
              <w:t xml:space="preserve">Census Bureau</w:t>
            </w:r>
          </w:p>
        </w:tc>
        <w:tc>
          <w:tcPr/>
          <w:p>
            <w:pPr>
              <w:pStyle w:val="Compact"/>
            </w:pPr>
            <w:r>
              <w:t xml:space="preserve">Geographic crosswalks</w:t>
            </w:r>
          </w:p>
        </w:tc>
        <w:tc>
          <w:tcPr/>
          <w:p>
            <w:pPr>
              <w:pStyle w:val="Compact"/>
            </w:pPr>
            <w:r>
              <w:t xml:space="preserve">Geographic allocation</w:t>
            </w:r>
          </w:p>
        </w:tc>
        <w:tc>
          <w:tcPr/>
          <w:p>
            <w:pPr>
              <w:pStyle w:val="Compact"/>
            </w:pPr>
            <w:r>
              <w:t xml:space="preserve">Indirectly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TIGERweb map services</w:t>
            </w:r>
          </w:p>
        </w:tc>
        <w:tc>
          <w:tcPr/>
          <w:p>
            <w:pPr>
              <w:pStyle w:val="Compact"/>
            </w:pPr>
            <w:r>
              <w:t xml:space="preserve">Census Bureau</w:t>
            </w:r>
          </w:p>
        </w:tc>
        <w:tc>
          <w:tcPr/>
          <w:p>
            <w:pPr>
              <w:pStyle w:val="Compact"/>
            </w:pPr>
            <w:r>
              <w:t xml:space="preserve">Centre points for counties and places</w:t>
            </w:r>
          </w:p>
        </w:tc>
        <w:tc>
          <w:tcPr/>
          <w:p>
            <w:pPr>
              <w:pStyle w:val="Compact"/>
            </w:pPr>
            <w:r>
              <w:t xml:space="preserve">Metro display names, the dots on the locator map, and the joins from metros to weather stations and police agencies</w:t>
            </w:r>
          </w:p>
        </w:tc>
        <w:tc>
          <w:tcPr/>
          <w:p>
            <w:pPr>
              <w:pStyle w:val="Compact"/>
            </w:pPr>
            <w:r>
              <w:t xml:space="preserve">Yes, as names and map positions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OMB Bulletin 23-01 metro delineation</w:t>
            </w:r>
          </w:p>
        </w:tc>
        <w:tc>
          <w:tcPr/>
          <w:p>
            <w:pPr>
              <w:pStyle w:val="Compact"/>
            </w:pPr>
            <w:r>
              <w:t xml:space="preserve">OMB</w:t>
            </w:r>
          </w:p>
        </w:tc>
        <w:tc>
          <w:tcPr/>
          <w:p>
            <w:pPr>
              <w:pStyle w:val="Compact"/>
            </w:pPr>
            <w:r>
              <w:t xml:space="preserve">Which counties form each metro area</w:t>
            </w:r>
          </w:p>
        </w:tc>
        <w:tc>
          <w:tcPr/>
          <w:p>
            <w:pPr>
              <w:pStyle w:val="Compact"/>
            </w:pPr>
            <w:r>
              <w:t xml:space="preserve">Defines the geography</w:t>
            </w:r>
          </w:p>
        </w:tc>
        <w:tc>
          <w:tcPr/>
          <w:p>
            <w:pPr>
              <w:pStyle w:val="Compact"/>
            </w:pPr>
            <w:r>
              <w:t xml:space="preserve">Yes, as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Price Parities</w:t>
            </w:r>
          </w:p>
        </w:tc>
        <w:tc>
          <w:tcPr/>
          <w:p>
            <w:pPr>
              <w:pStyle w:val="Compact"/>
            </w:pPr>
            <w:r>
              <w:t xml:space="preserve">Bureau of Economic Analysis</w:t>
            </w:r>
          </w:p>
        </w:tc>
        <w:tc>
          <w:tcPr/>
          <w:p>
            <w:pPr>
              <w:pStyle w:val="Compact"/>
            </w:pPr>
            <w:r>
              <w:t xml:space="preserve">Cost-of-living deflator</w:t>
            </w:r>
          </w:p>
        </w:tc>
        <w:tc>
          <w:tcPr/>
          <w:p>
            <w:pPr>
              <w:pStyle w:val="Compact"/>
            </w:pPr>
            <w:r>
              <w:t xml:space="preserve">A scored feature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 Business Patterns</w:t>
            </w:r>
          </w:p>
        </w:tc>
        <w:tc>
          <w:tcPr/>
          <w:p>
            <w:pPr>
              <w:pStyle w:val="Compact"/>
            </w:pPr>
            <w:r>
              <w:t xml:space="preserve">Census Bureau</w:t>
            </w:r>
          </w:p>
        </w:tc>
        <w:tc>
          <w:tcPr/>
          <w:p>
            <w:pPr>
              <w:pStyle w:val="Compact"/>
            </w:pPr>
            <w:r>
              <w:t xml:space="preserve">Venue and establishment counts by industry</w:t>
            </w:r>
          </w:p>
        </w:tc>
        <w:tc>
          <w:tcPr/>
          <w:p>
            <w:pPr>
              <w:pStyle w:val="Compact"/>
            </w:pPr>
            <w:r>
              <w:t xml:space="preserve">A scored feature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Quarterly Census of Employment and Wages</w:t>
            </w:r>
          </w:p>
        </w:tc>
        <w:tc>
          <w:tcPr/>
          <w:p>
            <w:pPr>
              <w:pStyle w:val="Compact"/>
            </w:pPr>
            <w:r>
              <w:t xml:space="preserve">Bureau of Labor Statistics</w:t>
            </w:r>
          </w:p>
        </w:tc>
        <w:tc>
          <w:tcPr/>
          <w:p>
            <w:pPr>
              <w:pStyle w:val="Compact"/>
            </w:pPr>
            <w:r>
              <w:t xml:space="preserve">Cross-check on the above</w:t>
            </w:r>
          </w:p>
        </w:tc>
        <w:tc>
          <w:tcPr/>
          <w:p>
            <w:pPr>
              <w:pStyle w:val="Compact"/>
            </w:pPr>
            <w:r>
              <w:t xml:space="preserve">Accuracy check</w:t>
            </w:r>
          </w:p>
        </w:tc>
        <w:tc>
          <w:tcPr/>
          <w:p>
            <w:pPr>
              <w:pStyle w:val="Compact"/>
            </w:pPr>
            <w:r>
              <w:t xml:space="preserve">No — check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Location Database v3.0</w:t>
            </w:r>
          </w:p>
        </w:tc>
        <w:tc>
          <w:tcPr/>
          <w:p>
            <w:pPr>
              <w:pStyle w:val="Compact"/>
            </w:pPr>
            <w:r>
              <w:t xml:space="preserve">EPA</w:t>
            </w:r>
          </w:p>
        </w:tc>
        <w:tc>
          <w:tcPr/>
          <w:p>
            <w:pPr>
              <w:pStyle w:val="Compact"/>
            </w:pPr>
            <w:r>
              <w:t xml:space="preserve">Street-network walkability measures</w:t>
            </w:r>
          </w:p>
        </w:tc>
        <w:tc>
          <w:tcPr/>
          <w:p>
            <w:pPr>
              <w:pStyle w:val="Compact"/>
            </w:pPr>
            <w:r>
              <w:t xml:space="preserve">A scored feature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GHCN-Daily observations 1991–2020</w:t>
            </w:r>
          </w:p>
        </w:tc>
        <w:tc>
          <w:tcPr/>
          <w:p>
            <w:pPr>
              <w:pStyle w:val="Compact"/>
            </w:pPr>
            <w:r>
              <w:t xml:space="preserve">NOAA</w:t>
            </w:r>
          </w:p>
        </w:tc>
        <w:tc>
          <w:tcPr/>
          <w:p>
            <w:pPr>
              <w:pStyle w:val="Compact"/>
            </w:pPr>
            <w:r>
              <w:t xml:space="preserve">Pleasant-day counts (replaced Climate Normals in Phase 2d)</w:t>
            </w:r>
          </w:p>
        </w:tc>
        <w:tc>
          <w:tcPr/>
          <w:p>
            <w:pPr>
              <w:pStyle w:val="Compact"/>
            </w:pPr>
            <w:r>
              <w:t xml:space="preserve">A scored feature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50th Percentile Rent Estimates, FY2027</w:t>
            </w:r>
          </w:p>
        </w:tc>
        <w:tc>
          <w:tcPr/>
          <w:p>
            <w:pPr>
              <w:pStyle w:val="Compact"/>
            </w:pPr>
            <w:r>
              <w:t xml:space="preserve">HUD</w:t>
            </w:r>
          </w:p>
        </w:tc>
        <w:tc>
          <w:tcPr/>
          <w:p>
            <w:pPr>
              <w:pStyle w:val="Compact"/>
            </w:pPr>
            <w:r>
              <w:t xml:space="preserve">The rent statistic (replaced ACS B25031 in Phase 2g); county file aggregated to metros with ACS renter-household weights</w:t>
            </w:r>
          </w:p>
        </w:tc>
        <w:tc>
          <w:tcPr/>
          <w:p>
            <w:pPr>
              <w:pStyle w:val="Compact"/>
            </w:pPr>
            <w:r>
              <w:t xml:space="preserve">A scored feature; a work of the US government like the rows above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IPEDS 2024–25</w:t>
            </w:r>
          </w:p>
        </w:tc>
        <w:tc>
          <w:tcPr/>
          <w:p>
            <w:pPr>
              <w:pStyle w:val="Compact"/>
            </w:pPr>
            <w:r>
              <w:t xml:space="preserve">NCES / Dept. of Education</w:t>
            </w:r>
          </w:p>
        </w:tc>
        <w:tc>
          <w:tcPr/>
          <w:p>
            <w:pPr>
              <w:pStyle w:val="Compact"/>
            </w:pPr>
            <w:r>
              <w:t xml:space="preserve">Student population by metro</w:t>
            </w:r>
          </w:p>
        </w:tc>
        <w:tc>
          <w:tcPr/>
          <w:p>
            <w:pPr>
              <w:pStyle w:val="Compact"/>
            </w:pPr>
            <w:r>
              <w:t xml:space="preserve">A scored feature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 Data Explorer</w:t>
            </w:r>
          </w:p>
        </w:tc>
        <w:tc>
          <w:tcPr/>
          <w:p>
            <w:pPr>
              <w:pStyle w:val="Compact"/>
            </w:pPr>
            <w:r>
              <w:t xml:space="preserve">FBI</w:t>
            </w:r>
          </w:p>
        </w:tc>
        <w:tc>
          <w:tcPr/>
          <w:p>
            <w:pPr>
              <w:pStyle w:val="Compact"/>
            </w:pPr>
            <w:r>
              <w:t xml:space="preserve">Offence rates and reporting coverage</w:t>
            </w:r>
          </w:p>
        </w:tc>
        <w:tc>
          <w:tcPr/>
          <w:p>
            <w:pPr>
              <w:pStyle w:val="Compact"/>
            </w:pPr>
            <w:r>
              <w:t xml:space="preserve">Displayed on metro pages with the FBI’s own comparability caveat;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part of any ranking</w:t>
            </w:r>
          </w:p>
        </w:tc>
        <w:tc>
          <w:tcPr/>
          <w:p>
            <w:pPr>
              <w:pStyle w:val="Compact"/>
            </w:pPr>
            <w:r>
              <w:t xml:space="preserve">Yes,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Cartographic boundary file (state, 1:20M)</w:t>
            </w:r>
          </w:p>
        </w:tc>
        <w:tc>
          <w:tcPr/>
          <w:p>
            <w:pPr>
              <w:pStyle w:val="Compact"/>
            </w:pPr>
            <w:r>
              <w:t xml:space="preserve">Census Bureau</w:t>
            </w:r>
          </w:p>
        </w:tc>
        <w:tc>
          <w:tcPr/>
          <w:p>
            <w:pPr>
              <w:pStyle w:val="Compact"/>
            </w:pPr>
            <w:r>
              <w:t xml:space="preserve">State outlines for the locator map</w:t>
            </w:r>
          </w:p>
        </w:tc>
        <w:tc>
          <w:tcPr/>
          <w:p>
            <w:pPr>
              <w:pStyle w:val="Compact"/>
            </w:pPr>
            <w:r>
              <w:t xml:space="preserve">Projected at build time into static geometry</w:t>
            </w:r>
          </w:p>
        </w:tc>
        <w:tc>
          <w:tcPr/>
          <w:p>
            <w:pPr>
              <w:pStyle w:val="Compact"/>
            </w:pPr>
            <w:r>
              <w:t xml:space="preserve">Yes, as drawings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City and stat-page photographs</w:t>
            </w:r>
          </w:p>
        </w:tc>
        <w:tc>
          <w:tcPr/>
          <w:p>
            <w:pPr>
              <w:pStyle w:val="Compact"/>
            </w:pPr>
            <w:r>
              <w:t xml:space="preserve">Wikipedia / Wikimedia Commons contributors</w:t>
            </w:r>
          </w:p>
        </w:tc>
        <w:tc>
          <w:tcPr/>
          <w:p>
            <w:pPr>
              <w:pStyle w:val="Compact"/>
            </w:pPr>
            <w:r>
              <w:t xml:space="preserve">One lead photograph per city page and per stat page</w:t>
            </w:r>
          </w:p>
        </w:tc>
        <w:tc>
          <w:tcPr/>
          <w:p>
            <w:pPr>
              <w:pStyle w:val="Compact"/>
            </w:pPr>
            <w:r>
              <w:t xml:space="preserve">Displayed unmodified with per-image attribution; licences read from the Commons API and restricted to public domain, CC0, CC-BY and CC-BY-SA; per-image manifest (source, author, licence, deed link, retrieval date, hash) at</w:t>
            </w:r>
            <w:r>
              <w:t xml:space="preserve"> </w:t>
            </w:r>
            <w:r>
              <w:rPr>
                <w:rStyle w:val="VerbatimChar"/>
              </w:rPr>
              <w:t xml:space="preserve">results/phase2e/city_images.csv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b/>
                <w:bCs/>
              </w:rPr>
              <w:t xml:space="preserve">the site’s first third-party shipped assets; needs counsel’s read before launch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Home-page hero photograph</w:t>
            </w:r>
          </w:p>
        </w:tc>
        <w:tc>
          <w:tcPr/>
          <w:p>
            <w:pPr>
              <w:pStyle w:val="Compact"/>
            </w:pPr>
            <w:r>
              <w:t xml:space="preserve">Wikimedia Commons (Carol M. Highsmith,</w:t>
            </w:r>
            <w:r>
              <w:t xml:space="preserve"> </w:t>
            </w:r>
            <w:r>
              <w:rPr>
                <w:i/>
                <w:iCs/>
              </w:rPr>
              <w:t xml:space="preserve">View of the Burlington Marketplace</w:t>
            </w:r>
            <w:r>
              <w:t xml:space="preserve">, 2017)</w:t>
            </w:r>
          </w:p>
        </w:tc>
        <w:tc>
          <w:tcPr/>
          <w:p>
            <w:pPr>
              <w:pStyle w:val="Compact"/>
            </w:pPr>
            <w:r>
              <w:t xml:space="preserve">The one photograph on the home page</w:t>
            </w:r>
          </w:p>
        </w:tc>
        <w:tc>
          <w:tcPr/>
          <w:p>
            <w:pPr>
              <w:pStyle w:val="Compact"/>
            </w:pPr>
            <w:r>
              <w:t xml:space="preserve">Sourced through the same pipeline and licence gate as the city photographs but held to a stricter bar:</w:t>
            </w:r>
            <w:r>
              <w:t xml:space="preserve"> </w:t>
            </w:r>
            <w:r>
              <w:rPr>
                <w:b/>
                <w:bCs/>
              </w:rPr>
              <w:t xml:space="preserve">public domain / CC0 only</w:t>
            </w:r>
            <w:r>
              <w:t xml:space="preserve">, because the hero renders as a cropped band and a crop of a CC-BY-SA image would be an adaptation carrying ShareAlike. Licence read live from the Commons API (public domain — the photographer’s Library of Congress dedication); attribution rendered beneath the band and bound to the file by SHA-256, so a swapped image cannot wear this credit; manifest row at</w:t>
            </w:r>
            <w:r>
              <w:t xml:space="preserve"> </w:t>
            </w:r>
            <w:r>
              <w:rPr>
                <w:rStyle w:val="VerbatimChar"/>
              </w:rPr>
              <w:t xml:space="preserve">results/phase2f/hero_image.csv</w:t>
            </w:r>
          </w:p>
        </w:tc>
        <w:tc>
          <w:tcPr/>
          <w:p>
            <w:pPr>
              <w:pStyle w:val="Compact"/>
            </w:pPr>
            <w:r>
              <w:t xml:space="preserve">Yes — same posture as the city photographs;</w:t>
            </w:r>
            <w:r>
              <w:t xml:space="preserve"> </w:t>
            </w:r>
            <w:r>
              <w:rPr>
                <w:b/>
                <w:bCs/>
              </w:rPr>
              <w:t xml:space="preserve">include in counsel’s read</w:t>
            </w:r>
          </w:p>
        </w:tc>
      </w:tr>
    </w:tbl>
    <w:p>
      <w:pPr>
        <w:pStyle w:val="BodyText"/>
      </w:pPr>
      <w:r>
        <w:t xml:space="preserve">Note for question 1: we obtain some of this through the Census Bureau’s API (which has its</w:t>
      </w:r>
      <w:r>
        <w:t xml:space="preserve"> </w:t>
      </w:r>
      <w:r>
        <w:t xml:space="preserve">own terms of service, attached) and some by downloading bulk files from the Bureau’s public</w:t>
      </w:r>
      <w:r>
        <w:t xml:space="preserve"> </w:t>
      </w:r>
      <w:r>
        <w:t xml:space="preserve">file server. We would like to know whether those two routes carry different obligations.</w:t>
      </w:r>
    </w:p>
    <w:p>
      <w:pPr>
        <w:pStyle w:val="BodyText"/>
      </w:pPr>
      <w:r>
        <w:rPr>
          <w:b/>
          <w:bCs/>
        </w:rPr>
        <w:t xml:space="preserve">Group 2 — planned for a later release.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Licence as we read it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Overture Places</w:t>
            </w:r>
          </w:p>
        </w:tc>
        <w:tc>
          <w:tcPr/>
          <w:p>
            <w:pPr>
              <w:pStyle w:val="Compact"/>
            </w:pPr>
            <w:r>
              <w:t xml:space="preserve">Overture Maps Foundation</w:t>
            </w:r>
          </w:p>
        </w:tc>
        <w:tc>
          <w:tcPr/>
          <w:p>
            <w:pPr>
              <w:pStyle w:val="Compact"/>
            </w:pPr>
            <w:r>
              <w:t xml:space="preserve">Permissive, attribution required</w:t>
            </w:r>
          </w:p>
        </w:tc>
        <w:tc>
          <w:tcPr/>
          <w:p>
            <w:pPr>
              <w:pStyle w:val="Compact"/>
            </w:pPr>
            <w:r>
              <w:t xml:space="preserve">Venue 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Foursquare OS Places</w:t>
            </w:r>
          </w:p>
        </w:tc>
        <w:tc>
          <w:tcPr/>
          <w:p>
            <w:pPr>
              <w:pStyle w:val="Compact"/>
            </w:pPr>
            <w:r>
              <w:t xml:space="preserve">Foursquare</w:t>
            </w:r>
          </w:p>
        </w:tc>
        <w:tc>
          <w:tcPr/>
          <w:p>
            <w:pPr>
              <w:pStyle w:val="Compact"/>
            </w:pPr>
            <w:r>
              <w:t xml:space="preserve">Apache 2.0, NOTICE must be preserved</w:t>
            </w:r>
          </w:p>
        </w:tc>
        <w:tc>
          <w:tcPr/>
          <w:p>
            <w:pPr>
              <w:pStyle w:val="Compact"/>
            </w:pPr>
            <w:r>
              <w:t xml:space="preserve">Venue counts, merged with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Cooperative Election Study</w:t>
            </w:r>
          </w:p>
        </w:tc>
        <w:tc>
          <w:tcPr/>
          <w:p>
            <w:pPr>
              <w:pStyle w:val="Compact"/>
            </w:pPr>
            <w:r>
              <w:t xml:space="preserve">Harvard Dataverse</w:t>
            </w:r>
          </w:p>
        </w:tc>
        <w:tc>
          <w:tcPr/>
          <w:p>
            <w:pPr>
              <w:pStyle w:val="Compact"/>
            </w:pPr>
            <w:r>
              <w:t xml:space="preserve">CC0 1.0 (public domain dedication)</w:t>
            </w:r>
          </w:p>
        </w:tc>
        <w:tc>
          <w:tcPr/>
          <w:p>
            <w:pPr>
              <w:pStyle w:val="Compact"/>
            </w:pPr>
            <w:r>
              <w:t xml:space="preserve">The religion estimate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Group 3 — read during the build, never published.</w:t>
      </w:r>
      <w:r>
        <w:t xml:space="preserve"> </w:t>
      </w:r>
      <w:r>
        <w:t xml:space="preserve">Three sources. The two religion</w:t>
      </w:r>
      <w:r>
        <w:t xml:space="preserve"> </w:t>
      </w:r>
      <w:r>
        <w:t xml:space="preserve">sources forbid redistribution, and one states it is not for marketing purposes; we are not</w:t>
      </w:r>
      <w:r>
        <w:t xml:space="preserve"> </w:t>
      </w:r>
      <w:r>
        <w:t xml:space="preserve">seeking permission from either, and neither is in the build yet. The third, a Pew Research</w:t>
      </w:r>
      <w:r>
        <w:t xml:space="preserve"> </w:t>
      </w:r>
      <w:r>
        <w:t xml:space="preserve">Center table, is in the build today. The arrangement is the same for all three: read them</w:t>
      </w:r>
      <w:r>
        <w:t xml:space="preserve"> </w:t>
      </w:r>
      <w:r>
        <w:t xml:space="preserve">during the build, compare them against our own estimates as a quality check that can fail</w:t>
      </w:r>
      <w:r>
        <w:t xml:space="preserve"> </w:t>
      </w:r>
      <w:r>
        <w:t xml:space="preserve">the build, and write no value derived from them into the published file. Question 4 asks</w:t>
      </w:r>
      <w:r>
        <w:t xml:space="preserve"> </w:t>
      </w:r>
      <w:r>
        <w:t xml:space="preserve">whether that satisfies their terms.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 US Religion Census</w:t>
            </w:r>
          </w:p>
        </w:tc>
        <w:tc>
          <w:tcPr/>
          <w:p>
            <w:pPr>
              <w:pStyle w:val="Compact"/>
            </w:pPr>
            <w:r>
              <w:t xml:space="preserve">ASARB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Values Atlas county estimates</w:t>
            </w:r>
          </w:p>
        </w:tc>
        <w:tc>
          <w:tcPr/>
          <w:p>
            <w:pPr>
              <w:pStyle w:val="Compact"/>
            </w:pPr>
            <w:r>
              <w:t xml:space="preserve">PRRI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“Intermarriage across the U.S. by metro area”</w:t>
            </w:r>
            <w:r>
              <w:t xml:space="preserve"> </w:t>
            </w:r>
            <w:r>
              <w:t xml:space="preserve">— the share of newlyweds married to someone of a different race or ethnicity, 2011–2015, for the nation and the 124 largest metro areas</w:t>
            </w:r>
          </w:p>
        </w:tc>
        <w:tc>
          <w:tcPr/>
          <w:p>
            <w:pPr>
              <w:pStyle w:val="Compact"/>
            </w:pPr>
            <w:r>
              <w:t xml:space="preserve">Pew Research Center</w:t>
            </w:r>
          </w:p>
        </w:tc>
        <w:tc>
          <w:tcPr/>
          <w:p>
            <w:pPr>
              <w:pStyle w:val="Compact"/>
            </w:pPr>
            <w:r>
              <w:t xml:space="preserve">In the build now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Pew table, in detail.</w:t>
      </w:r>
      <w:r>
        <w:t xml:space="preserve"> </w:t>
      </w:r>
      <w:r>
        <w:t xml:space="preserve">Obtained on 16 September 2026 from the data endpoint behind</w:t>
      </w:r>
      <w:r>
        <w:t xml:space="preserve"> </w:t>
      </w:r>
      <w:r>
        <w:t xml:space="preserve">Pew’s published interactive feature of 18 May 2017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https://www.pewresearch.org/wp-json/prc-api/v2/interactive?slug=intermarriage-map</w:t>
      </w:r>
      <w:r>
        <w:t xml:space="preserve">) and</w:t>
      </w:r>
      <w:r>
        <w:t xml:space="preserve"> </w:t>
      </w:r>
      <w:r>
        <w:t xml:space="preserve">saved as a small text file (</w:t>
      </w:r>
      <w:r>
        <w:rPr>
          <w:rStyle w:val="VerbatimChar"/>
        </w:rPr>
        <w:t xml:space="preserve">results/reference/pew_intermarriage_2015.csv</w:t>
      </w:r>
      <w:r>
        <w:t xml:space="preserve">, 124 metros plus</w:t>
      </w:r>
      <w:r>
        <w:t xml:space="preserve"> </w:t>
      </w:r>
      <w:r>
        <w:t xml:space="preserve">a national row) whose header records the source, the date and Pew’s copyright. It is used</w:t>
      </w:r>
      <w:r>
        <w:t xml:space="preserve"> </w:t>
      </w:r>
      <w:r>
        <w:t xml:space="preserve">in two ways, both at build time. First, when the pairing pattern behind the</w:t>
      </w:r>
      <w:r>
        <w:t xml:space="preserve"> </w:t>
      </w:r>
      <w:r>
        <w:t xml:space="preserve">chances-of-matching figure is fitted, each metro is left out in turn, its intermarriage</w:t>
      </w:r>
      <w:r>
        <w:t xml:space="preserve"> </w:t>
      </w:r>
      <w:r>
        <w:t xml:space="preserve">rate is predicted from the pattern plus its own population mix, and the predictions are</w:t>
      </w:r>
      <w:r>
        <w:t xml:space="preserve"> </w:t>
      </w:r>
      <w:r>
        <w:t xml:space="preserve">compared with Pew’s published rates — a check that the pattern captures something local</w:t>
      </w:r>
      <w:r>
        <w:t xml:space="preserve"> </w:t>
      </w:r>
      <w:r>
        <w:t xml:space="preserve">rather than restating national averages. Second, the build’s validation step re-reads that</w:t>
      </w:r>
      <w:r>
        <w:t xml:space="preserve"> </w:t>
      </w:r>
      <w:r>
        <w:t xml:space="preserve">recorded comparison and reports it. It is not used to choose between versions of the</w:t>
      </w:r>
      <w:r>
        <w:t xml:space="preserve"> </w:t>
      </w:r>
      <w:r>
        <w:t xml:space="preserve">pattern (a recorded decision), it is never scored, and no value derived from it enters the</w:t>
      </w:r>
      <w:r>
        <w:t xml:space="preserve"> </w:t>
      </w:r>
      <w:r>
        <w:t xml:space="preserve">published file: we verified this on the current build (</w:t>
      </w:r>
      <w:r>
        <w:rPr>
          <w:rStyle w:val="VerbatimChar"/>
        </w:rPr>
        <w:t xml:space="preserve">f20cb02c3af8</w:t>
      </w:r>
      <w:r>
        <w:t xml:space="preserve">) by inspecting the</w:t>
      </w:r>
      <w:r>
        <w:t xml:space="preserve"> </w:t>
      </w:r>
      <w:r>
        <w:t xml:space="preserve">published data file, its manifest and the pairing-pattern file, none of which carries any</w:t>
      </w:r>
      <w:r>
        <w:t xml:space="preserve"> </w:t>
      </w:r>
      <w:r>
        <w:t xml:space="preserve">field traced to the table. On licence machinery, one honest qualification. The assertion</w:t>
      </w:r>
      <w:r>
        <w:t xml:space="preserve"> </w:t>
      </w:r>
      <w:r>
        <w:t xml:space="preserve">that enforces build-only use works by tracing each published field to the data source that</w:t>
      </w:r>
      <w:r>
        <w:t xml:space="preserve"> </w:t>
      </w:r>
      <w:r>
        <w:t xml:space="preserve">fed it, and it can only see sources that flow through our data adapters. The Pew table is</w:t>
      </w:r>
      <w:r>
        <w:t xml:space="preserve"> </w:t>
      </w:r>
      <w:r>
        <w:t xml:space="preserve">read directly by the fitting and validation scripts, outside any adapter, so that assertion</w:t>
      </w:r>
      <w:r>
        <w:t xml:space="preserve"> </w:t>
      </w:r>
      <w:r>
        <w:t xml:space="preserve">could not by itself have caught a leak. Two things now cover it: the typed licence field</w:t>
      </w:r>
      <w:r>
        <w:t xml:space="preserve"> </w:t>
      </w:r>
      <w:r>
        <w:t xml:space="preserve">carries the table marked non-shippable, so any published field ever traced to it fails the</w:t>
      </w:r>
      <w:r>
        <w:t xml:space="preserve"> </w:t>
      </w:r>
      <w:r>
        <w:t xml:space="preserve">build; and a second, specific check inspects the published files for anything derived from</w:t>
      </w:r>
      <w:r>
        <w:t xml:space="preserve"> </w:t>
      </w:r>
      <w:r>
        <w:t xml:space="preserve">the table and fails validation if it finds any. Our reading is that this is a factual</w:t>
      </w:r>
      <w:r>
        <w:t xml:space="preserve"> </w:t>
      </w:r>
      <w:r>
        <w:t xml:space="preserve">reference used with attribution; Pew’s terms page is attached for your read.</w:t>
      </w:r>
    </w:p>
    <w:p>
      <w:pPr>
        <w:pStyle w:val="BodyText"/>
      </w:pPr>
      <w:r>
        <w:rPr>
          <w:b/>
          <w:bCs/>
        </w:rPr>
        <w:t xml:space="preserve">Group 4 — considered and excluded</w:t>
      </w:r>
      <w:r>
        <w:t xml:space="preserve">, on our own reading of their terms, listed so you can</w:t>
      </w:r>
      <w:r>
        <w:t xml:space="preserve"> </w:t>
      </w:r>
      <w:r>
        <w:t xml:space="preserve">tell us if we have been more conservative than necessary: Yelp Fusion (forbids caching</w:t>
      </w:r>
      <w:r>
        <w:t xml:space="preserve"> </w:t>
      </w:r>
      <w:r>
        <w:t xml:space="preserve">beyond 24 hours and building a competing listings database), Walk Score (forbids storing</w:t>
      </w:r>
      <w:r>
        <w:t xml:space="preserve"> </w:t>
      </w:r>
      <w:r>
        <w:t xml:space="preserve">scores without written approval), Pew Religious Landscape restricted file (academic,</w:t>
      </w:r>
      <w:r>
        <w:t xml:space="preserve"> </w:t>
      </w:r>
      <w:r>
        <w:t xml:space="preserve">non-commercial), General Social Survey sensitive files (faculty-gated, mandatory</w:t>
      </w:r>
      <w:r>
        <w:t xml:space="preserve"> </w:t>
      </w:r>
      <w:r>
        <w:t xml:space="preserve">destruction, no AI input).</w:t>
      </w:r>
    </w:p>
    <w:p>
      <w:pPr>
        <w:pStyle w:val="BodyText"/>
      </w:pPr>
      <w:r>
        <w:rPr>
          <w:b/>
          <w:bCs/>
        </w:rPr>
        <w:t xml:space="preserve">Group 5 — wanted, but not used pending your advice</w:t>
      </w:r>
      <w:r>
        <w:t xml:space="preserve"> </w:t>
      </w:r>
      <w:r>
        <w:t xml:space="preserve">(question 5): Zillow Research and</w:t>
      </w:r>
      <w:r>
        <w:t xml:space="preserve"> </w:t>
      </w:r>
      <w:r>
        <w:t xml:space="preserve">Redfin Data Center housing series, and the Opportunity Insights Social Capital Atlas. All</w:t>
      </w:r>
      <w:r>
        <w:t xml:space="preserve"> </w:t>
      </w:r>
      <w:r>
        <w:t xml:space="preserve">three are widely used commercially; none publishes an explicit commercial grant we could</w:t>
      </w:r>
      <w:r>
        <w:t xml:space="preserve"> </w:t>
      </w:r>
      <w:r>
        <w:t xml:space="preserve">find. We have built without them.</w:t>
      </w:r>
    </w:p>
    <w:bookmarkEnd w:id="11"/>
    <w:bookmarkStart w:id="12" w:name="part-c-questions"/>
    <w:p>
      <w:pPr>
        <w:pStyle w:val="Heading2"/>
      </w:pPr>
      <w:r>
        <w:t xml:space="preserve">Part C — Questions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Federal sources.</w:t>
      </w:r>
      <w:r>
        <w:t xml:space="preserve"> </w:t>
      </w:r>
      <w:r>
        <w:t xml:space="preserve">Can you confirm there is no licensing obstacle to commercial use of</w:t>
      </w:r>
      <w:r>
        <w:t xml:space="preserve"> </w:t>
      </w:r>
      <w:r>
        <w:t xml:space="preserve">each Group 1 source, and specify the attribution or disclaimer language each requires?</w:t>
      </w:r>
      <w:r>
        <w:t xml:space="preserve"> </w:t>
      </w:r>
      <w:r>
        <w:t xml:space="preserve">We know HUD requires a</w:t>
      </w:r>
      <w:r>
        <w:t xml:space="preserve"> </w:t>
      </w:r>
      <w:r>
        <w:t xml:space="preserve">“not endorsed or certified by HUD User”</w:t>
      </w:r>
      <w:r>
        <w:t xml:space="preserve"> </w:t>
      </w:r>
      <w:r>
        <w:t xml:space="preserve">disclaimer if we use HUD</w:t>
      </w:r>
      <w:r>
        <w:t xml:space="preserve"> </w:t>
      </w:r>
      <w:r>
        <w:t xml:space="preserve">data; are there equivalents we have missed? Do the Census API terms of service impose</w:t>
      </w:r>
      <w:r>
        <w:t xml:space="preserve"> </w:t>
      </w:r>
      <w:r>
        <w:t xml:space="preserve">obligations beyond those attaching to the same data downloaded as bulk files?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Personalised rankings that use race or ethnicity.</w:t>
      </w:r>
      <w:r>
        <w:t xml:space="preserve"> </w:t>
      </w:r>
      <w:r>
        <w:t xml:space="preserve">This is our most important</w:t>
      </w:r>
      <w:r>
        <w:t xml:space="preserve"> </w:t>
      </w:r>
      <w:r>
        <w:t xml:space="preserve">question, and the feature has grown since we first drafted it. Race and ethnicity now</w:t>
      </w:r>
      <w:r>
        <w:t xml:space="preserve"> </w:t>
      </w:r>
      <w:r>
        <w:t xml:space="preserve">enter the ranking in two distinct ways. (a)</w:t>
      </w:r>
      <w:r>
        <w:t xml:space="preserve"> </w:t>
      </w:r>
      <w:r>
        <w:rPr>
          <w:i/>
          <w:iCs/>
        </w:rPr>
        <w:t xml:space="preserve">As a filter</w:t>
      </w:r>
      <w:r>
        <w:t xml:space="preserve">: a visitor can tick any of the</w:t>
      </w:r>
      <w:r>
        <w:t xml:space="preserve"> </w:t>
      </w:r>
      <w:r>
        <w:t xml:space="preserve">eight groups, and the site counts only those groups in the pool, as before. (b)</w:t>
      </w:r>
      <w:r>
        <w:t xml:space="preserve"> </w:t>
      </w:r>
      <w:r>
        <w:rPr>
          <w:i/>
          <w:iCs/>
        </w:rPr>
        <w:t xml:space="preserve">Inside</w:t>
      </w:r>
      <w:r>
        <w:rPr>
          <w:i/>
          <w:iCs/>
        </w:rPr>
        <w:t xml:space="preserve"> </w:t>
      </w:r>
      <w:r>
        <w:rPr>
          <w:i/>
          <w:iCs/>
        </w:rPr>
        <w:t xml:space="preserve">the chances-of-matching figure</w:t>
      </w:r>
      <w:r>
        <w:t xml:space="preserve">: the figure is built from the observed rates at which</w:t>
      </w:r>
      <w:r>
        <w:t xml:space="preserve"> </w:t>
      </w:r>
      <w:r>
        <w:t xml:space="preserve">couples in the Census survey pair within and across racial and ethnic groups, by sex and,</w:t>
      </w:r>
      <w:r>
        <w:t xml:space="preserve"> </w:t>
      </w:r>
      <w:r>
        <w:t xml:space="preserve">since 24 September, varying with education. Two things follow. A visitor who gives their</w:t>
      </w:r>
      <w:r>
        <w:t xml:space="preserve"> </w:t>
      </w:r>
      <w:r>
        <w:t xml:space="preserve">own race or ethnicity (optional) is ranked by that group’s observed pairing pattern, so</w:t>
      </w:r>
      <w:r>
        <w:t xml:space="preserve"> </w:t>
      </w:r>
      <w:r>
        <w:t xml:space="preserve">two visitors identical in every other respect can see different figures and a different</w:t>
      </w:r>
      <w:r>
        <w:t xml:space="preserve"> </w:t>
      </w:r>
      <w:r>
        <w:t xml:space="preserve">order of cities for the same search. A visitor who gives nothing is ranked by the average</w:t>
      </w:r>
      <w:r>
        <w:t xml:space="preserve"> </w:t>
      </w:r>
      <w:r>
        <w:t xml:space="preserve">of those patterns across all groups, so the pairing rates between groups shape everyone’s</w:t>
      </w:r>
      <w:r>
        <w:t xml:space="preserve"> </w:t>
      </w:r>
      <w:r>
        <w:t xml:space="preserve">ranking to some degree. The page describes this in plain words beside the figure and on</w:t>
      </w:r>
      <w:r>
        <w:t xml:space="preserve"> </w:t>
      </w:r>
      <w:r>
        <w:t xml:space="preserve">the methodology page (Part A) and carries no separate caveat for race, by design. What is</w:t>
      </w:r>
      <w:r>
        <w:t xml:space="preserve"> </w:t>
      </w:r>
      <w:r>
        <w:t xml:space="preserve">our exposure on each use — fair-housing advertising rules, state consumer-protection law,</w:t>
      </w:r>
      <w:r>
        <w:t xml:space="preserve"> </w:t>
      </w:r>
      <w:r>
        <w:t xml:space="preserve">discrimination law as it applies to a statistical service, or anything else we have not</w:t>
      </w:r>
      <w:r>
        <w:t xml:space="preserve"> </w:t>
      </w:r>
      <w:r>
        <w:t xml:space="preserve">thought of? Are the guardrails described in Part A adequate for both, and what would you</w:t>
      </w:r>
      <w:r>
        <w:t xml:space="preserve"> </w:t>
      </w:r>
      <w:r>
        <w:t xml:space="preserve">add or require? We would rather change the design now than add a disclaimer later.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Rendered pages versus data distribution.</w:t>
      </w:r>
      <w:r>
        <w:t xml:space="preserve"> </w:t>
      </w:r>
      <w:r>
        <w:t xml:space="preserve">We publish no API deliberately. Our</w:t>
      </w:r>
      <w:r>
        <w:t xml:space="preserve"> </w:t>
      </w:r>
      <w:r>
        <w:t xml:space="preserve">reasoning is that a rendered page is a work</w:t>
      </w:r>
      <w:r>
        <w:t xml:space="preserve"> </w:t>
      </w:r>
      <w:r>
        <w:rPr>
          <w:i/>
          <w:iCs/>
        </w:rPr>
        <w:t xml:space="preserve">produced from</w:t>
      </w:r>
      <w:r>
        <w:t xml:space="preserve"> </w:t>
      </w:r>
      <w:r>
        <w:t xml:space="preserve">data, whereas an API</w:t>
      </w:r>
      <w:r>
        <w:t xml:space="preserve"> </w:t>
      </w:r>
      <w:r>
        <w:rPr>
          <w:i/>
          <w:iCs/>
        </w:rPr>
        <w:t xml:space="preserve">distributes</w:t>
      </w:r>
      <w:r>
        <w:t xml:space="preserve"> </w:t>
      </w:r>
      <w:r>
        <w:t xml:space="preserve">the data itself, and that several ambiguous sources are comfortable with</w:t>
      </w:r>
      <w:r>
        <w:t xml:space="preserve"> </w:t>
      </w:r>
      <w:r>
        <w:t xml:space="preserve">the former and not the latter. Is that distinction sound as a matter of licence</w:t>
      </w:r>
      <w:r>
        <w:t xml:space="preserve"> </w:t>
      </w:r>
      <w:r>
        <w:t xml:space="preserve">interpretation? Does it materially reduce our exposure, and would opening a public API</w:t>
      </w:r>
      <w:r>
        <w:t xml:space="preserve"> </w:t>
      </w:r>
      <w:r>
        <w:t xml:space="preserve">later require this review to be redone?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Build-time-only use.</w:t>
      </w:r>
      <w:r>
        <w:t xml:space="preserve"> </w:t>
      </w:r>
      <w:r>
        <w:t xml:space="preserve">Does the Group 3 arrangement — read during the build, used as a</w:t>
      </w:r>
      <w:r>
        <w:t xml:space="preserve"> </w:t>
      </w:r>
      <w:r>
        <w:t xml:space="preserve">comparison, never written into the published file, enforced by an automated check —</w:t>
      </w:r>
      <w:r>
        <w:t xml:space="preserve"> </w:t>
      </w:r>
      <w:r>
        <w:t xml:space="preserve">satisfy terms that forbid redistribution and reposting and state that the data are not</w:t>
      </w:r>
      <w:r>
        <w:t xml:space="preserve"> </w:t>
      </w:r>
      <w:r>
        <w:t xml:space="preserve">for marketing purposes? Does the same arrangement satisfy Pew’s terms for the</w:t>
      </w:r>
      <w:r>
        <w:t xml:space="preserve"> </w:t>
      </w:r>
      <w:r>
        <w:t xml:space="preserve">intermarriage table, which is in the build today and is the only source we read that is</w:t>
      </w:r>
      <w:r>
        <w:t xml:space="preserve"> </w:t>
      </w:r>
      <w:r>
        <w:t xml:space="preserve">neither a US government work nor a Commons image?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 5 sources.</w:t>
      </w:r>
      <w:r>
        <w:t xml:space="preserve"> </w:t>
      </w:r>
      <w:r>
        <w:t xml:space="preserve">What would we need in order to use Zillow, Redfin or Opportunity</w:t>
      </w:r>
      <w:r>
        <w:t xml:space="preserve"> </w:t>
      </w:r>
      <w:r>
        <w:t xml:space="preserve">Insights data? Would publishing only a derived index, with attribution and without their</w:t>
      </w:r>
      <w:r>
        <w:t xml:space="preserve"> </w:t>
      </w:r>
      <w:r>
        <w:t xml:space="preserve">underlying values, be sufficient?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mechanics for Group 2.</w:t>
      </w:r>
      <w:r>
        <w:t xml:space="preserve"> </w:t>
      </w:r>
      <w:r>
        <w:t xml:space="preserve">What exactly must we display for Overture and for</w:t>
      </w:r>
      <w:r>
        <w:t xml:space="preserve"> </w:t>
      </w:r>
      <w:r>
        <w:t xml:space="preserve">Foursquare OS Places, and where on the site must it appear?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and domain.</w:t>
      </w:r>
      <w:r>
        <w:t xml:space="preserve"> </w:t>
      </w:r>
      <w:r>
        <w:t xml:space="preserve">Can we use the name</w:t>
      </w:r>
      <w:r>
        <w:t xml:space="preserve"> </w:t>
      </w:r>
      <w:r>
        <w:t xml:space="preserve">“Dating Stats Atlas”</w:t>
      </w:r>
      <w:r>
        <w:t xml:space="preserve"> </w:t>
      </w:r>
      <w:r>
        <w:t xml:space="preserve">and register the matching</w:t>
      </w:r>
      <w:r>
        <w:t xml:space="preserve"> </w:t>
      </w:r>
      <w:r>
        <w:t xml:space="preserve">domain? Any obvious conflicts?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Site policies.</w:t>
      </w:r>
      <w:r>
        <w:t xml:space="preserve"> </w:t>
      </w:r>
      <w:r>
        <w:t xml:space="preserve">Given no accounts, no server-side record of visitors, and the</w:t>
      </w:r>
      <w:r>
        <w:t xml:space="preserve"> </w:t>
      </w:r>
      <w:r>
        <w:t xml:space="preserve">browser-side storage described in Part A, what do we need by way of a privacy policy and</w:t>
      </w:r>
      <w:r>
        <w:t xml:space="preserve"> </w:t>
      </w:r>
      <w:r>
        <w:t xml:space="preserve">terms of use? We had wanted to state plainly that we do not store visitors’ search</w:t>
      </w:r>
      <w:r>
        <w:t xml:space="preserve"> </w:t>
      </w:r>
      <w:r>
        <w:t xml:space="preserve">preferences. That is true of our servers and not of the visitor’s browser, where the</w:t>
      </w:r>
      <w:r>
        <w:t xml:space="preserve"> </w:t>
      </w:r>
      <w:r>
        <w:t xml:space="preserve">search lives in the page address and in a cookie; we want wording that is accurate and</w:t>
      </w:r>
      <w:r>
        <w:t xml:space="preserve"> </w:t>
      </w:r>
      <w:r>
        <w:t xml:space="preserve">safe to make, and question 9 covers the cookie itself.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visitor’s own race or ethnicity in the URL and the cookie.</w:t>
      </w:r>
      <w:r>
        <w:t xml:space="preserve"> </w:t>
      </w:r>
      <w:r>
        <w:t xml:space="preserve">When a visitor chooses</w:t>
      </w:r>
      <w:r>
        <w:t xml:space="preserve"> </w:t>
      </w:r>
      <w:r>
        <w:t xml:space="preserve">to give their race or ethnicity (optional, with</w:t>
      </w:r>
      <w:r>
        <w:t xml:space="preserve"> </w:t>
      </w:r>
      <w:r>
        <w:t xml:space="preserve">“Prefer not to say”</w:t>
      </w:r>
      <w:r>
        <w:t xml:space="preserve">), it is carried as a</w:t>
      </w:r>
      <w:r>
        <w:t xml:space="preserve"> </w:t>
      </w:r>
      <w:r>
        <w:t xml:space="preserve">parameter in the page address, in any link they copy or share, and in the first-party</w:t>
      </w:r>
      <w:r>
        <w:t xml:space="preserve"> </w:t>
      </w:r>
      <w:r>
        <w:t xml:space="preserve">preferences cookie described in Part A, which lives for about 180 days and is sent with</w:t>
      </w:r>
      <w:r>
        <w:t xml:space="preserve"> </w:t>
      </w:r>
      <w:r>
        <w:t xml:space="preserve">every request to our site. Several state privacy laws treat racial or ethnic origin as</w:t>
      </w:r>
      <w:r>
        <w:t xml:space="preserve"> </w:t>
      </w:r>
      <w:r>
        <w:t xml:space="preserve">sensitive personal data with consent, notice or opt-out requirements, and some treat</w:t>
      </w:r>
      <w:r>
        <w:t xml:space="preserve"> </w:t>
      </w:r>
      <w:r>
        <w:t xml:space="preserve">cookies as tracking. Does any of that reach a site with no accounts, no server-side</w:t>
      </w:r>
      <w:r>
        <w:t xml:space="preserve"> </w:t>
      </w:r>
      <w:r>
        <w:t xml:space="preserve">storage and a single first-party convenience cookie? Does the cookie need consent or a</w:t>
      </w:r>
      <w:r>
        <w:t xml:space="preserve"> </w:t>
      </w:r>
      <w:r>
        <w:t xml:space="preserve">banner? Would we be better placed if the cookie never carried the two optional</w:t>
      </w:r>
      <w:r>
        <w:t xml:space="preserve"> </w:t>
      </w:r>
      <w:r>
        <w:t xml:space="preserve">“about</w:t>
      </w:r>
      <w:r>
        <w:t xml:space="preserve"> </w:t>
      </w:r>
      <w:r>
        <w:t xml:space="preserve">you”</w:t>
      </w:r>
      <w:r>
        <w:t xml:space="preserve"> </w:t>
      </w:r>
      <w:r>
        <w:t xml:space="preserve">items, holding those only in the URL, or if it were dropped altogether? We can</w:t>
      </w:r>
      <w:r>
        <w:t xml:space="preserve"> </w:t>
      </w:r>
      <w:r>
        <w:t xml:space="preserve">change this design cheaply before launch.</w:t>
      </w:r>
    </w:p>
    <w:bookmarkEnd w:id="12"/>
    <w:bookmarkStart w:id="13" w:name="part-d-attachments"/>
    <w:p>
      <w:pPr>
        <w:pStyle w:val="Heading2"/>
      </w:pPr>
      <w:r>
        <w:t xml:space="preserve">Part D — Attachments</w:t>
      </w:r>
    </w:p>
    <w:p>
      <w:pPr>
        <w:pStyle w:val="FirstParagraph"/>
      </w:pPr>
      <w:r>
        <w:t xml:space="preserve">Saved copies of each source’s licence or terms page, with the retrieval date in each</w:t>
      </w:r>
      <w:r>
        <w:t xml:space="preserve"> </w:t>
      </w:r>
      <w:r>
        <w:t xml:space="preserve">filename, in</w:t>
      </w:r>
      <w:r>
        <w:t xml:space="preserve"> </w:t>
      </w:r>
      <w:r>
        <w:rPr>
          <w:rStyle w:val="VerbatimChar"/>
        </w:rPr>
        <w:t xml:space="preserve">attachments/</w:t>
      </w:r>
      <w:r>
        <w:t xml:space="preserve"> </w:t>
      </w:r>
      <w:r>
        <w:t xml:space="preserve">— including Pew Research Center’s terms and conditions page for</w:t>
      </w:r>
      <w:r>
        <w:t xml:space="preserve"> </w:t>
      </w:r>
      <w:r>
        <w:t xml:space="preserve">the Group 3 table.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2026-09-24T14:30:40Z</dcterms:created>
  <dcterms:modified xsi:type="dcterms:W3CDTF">2026-09-24T14:30:40Z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