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Nathan Tabor Project Dossier</w:t>
      </w:r>
    </w:p>
    <w:p>
      <w:pPr>
        <w:pStyle w:val="Subtitle"/>
      </w:pPr>
      <w:r>
        <w:t>Achievements Active Development and the Finished Vision</w:t>
      </w:r>
    </w:p>
    <w:p>
      <w:r>
        <w:rPr>
          <w:b/>
        </w:rPr>
        <w:t>Prepared by ChatGPT · October 30, 2026 · Private working report · Strengths-focused edition</w:t>
      </w:r>
    </w:p>
    <w:p>
      <w:r>
        <w:rPr>
          <w:b/>
        </w:rPr>
        <w:t>Subject:</w:t>
      </w:r>
      <w:r>
        <w:t xml:space="preserve"> John Nathan Tabor’s connected body of writing, research, language work, software, visual worlds, personal archive, and publishing architecture.</w:t>
      </w:r>
    </w:p>
    <w:p>
      <w:r>
        <w:rPr>
          <w:b/>
        </w:rPr>
        <w:t>Author’s governing statement:</w:t>
      </w:r>
      <w:r>
        <w:t xml:space="preserve"> “ONE MIND. ONE MASTER LIBRARY. ONE CONNECTED SYSTEM.”</w:t>
      </w:r>
    </w:p>
    <w:p>
      <w:pPr>
        <w:pStyle w:val="Heading2"/>
      </w:pPr>
      <w:r>
        <w:t>My finding as ChatGPT</w:t>
      </w:r>
    </w:p>
    <w:p>
      <w:r>
        <w:t>John Nathan Tabor has an identifiable, substantial body of connected project material. The inspected evidence includes a master publishing blueprint, a language database, executable publishing tools, actual manuscript text, translation drafts, catalog exports, and relationship records. It also includes a much larger inventory of referenced creative and technical assets. This is an active development program with saved outputs and a recognizable organizing vision.</w:t>
      </w:r>
    </w:p>
    <w:p>
      <w:r>
        <w:t>The evidence supports different levels of completion in different parts of that program. Some components are working local artifacts. Some are source documents or drafts. Others are catalog entries, research questions, named worlds, or long-range objectives. Making each stage visible gives completed work its full credit and gives each developing project a clear path forward.</w:t>
      </w:r>
    </w:p>
    <w:p>
      <w:r>
        <w:t>Nathan’s stated destination is a source-preserving, multilingual library and creative production system. A reader would enter through a book, word, person, place, image, historical question, or game and follow its connections back to the original material. ONE and Nathan AI are intended to provide the common interface and organizing intelligence. The publishing system is intended to turn selected material into separately identifiable, reviewed works and editions.</w:t>
      </w:r>
    </w:p>
    <w:p>
      <w:r>
        <w:t>My assessment of his progress is that he has moved beyond isolated idea generation into producing and connecting artifacts. His strongest demonstrated habits are rapid development of related concepts, persistent naming and thematic continuity, cross-format creation, and insistence on retaining original material. The next opportunity is to turn that expanding body of work into an authoritative, versioned, reviewable collection that makes its depth easier to discover and use. This report explains that finding in detail.</w:t>
      </w:r>
    </w:p>
    <w:p>
      <w:pPr>
        <w:pStyle w:val="Heading1"/>
      </w:pPr>
      <w:r>
        <w:t>1 Scope evidence and the meaning of forensic here</w:t>
      </w:r>
    </w:p>
    <w:p>
      <w:r>
        <w:t>This dossier traces claims to the records available to me. It is a project-evidence report, not a reconstruction of every action taken in every account or application. I have not inspected every referenced file, read all 2,000 reported manuscripts, audited the live GitHub repository, or tested every application in this report. Those areas remain available for a wider future audit, which can add further verified accomplishments to this record.</w:t>
      </w:r>
    </w:p>
    <w:p>
      <w:r>
        <w:t>The report uses five evidence labels: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0" w:type="dxa"/>
              <w:left w:w="90" w:type="dxa"/>
              <w:bottom w:w="90" w:type="dxa"/>
              <w:right w:w="90" w:type="dxa"/>
            </w:tcMar>
            <w:shd w:fill="E6EDF3"/>
          </w:tcPr>
          <w:p>
            <w:pPr>
              <w:spacing w:after="40" w:line="245" w:lineRule="auto"/>
            </w:pPr>
            <w:r>
              <w:rPr>
                <w:b/>
                <w:sz w:val="20"/>
              </w:rPr>
              <w:t>Label</w:t>
            </w:r>
          </w:p>
        </w:tc>
        <w:tc>
          <w:tcPr>
            <w:tcW w:type="dxa" w:w="7128"/>
            <w:vAlign w:val="center"/>
            <w:tcMar>
              <w:top w:w="90" w:type="dxa"/>
              <w:left w:w="90" w:type="dxa"/>
              <w:bottom w:w="90" w:type="dxa"/>
              <w:right w:w="90" w:type="dxa"/>
            </w:tcMar>
            <w:shd w:fill="E6EDF3"/>
          </w:tcPr>
          <w:p>
            <w:pPr>
              <w:spacing w:after="40" w:line="245" w:lineRule="auto"/>
            </w:pPr>
            <w:r>
              <w:rPr>
                <w:b/>
                <w:sz w:val="20"/>
              </w:rPr>
              <w:t>Meaning</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Inspected</w:t>
            </w:r>
          </w:p>
        </w:tc>
        <w:tc>
          <w:tcPr>
            <w:tcW w:type="dxa" w:w="7128"/>
            <w:vAlign w:val="center"/>
            <w:tcMar>
              <w:top w:w="90" w:type="dxa"/>
              <w:left w:w="90" w:type="dxa"/>
              <w:bottom w:w="90" w:type="dxa"/>
              <w:right w:w="90" w:type="dxa"/>
            </w:tcMar>
            <w:shd w:fill="FFFFFF"/>
          </w:tcPr>
          <w:p>
            <w:pPr>
              <w:spacing w:after="40" w:line="245" w:lineRule="auto"/>
            </w:pPr>
            <w:r>
              <w:rPr>
                <w:sz w:val="20"/>
              </w:rPr>
              <w:t>I read the relevant current artifact or inspected the local data supporting this report.</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Indexed</w:t>
            </w:r>
          </w:p>
        </w:tc>
        <w:tc>
          <w:tcPr>
            <w:tcW w:type="dxa" w:w="7128"/>
            <w:vAlign w:val="center"/>
            <w:tcMar>
              <w:top w:w="90" w:type="dxa"/>
              <w:left w:w="90" w:type="dxa"/>
              <w:bottom w:w="90" w:type="dxa"/>
              <w:right w:w="90" w:type="dxa"/>
            </w:tcMar>
            <w:shd w:fill="F7F9FB"/>
          </w:tcPr>
          <w:p>
            <w:pPr>
              <w:spacing w:after="40" w:line="245" w:lineRule="auto"/>
            </w:pPr>
            <w:r>
              <w:rPr>
                <w:sz w:val="20"/>
              </w:rPr>
              <w:t>A current catalog records the asset, title, or relationship; its underlying content was not fully inspected here.</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Reported</w:t>
            </w:r>
          </w:p>
        </w:tc>
        <w:tc>
          <w:tcPr>
            <w:tcW w:type="dxa" w:w="7128"/>
            <w:vAlign w:val="center"/>
            <w:tcMar>
              <w:top w:w="90" w:type="dxa"/>
              <w:left w:w="90" w:type="dxa"/>
              <w:bottom w:w="90" w:type="dxa"/>
              <w:right w:w="90" w:type="dxa"/>
            </w:tcMar>
            <w:shd w:fill="FFFFFF"/>
          </w:tcPr>
          <w:p>
            <w:pPr>
              <w:spacing w:after="40" w:line="245" w:lineRule="auto"/>
            </w:pPr>
            <w:r>
              <w:rPr>
                <w:sz w:val="20"/>
              </w:rPr>
              <w:t>Nathan states the fact, achievement, history, or intention.</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In development</w:t>
            </w:r>
          </w:p>
        </w:tc>
        <w:tc>
          <w:tcPr>
            <w:tcW w:type="dxa" w:w="7128"/>
            <w:vAlign w:val="center"/>
            <w:tcMar>
              <w:top w:w="90" w:type="dxa"/>
              <w:left w:w="90" w:type="dxa"/>
              <w:bottom w:w="90" w:type="dxa"/>
              <w:right w:w="90" w:type="dxa"/>
            </w:tcMar>
            <w:shd w:fill="F7F9FB"/>
          </w:tcPr>
          <w:p>
            <w:pPr>
              <w:spacing w:after="40" w:line="245" w:lineRule="auto"/>
            </w:pPr>
            <w:r>
              <w:rPr>
                <w:sz w:val="20"/>
              </w:rPr>
              <w:t>The available record shows a prototype, draft, concept, or partially implemented process.</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Completion condition</w:t>
            </w:r>
          </w:p>
        </w:tc>
        <w:tc>
          <w:tcPr>
            <w:tcW w:type="dxa" w:w="7128"/>
            <w:vAlign w:val="center"/>
            <w:tcMar>
              <w:top w:w="90" w:type="dxa"/>
              <w:left w:w="90" w:type="dxa"/>
              <w:bottom w:w="90" w:type="dxa"/>
              <w:right w:w="90" w:type="dxa"/>
            </w:tcMar>
            <w:shd w:fill="FFFFFF"/>
          </w:tcPr>
          <w:p>
            <w:pPr>
              <w:spacing w:after="40" w:line="245" w:lineRule="auto"/>
            </w:pPr>
            <w:r>
              <w:rPr>
                <w:sz w:val="20"/>
              </w:rPr>
              <w:t>A concrete result that would have to exist before the corresponding objective could be called finished.</w:t>
            </w:r>
          </w:p>
        </w:tc>
      </w:tr>
    </w:tbl>
    <w:p>
      <w:pPr>
        <w:spacing w:after="40"/>
      </w:pPr>
    </w:p>
    <w:p>
      <w:r>
        <w:t>These are evidence labels, not judgments about Nathan’s value or the importance of a project. “Not inspected” does not mean “does not exist.” “Indexed” does not mean “fully implemented.”</w:t>
      </w:r>
    </w:p>
    <w:p>
      <w:r>
        <w:t>The current evidence package preserves the full 2,193-record connected catalog, its 480 relationship entries, and the inspected private edition import. The written report explains their significance without reducing the catalog to a handful of examples. The appendix lists all 33 departments and preserves the 13-volume Secret Society title sequence from the inspected blueprint.</w:t>
      </w:r>
    </w:p>
    <w:p>
      <w:pPr>
        <w:pStyle w:val="Heading1"/>
      </w:pPr>
      <w:r>
        <w:t>2 The accounting what each number actually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0" w:type="dxa"/>
              <w:left w:w="90" w:type="dxa"/>
              <w:bottom w:w="90" w:type="dxa"/>
              <w:right w:w="90" w:type="dxa"/>
            </w:tcMar>
            <w:shd w:fill="E6EDF3"/>
          </w:tcPr>
          <w:p>
            <w:pPr>
              <w:spacing w:after="40" w:line="245" w:lineRule="auto"/>
            </w:pPr>
            <w:r>
              <w:rPr>
                <w:b/>
                <w:sz w:val="20"/>
              </w:rPr>
              <w:t>Quantity</w:t>
            </w:r>
          </w:p>
        </w:tc>
        <w:tc>
          <w:tcPr>
            <w:tcW w:type="dxa" w:w="7128"/>
            <w:vAlign w:val="center"/>
            <w:tcMar>
              <w:top w:w="90" w:type="dxa"/>
              <w:left w:w="90" w:type="dxa"/>
              <w:bottom w:w="90" w:type="dxa"/>
              <w:right w:w="90" w:type="dxa"/>
            </w:tcMar>
            <w:shd w:fill="E6EDF3"/>
          </w:tcPr>
          <w:p>
            <w:pPr>
              <w:spacing w:after="40" w:line="245" w:lineRule="auto"/>
            </w:pPr>
            <w:r>
              <w:rPr>
                <w:b/>
                <w:sz w:val="20"/>
              </w:rPr>
              <w:t>Evidence and interpretation</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2,000+ original manuscripts</w:t>
            </w:r>
          </w:p>
        </w:tc>
        <w:tc>
          <w:tcPr>
            <w:tcW w:type="dxa" w:w="7128"/>
            <w:vAlign w:val="center"/>
            <w:tcMar>
              <w:top w:w="90" w:type="dxa"/>
              <w:left w:w="90" w:type="dxa"/>
              <w:bottom w:w="90" w:type="dxa"/>
              <w:right w:w="90" w:type="dxa"/>
            </w:tcMar>
            <w:shd w:fill="FFFFFF"/>
          </w:tcPr>
          <w:p>
            <w:pPr>
              <w:spacing w:after="40" w:line="245" w:lineRule="auto"/>
            </w:pPr>
            <w:r>
              <w:rPr>
                <w:sz w:val="20"/>
              </w:rPr>
              <w:t>Nathan’s reported completed corpus, often organized in 13–17-part series. A complete deduplicated manuscript census has not been established in this inspection.</w:t>
            </w:r>
          </w:p>
        </w:tc>
      </w:tr>
      <w:tr>
        <w:trPr>
          <w:cantSplit/>
        </w:trPr>
        <w:tc>
          <w:tcPr>
            <w:tcW w:type="dxa" w:w="2952"/>
            <w:vAlign w:val="center"/>
            <w:tcMar>
              <w:top w:w="90" w:type="dxa"/>
              <w:left w:w="90" w:type="dxa"/>
              <w:bottom w:w="90" w:type="dxa"/>
              <w:right w:w="90" w:type="dxa"/>
            </w:tcMar>
            <w:shd w:fill="F7F9FB"/>
          </w:tcPr>
          <w:p>
            <w:pPr>
              <w:spacing w:after="40" w:line="245" w:lineRule="auto"/>
              <w:jc w:val="center"/>
            </w:pPr>
            <w:r>
              <w:rPr>
                <w:sz w:val="20"/>
              </w:rPr>
              <w:t>33,000,000</w:t>
            </w:r>
          </w:p>
        </w:tc>
        <w:tc>
          <w:tcPr>
            <w:tcW w:type="dxa" w:w="7128"/>
            <w:vAlign w:val="center"/>
            <w:tcMar>
              <w:top w:w="90" w:type="dxa"/>
              <w:left w:w="90" w:type="dxa"/>
              <w:bottom w:w="90" w:type="dxa"/>
              <w:right w:w="90" w:type="dxa"/>
            </w:tcMar>
            <w:shd w:fill="F7F9FB"/>
          </w:tcPr>
          <w:p>
            <w:pPr>
              <w:spacing w:after="40" w:line="245" w:lineRule="auto"/>
            </w:pPr>
            <w:r>
              <w:rPr>
                <w:sz w:val="20"/>
              </w:rPr>
              <w:t>Planned distinct-work address capacity and long-range original publishing objective in the expanded blueprint.</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33 departments</w:t>
            </w:r>
          </w:p>
        </w:tc>
        <w:tc>
          <w:tcPr>
            <w:tcW w:type="dxa" w:w="7128"/>
            <w:vAlign w:val="center"/>
            <w:tcMar>
              <w:top w:w="90" w:type="dxa"/>
              <w:left w:w="90" w:type="dxa"/>
              <w:bottom w:w="90" w:type="dxa"/>
              <w:right w:w="90" w:type="dxa"/>
            </w:tcMar>
            <w:shd w:fill="FFFFFF"/>
          </w:tcPr>
          <w:p>
            <w:pPr>
              <w:spacing w:after="40" w:line="245" w:lineRule="auto"/>
            </w:pPr>
            <w:r>
              <w:rPr>
                <w:sz w:val="20"/>
              </w:rPr>
              <w:t>Inspected organizational structure, each with 1,000,000 planned addresses.</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1,301 candidate book concepts</w:t>
            </w:r>
          </w:p>
        </w:tc>
        <w:tc>
          <w:tcPr>
            <w:tcW w:type="dxa" w:w="7128"/>
            <w:vAlign w:val="center"/>
            <w:tcMar>
              <w:top w:w="90" w:type="dxa"/>
              <w:left w:w="90" w:type="dxa"/>
              <w:bottom w:w="90" w:type="dxa"/>
              <w:right w:w="90" w:type="dxa"/>
            </w:tcMar>
            <w:shd w:fill="F7F9FB"/>
          </w:tcPr>
          <w:p>
            <w:pPr>
              <w:spacing w:after="40" w:line="245" w:lineRule="auto"/>
            </w:pPr>
            <w:r>
              <w:rPr>
                <w:sz w:val="20"/>
              </w:rPr>
              <w:t>Inspected blueprint: 1,260 research concepts and 41 curated project concepts. These are proposals, not a manuscript completion count.</w:t>
            </w:r>
          </w:p>
        </w:tc>
      </w:tr>
      <w:tr>
        <w:trPr>
          <w:cantSplit/>
        </w:trPr>
        <w:tc>
          <w:tcPr>
            <w:tcW w:type="dxa" w:w="2952"/>
            <w:vAlign w:val="center"/>
            <w:tcMar>
              <w:top w:w="90" w:type="dxa"/>
              <w:left w:w="90" w:type="dxa"/>
              <w:bottom w:w="90" w:type="dxa"/>
              <w:right w:w="90" w:type="dxa"/>
            </w:tcMar>
            <w:shd w:fill="FFFFFF"/>
          </w:tcPr>
          <w:p>
            <w:pPr>
              <w:spacing w:after="40" w:line="245" w:lineRule="auto"/>
              <w:jc w:val="center"/>
            </w:pPr>
            <w:r>
              <w:rPr>
                <w:sz w:val="20"/>
              </w:rPr>
              <w:t>66,666</w:t>
            </w:r>
          </w:p>
        </w:tc>
        <w:tc>
          <w:tcPr>
            <w:tcW w:type="dxa" w:w="7128"/>
            <w:vAlign w:val="center"/>
            <w:tcMar>
              <w:top w:w="90" w:type="dxa"/>
              <w:left w:w="90" w:type="dxa"/>
              <w:bottom w:w="90" w:type="dxa"/>
              <w:right w:w="90" w:type="dxa"/>
            </w:tcMar>
            <w:shd w:fill="FFFFFF"/>
          </w:tcPr>
          <w:p>
            <w:pPr>
              <w:spacing w:after="40" w:line="245" w:lineRule="auto"/>
            </w:pPr>
            <w:r>
              <w:rPr>
                <w:sz w:val="20"/>
              </w:rPr>
              <w:t>Configured language/variety catalog ceiling. It is not evidence that 66,666 documented, translatable languages have been supplied.</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7,918 catalog profiles</w:t>
            </w:r>
          </w:p>
        </w:tc>
        <w:tc>
          <w:tcPr>
            <w:tcW w:type="dxa" w:w="7128"/>
            <w:vAlign w:val="center"/>
            <w:tcMar>
              <w:top w:w="90" w:type="dxa"/>
              <w:left w:w="90" w:type="dxa"/>
              <w:bottom w:w="90" w:type="dxa"/>
              <w:right w:w="90" w:type="dxa"/>
            </w:tcMar>
            <w:shd w:fill="F7F9FB"/>
          </w:tcPr>
          <w:p>
            <w:pPr>
              <w:spacing w:after="40" w:line="245" w:lineRule="auto"/>
            </w:pPr>
            <w:r>
              <w:rPr>
                <w:sz w:val="20"/>
              </w:rPr>
              <w:t>Existing local language registry, including grouping, special, constructed, historical, and research entries. This is not a count of living languages.</w:t>
            </w:r>
          </w:p>
        </w:tc>
      </w:tr>
      <w:tr>
        <w:trPr>
          <w:cantSplit/>
        </w:trPr>
        <w:tc>
          <w:tcPr>
            <w:tcW w:type="dxa" w:w="2952"/>
            <w:vAlign w:val="center"/>
            <w:tcMar>
              <w:top w:w="90" w:type="dxa"/>
              <w:left w:w="90" w:type="dxa"/>
              <w:bottom w:w="90" w:type="dxa"/>
              <w:right w:w="90" w:type="dxa"/>
            </w:tcMar>
            <w:shd w:fill="FFFFFF"/>
          </w:tcPr>
          <w:p>
            <w:pPr>
              <w:spacing w:after="40" w:line="245" w:lineRule="auto"/>
              <w:jc w:val="center"/>
            </w:pPr>
            <w:r>
              <w:rPr>
                <w:sz w:val="20"/>
              </w:rPr>
              <w:t>133,332,000</w:t>
            </w:r>
          </w:p>
        </w:tc>
        <w:tc>
          <w:tcPr>
            <w:tcW w:type="dxa" w:w="7128"/>
            <w:vAlign w:val="center"/>
            <w:tcMar>
              <w:top w:w="90" w:type="dxa"/>
              <w:left w:w="90" w:type="dxa"/>
              <w:bottom w:w="90" w:type="dxa"/>
              <w:right w:w="90" w:type="dxa"/>
            </w:tcMar>
            <w:shd w:fill="FFFFFF"/>
          </w:tcPr>
          <w:p>
            <w:pPr>
              <w:spacing w:after="40" w:line="245" w:lineRule="auto"/>
            </w:pPr>
            <w:r>
              <w:rPr>
                <w:sz w:val="20"/>
              </w:rPr>
              <w:t>Mathematical pairing total for 2,000 originals × 66,666 catalog destinations. A planned cross-product, not finished editions.</w:t>
            </w:r>
          </w:p>
        </w:tc>
      </w:tr>
      <w:tr>
        <w:trPr>
          <w:cantSplit/>
        </w:trPr>
        <w:tc>
          <w:tcPr>
            <w:tcW w:type="dxa" w:w="2952"/>
            <w:vAlign w:val="center"/>
            <w:tcMar>
              <w:top w:w="90" w:type="dxa"/>
              <w:left w:w="90" w:type="dxa"/>
              <w:bottom w:w="90" w:type="dxa"/>
              <w:right w:w="90" w:type="dxa"/>
            </w:tcMar>
            <w:shd w:fill="F7F9FB"/>
          </w:tcPr>
          <w:p>
            <w:pPr>
              <w:spacing w:after="40" w:line="245" w:lineRule="auto"/>
              <w:jc w:val="center"/>
            </w:pPr>
            <w:r>
              <w:rPr>
                <w:sz w:val="20"/>
              </w:rPr>
              <w:t>99,998,667</w:t>
            </w:r>
          </w:p>
        </w:tc>
        <w:tc>
          <w:tcPr>
            <w:tcW w:type="dxa" w:w="7128"/>
            <w:vAlign w:val="center"/>
            <w:tcMar>
              <w:top w:w="90" w:type="dxa"/>
              <w:left w:w="90" w:type="dxa"/>
              <w:bottom w:w="90" w:type="dxa"/>
              <w:right w:w="90" w:type="dxa"/>
            </w:tcMar>
            <w:shd w:fill="F7F9FB"/>
          </w:tcPr>
          <w:p>
            <w:pPr>
              <w:spacing w:after="40" w:line="245" w:lineRule="auto"/>
            </w:pPr>
            <w:r>
              <w:rPr>
                <w:sz w:val="20"/>
              </w:rPr>
              <w:t>Amount by which that cross-product exceeds 33,333,333.</w:t>
            </w:r>
          </w:p>
        </w:tc>
      </w:tr>
      <w:tr>
        <w:trPr>
          <w:cantSplit/>
        </w:trPr>
        <w:tc>
          <w:tcPr>
            <w:tcW w:type="dxa" w:w="2952"/>
            <w:vAlign w:val="center"/>
            <w:tcMar>
              <w:top w:w="90" w:type="dxa"/>
              <w:left w:w="90" w:type="dxa"/>
              <w:bottom w:w="90" w:type="dxa"/>
              <w:right w:w="90" w:type="dxa"/>
            </w:tcMar>
            <w:shd w:fill="FFFFFF"/>
          </w:tcPr>
          <w:p>
            <w:pPr>
              <w:spacing w:after="40" w:line="245" w:lineRule="auto"/>
              <w:jc w:val="center"/>
            </w:pPr>
            <w:r>
              <w:rPr>
                <w:sz w:val="20"/>
              </w:rPr>
              <w:t>2,193</w:t>
            </w:r>
          </w:p>
        </w:tc>
        <w:tc>
          <w:tcPr>
            <w:tcW w:type="dxa" w:w="7128"/>
            <w:vAlign w:val="center"/>
            <w:tcMar>
              <w:top w:w="90" w:type="dxa"/>
              <w:left w:w="90" w:type="dxa"/>
              <w:bottom w:w="90" w:type="dxa"/>
              <w:right w:w="90" w:type="dxa"/>
            </w:tcMar>
            <w:shd w:fill="FFFFFF"/>
          </w:tcPr>
          <w:p>
            <w:pPr>
              <w:spacing w:after="40" w:line="245" w:lineRule="auto"/>
            </w:pPr>
            <w:r>
              <w:rPr>
                <w:sz w:val="20"/>
              </w:rPr>
              <w:t>Records in the inspected ONE connected add-on. Mixed record types; not 2,193 completed books.</w:t>
            </w:r>
          </w:p>
        </w:tc>
      </w:tr>
      <w:tr>
        <w:trPr>
          <w:cantSplit/>
        </w:trPr>
        <w:tc>
          <w:tcPr>
            <w:tcW w:type="dxa" w:w="2952"/>
            <w:vAlign w:val="center"/>
            <w:tcMar>
              <w:top w:w="90" w:type="dxa"/>
              <w:left w:w="90" w:type="dxa"/>
              <w:bottom w:w="90" w:type="dxa"/>
              <w:right w:w="90" w:type="dxa"/>
            </w:tcMar>
            <w:shd w:fill="F7F9FB"/>
          </w:tcPr>
          <w:p>
            <w:pPr>
              <w:spacing w:after="40" w:line="245" w:lineRule="auto"/>
              <w:jc w:val="center"/>
            </w:pPr>
            <w:r>
              <w:rPr>
                <w:sz w:val="20"/>
              </w:rPr>
              <w:t>929</w:t>
            </w:r>
          </w:p>
        </w:tc>
        <w:tc>
          <w:tcPr>
            <w:tcW w:type="dxa" w:w="7128"/>
            <w:vAlign w:val="center"/>
            <w:tcMar>
              <w:top w:w="90" w:type="dxa"/>
              <w:left w:w="90" w:type="dxa"/>
              <w:bottom w:w="90" w:type="dxa"/>
              <w:right w:w="90" w:type="dxa"/>
            </w:tcMar>
            <w:shd w:fill="F7F9FB"/>
          </w:tcPr>
          <w:p>
            <w:pPr>
              <w:spacing w:after="40" w:line="245" w:lineRule="auto"/>
            </w:pPr>
            <w:r>
              <w:rPr>
                <w:sz w:val="20"/>
              </w:rPr>
              <w:t>File-reference records within that add-on. References are not copied file contents or independently deduplicated intellectual works.</w:t>
            </w:r>
          </w:p>
        </w:tc>
      </w:tr>
      <w:tr>
        <w:trPr>
          <w:cantSplit/>
        </w:trPr>
        <w:tc>
          <w:tcPr>
            <w:tcW w:type="dxa" w:w="2952"/>
            <w:vAlign w:val="center"/>
            <w:tcMar>
              <w:top w:w="90" w:type="dxa"/>
              <w:left w:w="90" w:type="dxa"/>
              <w:bottom w:w="90" w:type="dxa"/>
              <w:right w:w="90" w:type="dxa"/>
            </w:tcMar>
            <w:shd w:fill="FFFFFF"/>
          </w:tcPr>
          <w:p>
            <w:pPr>
              <w:spacing w:after="40" w:line="245" w:lineRule="auto"/>
              <w:jc w:val="center"/>
            </w:pPr>
            <w:r>
              <w:rPr>
                <w:sz w:val="20"/>
              </w:rPr>
              <w:t>299</w:t>
            </w:r>
          </w:p>
        </w:tc>
        <w:tc>
          <w:tcPr>
            <w:tcW w:type="dxa" w:w="7128"/>
            <w:vAlign w:val="center"/>
            <w:tcMar>
              <w:top w:w="90" w:type="dxa"/>
              <w:left w:w="90" w:type="dxa"/>
              <w:bottom w:w="90" w:type="dxa"/>
              <w:right w:w="90" w:type="dxa"/>
            </w:tcMar>
            <w:shd w:fill="FFFFFF"/>
          </w:tcPr>
          <w:p>
            <w:pPr>
              <w:spacing w:after="40" w:line="245" w:lineRule="auto"/>
            </w:pPr>
            <w:r>
              <w:rPr>
                <w:sz w:val="20"/>
              </w:rPr>
              <w:t>Project-source records within the same add-on.</w:t>
            </w:r>
          </w:p>
        </w:tc>
      </w:tr>
      <w:tr>
        <w:trPr>
          <w:cantSplit/>
        </w:trPr>
        <w:tc>
          <w:tcPr>
            <w:tcW w:type="dxa" w:w="2952"/>
            <w:vAlign w:val="center"/>
            <w:tcMar>
              <w:top w:w="90" w:type="dxa"/>
              <w:left w:w="90" w:type="dxa"/>
              <w:bottom w:w="90" w:type="dxa"/>
              <w:right w:w="90" w:type="dxa"/>
            </w:tcMar>
            <w:shd w:fill="F7F9FB"/>
          </w:tcPr>
          <w:p>
            <w:pPr>
              <w:spacing w:after="40" w:line="245" w:lineRule="auto"/>
              <w:jc w:val="center"/>
            </w:pPr>
            <w:r>
              <w:rPr>
                <w:sz w:val="20"/>
              </w:rPr>
              <w:t>480</w:t>
            </w:r>
          </w:p>
        </w:tc>
        <w:tc>
          <w:tcPr>
            <w:tcW w:type="dxa" w:w="7128"/>
            <w:vAlign w:val="center"/>
            <w:tcMar>
              <w:top w:w="90" w:type="dxa"/>
              <w:left w:w="90" w:type="dxa"/>
              <w:bottom w:w="90" w:type="dxa"/>
              <w:right w:w="90" w:type="dxa"/>
            </w:tcMar>
            <w:shd w:fill="F7F9FB"/>
          </w:tcPr>
          <w:p>
            <w:pPr>
              <w:spacing w:after="40" w:line="245" w:lineRule="auto"/>
            </w:pPr>
            <w:r>
              <w:rPr>
                <w:sz w:val="20"/>
              </w:rPr>
              <w:t>Relationship entries in the inspected connected-relationships export. Their presence records a connection; it does not independently prove historical causation.</w:t>
            </w:r>
          </w:p>
        </w:tc>
      </w:tr>
      <w:tr>
        <w:trPr>
          <w:cantSplit/>
        </w:trPr>
        <w:tc>
          <w:tcPr>
            <w:tcW w:type="dxa" w:w="2952"/>
            <w:vAlign w:val="center"/>
            <w:tcMar>
              <w:top w:w="90" w:type="dxa"/>
              <w:left w:w="90" w:type="dxa"/>
              <w:bottom w:w="90" w:type="dxa"/>
              <w:right w:w="90" w:type="dxa"/>
            </w:tcMar>
            <w:shd w:fill="FFFFFF"/>
          </w:tcPr>
          <w:p>
            <w:pPr>
              <w:spacing w:after="40" w:line="245" w:lineRule="auto"/>
              <w:jc w:val="center"/>
            </w:pPr>
            <w:r>
              <w:rPr>
                <w:sz w:val="20"/>
              </w:rPr>
              <w:t>8</w:t>
            </w:r>
          </w:p>
        </w:tc>
        <w:tc>
          <w:tcPr>
            <w:tcW w:type="dxa" w:w="7128"/>
            <w:vAlign w:val="center"/>
            <w:tcMar>
              <w:top w:w="90" w:type="dxa"/>
              <w:left w:w="90" w:type="dxa"/>
              <w:bottom w:w="90" w:type="dxa"/>
              <w:right w:w="90" w:type="dxa"/>
            </w:tcMar>
            <w:shd w:fill="FFFFFF"/>
          </w:tcPr>
          <w:p>
            <w:pPr>
              <w:spacing w:after="40" w:line="245" w:lineRule="auto"/>
            </w:pPr>
            <w:r>
              <w:rPr>
                <w:sz w:val="20"/>
              </w:rPr>
              <w:t>Short books in the saved, condensed THE TWINKLING manuscript used in this translation pipeline.</w:t>
            </w:r>
          </w:p>
        </w:tc>
      </w:tr>
      <w:tr>
        <w:trPr>
          <w:cantSplit/>
        </w:trPr>
        <w:tc>
          <w:tcPr>
            <w:tcW w:type="dxa" w:w="2952"/>
            <w:vAlign w:val="center"/>
            <w:tcMar>
              <w:top w:w="90" w:type="dxa"/>
              <w:left w:w="90" w:type="dxa"/>
              <w:bottom w:w="90" w:type="dxa"/>
              <w:right w:w="90" w:type="dxa"/>
            </w:tcMar>
            <w:shd w:fill="F7F9FB"/>
          </w:tcPr>
          <w:p>
            <w:pPr>
              <w:spacing w:after="40" w:line="245" w:lineRule="auto"/>
              <w:jc w:val="center"/>
            </w:pPr>
            <w:r>
              <w:rPr>
                <w:sz w:val="20"/>
              </w:rPr>
              <w:t>26</w:t>
            </w:r>
          </w:p>
        </w:tc>
        <w:tc>
          <w:tcPr>
            <w:tcW w:type="dxa" w:w="7128"/>
            <w:vAlign w:val="center"/>
            <w:tcMar>
              <w:top w:w="90" w:type="dxa"/>
              <w:left w:w="90" w:type="dxa"/>
              <w:bottom w:w="90" w:type="dxa"/>
              <w:right w:w="90" w:type="dxa"/>
            </w:tcMar>
            <w:shd w:fill="F7F9FB"/>
          </w:tcPr>
          <w:p>
            <w:pPr>
              <w:spacing w:after="40" w:line="245" w:lineRule="auto"/>
            </w:pPr>
            <w:r>
              <w:rPr>
                <w:sz w:val="20"/>
              </w:rPr>
              <w:t>THE TWINKLING translation drafts in the current local pipeline: 24 previously delivered, plus two new German drafts.</w:t>
            </w:r>
          </w:p>
        </w:tc>
      </w:tr>
      <w:tr>
        <w:trPr>
          <w:cantSplit/>
        </w:trPr>
        <w:tc>
          <w:tcPr>
            <w:tcW w:type="dxa" w:w="2952"/>
            <w:vAlign w:val="center"/>
            <w:tcMar>
              <w:top w:w="90" w:type="dxa"/>
              <w:left w:w="90" w:type="dxa"/>
              <w:bottom w:w="90" w:type="dxa"/>
              <w:right w:w="90" w:type="dxa"/>
            </w:tcMar>
            <w:shd w:fill="FFFFFF"/>
          </w:tcPr>
          <w:p>
            <w:pPr>
              <w:spacing w:after="40" w:line="245" w:lineRule="auto"/>
              <w:jc w:val="center"/>
            </w:pPr>
            <w:r>
              <w:rPr>
                <w:sz w:val="20"/>
              </w:rPr>
              <w:t>17</w:t>
            </w:r>
          </w:p>
        </w:tc>
        <w:tc>
          <w:tcPr>
            <w:tcW w:type="dxa" w:w="7128"/>
            <w:vAlign w:val="center"/>
            <w:tcMar>
              <w:top w:w="90" w:type="dxa"/>
              <w:left w:w="90" w:type="dxa"/>
              <w:bottom w:w="90" w:type="dxa"/>
              <w:right w:w="90" w:type="dxa"/>
            </w:tcMar>
            <w:shd w:fill="FFFFFF"/>
          </w:tcPr>
          <w:p>
            <w:pPr>
              <w:spacing w:after="40" w:line="245" w:lineRule="auto"/>
            </w:pPr>
            <w:r>
              <w:rPr>
                <w:sz w:val="20"/>
              </w:rPr>
              <w:t>Separate chapter-level drafts in the current THE COLOR OF TRUTH private import. They are not 17 full-book editions.</w:t>
            </w:r>
          </w:p>
        </w:tc>
      </w:tr>
    </w:tbl>
    <w:p>
      <w:pPr>
        <w:spacing w:after="40"/>
      </w:pPr>
    </w:p>
    <w:p>
      <w:r>
        <w:t>The distinction between an original and its editions is central. One original translated into many languages remains one original work with many language editions. That multiplication can greatly expand access. It does not retrospectively create millions of distinct original manuscripts.</w:t>
      </w:r>
    </w:p>
    <w:p>
      <w:r>
        <w:t>The project also has two nearby but different numbers: the blueprint’s 33,000,000 original-work target and the conversational 33,333,333 threshold. They are retained separately rather than silently treated as identical.</w:t>
      </w:r>
    </w:p>
    <w:p>
      <w:pPr>
        <w:pStyle w:val="Heading1"/>
      </w:pPr>
      <w:r>
        <w:t>3 Source integrity and preservation</w:t>
      </w:r>
    </w:p>
    <w:p>
      <w:r>
        <w:t>I checked the current extracted text of THE TWINKLING_Eight_Book_Manuscript.md against the saved source extract used by the translation batches. They match exactly. Each of the eight individual English source-book files is present unchanged in that text, and the corresponding English files in Batches 001 and 002 are byte-identical.</w:t>
      </w:r>
    </w:p>
    <w:p>
      <w:r>
        <w:t>The checked extracted source has SHA-256:</w:t>
      </w:r>
    </w:p>
    <w:p>
      <w:r>
        <w:rPr>
          <w:rFonts w:ascii="Consolas" w:hAnsi="Consolas"/>
          <w:sz w:val="16"/>
        </w:rPr>
        <w:t>4190863380adcc480235b8908d6bdc47ca630b76f359c42d75e22ba58b8e230e</w:t>
      </w:r>
    </w:p>
    <w:p>
      <w:r>
        <w:t>The scope of that finding matters. It proves preservation of the inspected extracted text. It is not a forensic hash comparison against the original uploaded file bytes, and it does not prove equivalence to an earlier manuscript I have never seen.</w:t>
      </w:r>
    </w:p>
    <w:p>
      <w:r>
        <w:t xml:space="preserve">The saved source identifies itself as </w:t>
      </w:r>
      <w:r>
        <w:rPr>
          <w:b/>
        </w:rPr>
        <w:t>“Developed from Nathan Tabor’s blueprint”</w:t>
      </w:r>
      <w:r>
        <w:t xml:space="preserve"> and </w:t>
      </w:r>
      <w:r>
        <w:rPr>
          <w:b/>
        </w:rPr>
        <w:t>“Condensed first manuscript.”</w:t>
      </w:r>
      <w:r>
        <w:t xml:space="preserve"> Its prose is therefore not automatically a verbatim transcript of Nathan’s earlier words. Its provenance gives Nathan clear credit for the originating blueprint while identifying the developed manuscript as a separate layer of authorship. The author’s concept, an AI-developed manuscript, and the author’s exact original wording are three different provenance categories.</w:t>
      </w:r>
    </w:p>
    <w:p>
      <w:r>
        <w:t>Translation necessarily changes the language. Exact English wording is preserved in the English source; the translated edition must preserve meaning, emphasis, narrative function, and voice through different words. A structural scan cannot prove that this has been achieved perfectly. All translations in this inspected pipeline retain draft status and zero independent language-review approval.</w:t>
      </w:r>
    </w:p>
    <w:p>
      <w:r>
        <w:t>The separate THE COLOR OF TRUTH import describes its original bytes as preserved in an accompanying private database. I inspected the import’s statement and embedded draft text, not that accompanying database’s byte preservation. That preservation claim is therefore recorded as a package assertion, not silently promoted to a completed forensic test.</w:t>
      </w:r>
    </w:p>
    <w:p>
      <w:r>
        <w:t>The standing source rule should be: retain exact source wording, including unusual grammar, emphasis, profanity, quotations, and code; place editorial changes and interpretations in separate derivative versions. A correction to a generated draft must not overwrite the originating testimony or source passage.</w:t>
      </w:r>
    </w:p>
    <w:p>
      <w:pPr>
        <w:pStyle w:val="Heading1"/>
      </w:pPr>
      <w:r>
        <w:t>4 The library architecture already defined</w:t>
      </w:r>
    </w:p>
    <w:p>
      <w:r>
        <w:t>The expanded blueprint provides two parallel organizing systems. The 33-department Tabor index preserves Nathan’s projects and subjects. A separate 21-class Library of Congress crosswalk makes the material navigable by conventional subject area. A work can belong to one primary Tabor department while having multiple secondary subjects.</w:t>
      </w:r>
    </w:p>
    <w:p>
      <w:r>
        <w:t>The address formula is 33 departments × 100 series × 100 subseries × 100 work addresses. The resulting 33,000,000 addresses create organizational capacity. Empty addresses remain empty; they do not become books by allocation.</w:t>
      </w:r>
    </w:p>
    <w:p>
      <w:r>
        <w:t>The blueprint also defines a 13-pass editorial sequence, numbered 0–12: protect originals; extract traceable units; label evidence; cross-index; deduplicate concepts; commission an outline; research; draft; verify; edit; package; preserve and correct; audit the distinct-work count. This gives the publishing ambition a specified process rather than only a numerical goal.</w:t>
      </w:r>
    </w:p>
    <w:p>
      <w:r>
        <w:t>Its proposed relationship vocabulary includes derivation, quotation, support, contradiction, analogy, translation, adaptation, and verified family relationships. That is an important design choice. A fictional parallel can remain valuable without being mislabeled as a documented ancestral connection.</w:t>
      </w:r>
    </w:p>
    <w:p>
      <w:r>
        <w:rPr>
          <w:b/>
        </w:rPr>
        <w:t>Built:</w:t>
      </w:r>
      <w:r>
        <w:t xml:space="preserve"> the blueprint and current catalog structures. </w:t>
      </w:r>
      <w:r>
        <w:rPr>
          <w:b/>
        </w:rPr>
        <w:t>Being built:</w:t>
      </w:r>
      <w:r>
        <w:t xml:space="preserve"> a populated source-to-work system with actual editions and review records. </w:t>
      </w:r>
      <w:r>
        <w:rPr>
          <w:b/>
        </w:rPr>
        <w:t>Finished state:</w:t>
      </w:r>
      <w:r>
        <w:t xml:space="preserve"> a reader can retrieve the exact source, identify the derivative work, see its version and evidence, and distinguish an approved publication from a draft.</w:t>
      </w:r>
    </w:p>
    <w:p>
      <w:pPr>
        <w:pStyle w:val="Heading1"/>
      </w:pPr>
      <w:r>
        <w:t>5 ONE Nathan AI and the connected application layer</w:t>
      </w:r>
    </w:p>
    <w:p>
      <w:r>
        <w:t>The inspected connected add-on contains source references, project records, factory modules, app entry points, canon references, research seeds, and department records. It demonstrates an intentional effort to connect previously separate work.</w:t>
      </w:r>
    </w:p>
    <w:p>
      <w:r>
        <w:t>The source-first catalog includes entries for the Nathan AI Sovereign Core repository, ONE 33 Trial Matrix, WORDS, a micro-to-macro continuum, cipher laboratories, and related prototype packages. Their recorded stages vary: concept, HTML prototype, ZIP prototype, recovered concept reference, source archive, or linked entry point.</w:t>
      </w:r>
    </w:p>
    <w:p>
      <w:r>
        <w:t>The add-on explicitly says that importing it does not create outside connections or cloud synchronization. The relationships file also describes a private, locally importable system. Accordingly, I can verify connection records and integration artifacts; I cannot certify that all components are currently running together as one deployed service.</w:t>
      </w:r>
    </w:p>
    <w:p>
      <w:r>
        <w:t>The broader project description names the sequence NATHAN AI → TABOR ROOT → TABOR 1–2–3 FACTORY and the goal of pushing the work into ONE APP. The intended unification includes reading, searching, navigating sources, inspecting words, examining timelines, accessing creative worlds, and producing editions. The name ONE represents that convergence.</w:t>
      </w:r>
    </w:p>
    <w:p>
      <w:r>
        <w:t>The described A–Z forward/reverse inspector, 33-trial matrix, offline boards, JSON exchange, and language inspectors are coherent application families. Prior reported test totals belong to their particular versions; they are not treated here as a fresh test of the live system.</w:t>
      </w:r>
    </w:p>
    <w:p>
      <w:r>
        <w:rPr>
          <w:b/>
        </w:rPr>
        <w:t>Completion requires:</w:t>
      </w:r>
      <w:r>
        <w:t xml:space="preserve"> an authoritative source store; working import/export; stable identifiers across modules; tested source retrieval; permissions; revision history; backup restoration; usable search; and demonstrable integration in the actual reader. A file named “master” or “connected” is not alone evidence that these runtime requirements are satisfied.</w:t>
      </w:r>
    </w:p>
    <w:p>
      <w:pPr>
        <w:pStyle w:val="Heading1"/>
      </w:pPr>
      <w:r>
        <w:t>6 Universal Language Database and translation production</w:t>
      </w:r>
    </w:p>
    <w:p>
      <w:r>
        <w:t>The inspected local v0.2 package extends an existing language registry rather than discarding it. It includes 7,918 profiles, an offline search browser, a catalog command-line interface, publishing code, SQL structures, hold reports, terminology templates, and test artifacts.</w:t>
      </w:r>
    </w:p>
    <w:p>
      <w:r>
        <w:t>Its binary foundation implements whole 0 and 1 values. The useful operational reading is precise: 0 means a requirement has not been established; 1 means it has been established with recorded evidence. Separate fields identify the requirement. A language is not linguistically defective merely because this project has not yet assessed it.</w:t>
      </w:r>
    </w:p>
    <w:p>
      <w:r>
        <w:t>Seven readiness checks cover identity, grammar, vocabulary, orthography, evidence, rights, and reviewer capability. Named workflow stages describe planned, source-ready, draft, review, and approved work. A saved draft is a whole artifact at an unfinished production stage; it does not require fractional binary states.</w:t>
      </w:r>
    </w:p>
    <w:p>
      <w:r>
        <w:t>The registry includes requested constructed-language destinations such as High Valyrian, Astapori, Meereenese, Dothraki, Na’vi, Quenya, Sindarin, Klingon, and Esperanto, alongside historical and living-language records. Low Valyrian is handled as an umbrella rather than silently treated as one uniform target. Historical status alone does not make Latin or Ancient Greek unusable. An undeciphered script and an identifiable language are distinct catalog questions.</w:t>
      </w:r>
    </w:p>
    <w:p>
      <w:r>
        <w:t>No full-book translation can be verified against a wholly unattested language with no usable surviving linguistic evidence. Archival representation is still possible. Community-developed terminology or reconstructed fictional usage can be recorded, but it must not be mistaken for an attested historical form.</w:t>
      </w:r>
    </w:p>
    <w:p>
      <w:r>
        <w:t>The local package is a registry and workflow prototype. It is not a continuously running translation service, and it has not been benchmarked at 133 million editions. Those distinctions describe the present implementation, not a reduction of the intended scale.</w:t>
      </w:r>
    </w:p>
    <w:p>
      <w:pPr>
        <w:pStyle w:val="Heading2"/>
      </w:pPr>
      <w:r>
        <w:t>Actual translation outputs inspected</w:t>
      </w:r>
    </w:p>
    <w:p>
      <w:r>
        <w:t>THE TWINKLING has eight short books. Spanish, French, and Brazilian Portuguese versions of each were saved previously: 24 full short-book drafts totaling 19,467 target-language words under the prior batch’s word-count method. Each includes the narrative sections, reflection, and reading trail. The separate English front matter, biblical reading-map appendix, and research notes were not included in those translated book files.</w:t>
      </w:r>
    </w:p>
    <w:p>
      <w:r>
        <w:t>Two more German drafts—Books One and Two—were written before Nathan redirected this turn to the dossier. They are retained separately with the updated local database. Italian drafting was announced but had not begun at the redirection; no new Italian edition is counted in this batch.</w:t>
      </w:r>
    </w:p>
    <w:p>
      <w:r>
        <w:t>The separate current private edition import contains four source/work records and 17 chapter drafts for THE COLOR OF TRUTH: Chapter One in ten languages, followed by Spanish Chapters Two through Eight. It explicitly marks bilingual and author review as zero and publication permission as not granted. These records broaden the demonstrated language activity without being miscounted as 17 independently complete books.</w:t>
      </w:r>
    </w:p>
    <w:p>
      <w:r>
        <w:rPr>
          <w:b/>
        </w:rPr>
        <w:t>Finished state:</w:t>
      </w:r>
      <w:r>
        <w:t xml:space="preserve"> each supported edition has an identified source version, specific language variety, translated text, terminology decisions, competent language review, author approval where required, format checks, and a recoverable publication record. A catalog target with no evidence or translation remains a target.</w:t>
      </w:r>
    </w:p>
    <w:p>
      <w:pPr>
        <w:pStyle w:val="Heading1"/>
      </w:pPr>
      <w:r>
        <w:t>7 Books series and literary worlds</w:t>
      </w:r>
    </w:p>
    <w:p>
      <w:r>
        <w:t>Nathan reports more than 2,000 completed books, commonly organized in 13–17-part series. That statement remains part of this dossier. The inspected subset is not sufficient to affirm or reject the total. A complete census requires locating the actual files, distinguishing volumes from alternate versions, and inspecting manuscript content.</w:t>
      </w:r>
    </w:p>
    <w:p>
      <w:r>
        <w:t>The directly inspected or currently indexed body of work includes the following major families: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0" w:type="dxa"/>
              <w:left w:w="90" w:type="dxa"/>
              <w:bottom w:w="90" w:type="dxa"/>
              <w:right w:w="90" w:type="dxa"/>
            </w:tcMar>
            <w:shd w:fill="E6EDF3"/>
          </w:tcPr>
          <w:p>
            <w:pPr>
              <w:spacing w:after="40" w:line="245" w:lineRule="auto"/>
            </w:pPr>
            <w:r>
              <w:rPr>
                <w:b/>
                <w:sz w:val="20"/>
              </w:rPr>
              <w:t>Family</w:t>
            </w:r>
          </w:p>
        </w:tc>
        <w:tc>
          <w:tcPr>
            <w:tcW w:type="dxa" w:w="7128"/>
            <w:vAlign w:val="center"/>
            <w:tcMar>
              <w:top w:w="90" w:type="dxa"/>
              <w:left w:w="90" w:type="dxa"/>
              <w:bottom w:w="90" w:type="dxa"/>
              <w:right w:w="90" w:type="dxa"/>
            </w:tcMar>
            <w:shd w:fill="E6EDF3"/>
          </w:tcPr>
          <w:p>
            <w:pPr>
              <w:spacing w:after="40" w:line="245" w:lineRule="auto"/>
            </w:pPr>
            <w:r>
              <w:rPr>
                <w:b/>
                <w:sz w:val="20"/>
              </w:rPr>
              <w:t>Current evidence and purpose</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THE TWINKLING</w:t>
            </w:r>
          </w:p>
        </w:tc>
        <w:tc>
          <w:tcPr>
            <w:tcW w:type="dxa" w:w="7128"/>
            <w:vAlign w:val="center"/>
            <w:tcMar>
              <w:top w:w="90" w:type="dxa"/>
              <w:left w:w="90" w:type="dxa"/>
              <w:bottom w:w="90" w:type="dxa"/>
              <w:right w:w="90" w:type="dxa"/>
            </w:tcMar>
            <w:shd w:fill="FFFFFF"/>
          </w:tcPr>
          <w:p>
            <w:pPr>
              <w:spacing w:after="40" w:line="245" w:lineRule="auto"/>
            </w:pPr>
            <w:r>
              <w:rPr>
                <w:sz w:val="20"/>
              </w:rPr>
              <w:t>Actual condensed eight-book source, with connected family mystery and biblical reading structure; translation work is underway.</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THE NET</w:t>
            </w:r>
          </w:p>
        </w:tc>
        <w:tc>
          <w:tcPr>
            <w:tcW w:type="dxa" w:w="7128"/>
            <w:vAlign w:val="center"/>
            <w:tcMar>
              <w:top w:w="90" w:type="dxa"/>
              <w:left w:w="90" w:type="dxa"/>
              <w:bottom w:w="90" w:type="dxa"/>
              <w:right w:w="90" w:type="dxa"/>
            </w:tcMar>
            <w:shd w:fill="F7F9FB"/>
          </w:tcPr>
          <w:p>
            <w:pPr>
              <w:spacing w:after="40" w:line="245" w:lineRule="auto"/>
            </w:pPr>
            <w:r>
              <w:rPr>
                <w:sz w:val="20"/>
              </w:rPr>
              <w:t>A development-manuscript file was located; its opening was inspected earlier. The entire document has not been re-audited for this dossier.</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Nathan Tabor of Owens Cross Roads</w:t>
            </w:r>
          </w:p>
        </w:tc>
        <w:tc>
          <w:tcPr>
            <w:tcW w:type="dxa" w:w="7128"/>
            <w:vAlign w:val="center"/>
            <w:tcMar>
              <w:top w:w="90" w:type="dxa"/>
              <w:left w:w="90" w:type="dxa"/>
              <w:bottom w:w="90" w:type="dxa"/>
              <w:right w:w="90" w:type="dxa"/>
            </w:tcMar>
            <w:shd w:fill="FFFFFF"/>
          </w:tcPr>
          <w:p>
            <w:pPr>
              <w:spacing w:after="40" w:line="245" w:lineRule="auto"/>
            </w:pPr>
            <w:r>
              <w:rPr>
                <w:sz w:val="20"/>
              </w:rPr>
              <w:t>A family-history opening manuscript was located; its opening was inspected earlier.</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THE COLOR OF TRUTH</w:t>
            </w:r>
          </w:p>
        </w:tc>
        <w:tc>
          <w:tcPr>
            <w:tcW w:type="dxa" w:w="7128"/>
            <w:vAlign w:val="center"/>
            <w:tcMar>
              <w:top w:w="90" w:type="dxa"/>
              <w:left w:w="90" w:type="dxa"/>
              <w:bottom w:w="90" w:type="dxa"/>
              <w:right w:w="90" w:type="dxa"/>
            </w:tcMar>
            <w:shd w:fill="F7F9FB"/>
          </w:tcPr>
          <w:p>
            <w:pPr>
              <w:spacing w:after="40" w:line="245" w:lineRule="auto"/>
            </w:pPr>
            <w:r>
              <w:rPr>
                <w:sz w:val="20"/>
              </w:rPr>
              <w:t>Current private import identifies a working manuscript and contains chapter-level translations concerning language, representation, patterns, and preservation.</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THE FOUR ELOHIM</w:t>
            </w:r>
          </w:p>
        </w:tc>
        <w:tc>
          <w:tcPr>
            <w:tcW w:type="dxa" w:w="7128"/>
            <w:vAlign w:val="center"/>
            <w:tcMar>
              <w:top w:w="90" w:type="dxa"/>
              <w:left w:w="90" w:type="dxa"/>
              <w:bottom w:w="90" w:type="dxa"/>
              <w:right w:w="90" w:type="dxa"/>
            </w:tcMar>
            <w:shd w:fill="FFFFFF"/>
          </w:tcPr>
          <w:p>
            <w:pPr>
              <w:spacing w:after="40" w:line="245" w:lineRule="auto"/>
            </w:pPr>
            <w:r>
              <w:rPr>
                <w:sz w:val="20"/>
              </w:rPr>
              <w:t>Current private import records a series bible. A series bible is not counted as all finished volumes.</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THE WAR OF THE ZILLA’S … IN THE LAND OF ILLA’S</w:t>
            </w:r>
          </w:p>
        </w:tc>
        <w:tc>
          <w:tcPr>
            <w:tcW w:type="dxa" w:w="7128"/>
            <w:vAlign w:val="center"/>
            <w:tcMar>
              <w:top w:w="90" w:type="dxa"/>
              <w:left w:w="90" w:type="dxa"/>
              <w:bottom w:w="90" w:type="dxa"/>
              <w:right w:w="90" w:type="dxa"/>
            </w:tcMar>
            <w:shd w:fill="F7F9FB"/>
          </w:tcPr>
          <w:p>
            <w:pPr>
              <w:spacing w:after="40" w:line="245" w:lineRule="auto"/>
            </w:pPr>
            <w:r>
              <w:rPr>
                <w:sz w:val="20"/>
              </w:rPr>
              <w:t>Current private import records a series bible and its source filename.</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Helplessness and Barnabas</w:t>
            </w:r>
          </w:p>
        </w:tc>
        <w:tc>
          <w:tcPr>
            <w:tcW w:type="dxa" w:w="7128"/>
            <w:vAlign w:val="center"/>
            <w:tcMar>
              <w:top w:w="90" w:type="dxa"/>
              <w:left w:w="90" w:type="dxa"/>
              <w:bottom w:w="90" w:type="dxa"/>
              <w:right w:w="90" w:type="dxa"/>
            </w:tcMar>
            <w:shd w:fill="FFFFFF"/>
          </w:tcPr>
          <w:p>
            <w:pPr>
              <w:spacing w:after="40" w:line="245" w:lineRule="auto"/>
            </w:pPr>
            <w:r>
              <w:rPr>
                <w:sz w:val="20"/>
              </w:rPr>
              <w:t>Current private import records an author-work entry, not a verified full manuscript in the import itself.</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THE TABOR SECRET SOCIETY</w:t>
            </w:r>
          </w:p>
        </w:tc>
        <w:tc>
          <w:tcPr>
            <w:tcW w:type="dxa" w:w="7128"/>
            <w:vAlign w:val="center"/>
            <w:tcMar>
              <w:top w:w="90" w:type="dxa"/>
              <w:left w:w="90" w:type="dxa"/>
              <w:bottom w:w="90" w:type="dxa"/>
              <w:right w:w="90" w:type="dxa"/>
            </w:tcMar>
            <w:shd w:fill="F7F9FB"/>
          </w:tcPr>
          <w:p>
            <w:pPr>
              <w:spacing w:after="40" w:line="245" w:lineRule="auto"/>
            </w:pPr>
            <w:r>
              <w:rPr>
                <w:sz w:val="20"/>
              </w:rPr>
              <w:t>Preserved 13-volume sequence in the inspected blueprint, supported by numerous indexed visual and reference assets.</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THE 13 G’S</w:t>
            </w:r>
          </w:p>
        </w:tc>
        <w:tc>
          <w:tcPr>
            <w:tcW w:type="dxa" w:w="7128"/>
            <w:vAlign w:val="center"/>
            <w:tcMar>
              <w:top w:w="90" w:type="dxa"/>
              <w:left w:w="90" w:type="dxa"/>
              <w:bottom w:w="90" w:type="dxa"/>
              <w:right w:w="90" w:type="dxa"/>
            </w:tcMar>
            <w:shd w:fill="FFFFFF"/>
          </w:tcPr>
          <w:p>
            <w:pPr>
              <w:spacing w:after="40" w:line="245" w:lineRule="auto"/>
            </w:pPr>
            <w:r>
              <w:rPr>
                <w:sz w:val="20"/>
              </w:rPr>
              <w:t>Separate thirteen-part research and educational program, reflected in D01–D13.</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THE BLACK TIME WIDOW</w:t>
            </w:r>
          </w:p>
        </w:tc>
        <w:tc>
          <w:tcPr>
            <w:tcW w:type="dxa" w:w="7128"/>
            <w:vAlign w:val="center"/>
            <w:tcMar>
              <w:top w:w="90" w:type="dxa"/>
              <w:left w:w="90" w:type="dxa"/>
              <w:bottom w:w="90" w:type="dxa"/>
              <w:right w:w="90" w:type="dxa"/>
            </w:tcMar>
            <w:shd w:fill="F7F9FB"/>
          </w:tcPr>
          <w:p>
            <w:pPr>
              <w:spacing w:after="40" w:line="245" w:lineRule="auto"/>
            </w:pPr>
            <w:r>
              <w:rPr>
                <w:sz w:val="20"/>
              </w:rPr>
              <w:t>Personal-source, literary, visual, and research family in the blueprint; multiple derivative book concepts are specified.</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THE TABOR TRINITY</w:t>
            </w:r>
          </w:p>
        </w:tc>
        <w:tc>
          <w:tcPr>
            <w:tcW w:type="dxa" w:w="7128"/>
            <w:vAlign w:val="center"/>
            <w:tcMar>
              <w:top w:w="90" w:type="dxa"/>
              <w:left w:w="90" w:type="dxa"/>
              <w:bottom w:w="90" w:type="dxa"/>
              <w:right w:w="90" w:type="dxa"/>
            </w:tcMar>
            <w:shd w:fill="FFFFFF"/>
          </w:tcPr>
          <w:p>
            <w:pPr>
              <w:spacing w:after="40" w:line="245" w:lineRule="auto"/>
            </w:pPr>
            <w:r>
              <w:rPr>
                <w:sz w:val="20"/>
              </w:rPr>
              <w:t>Canonical three-part light system and related creative/technical assets.</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ROOTS OF THE ROOTS; THE NOVELS OF TRUTH; THE COUNTER-LIBRARY</w:t>
            </w:r>
          </w:p>
        </w:tc>
        <w:tc>
          <w:tcPr>
            <w:tcW w:type="dxa" w:w="7128"/>
            <w:vAlign w:val="center"/>
            <w:tcMar>
              <w:top w:w="90" w:type="dxa"/>
              <w:left w:w="90" w:type="dxa"/>
              <w:bottom w:w="90" w:type="dxa"/>
              <w:right w:w="90" w:type="dxa"/>
            </w:tcMar>
            <w:shd w:fill="F7F9FB"/>
          </w:tcPr>
          <w:p>
            <w:pPr>
              <w:spacing w:after="40" w:line="245" w:lineRule="auto"/>
            </w:pPr>
            <w:r>
              <w:rPr>
                <w:sz w:val="20"/>
              </w:rPr>
              <w:t>Named planning families in the project record; their complete source documents were not freshly audited here.</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The Little Ants That Flew</w:t>
            </w:r>
          </w:p>
        </w:tc>
        <w:tc>
          <w:tcPr>
            <w:tcW w:type="dxa" w:w="7128"/>
            <w:vAlign w:val="center"/>
            <w:tcMar>
              <w:top w:w="90" w:type="dxa"/>
              <w:left w:w="90" w:type="dxa"/>
              <w:bottom w:w="90" w:type="dxa"/>
              <w:right w:w="90" w:type="dxa"/>
            </w:tcMar>
            <w:shd w:fill="FFFFFF"/>
          </w:tcPr>
          <w:p>
            <w:pPr>
              <w:spacing w:after="40" w:line="245" w:lineRule="auto"/>
            </w:pPr>
            <w:r>
              <w:rPr>
                <w:sz w:val="20"/>
              </w:rPr>
              <w:t>Existing user-origin story material and a separately generated draft; belongs in D27. The generated draft must remain distinguishable from the exact source.</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The Little Topless Pumpkin; Dog in the Fog; widow and raccoon families</w:t>
            </w:r>
          </w:p>
        </w:tc>
        <w:tc>
          <w:tcPr>
            <w:tcW w:type="dxa" w:w="7128"/>
            <w:vAlign w:val="center"/>
            <w:tcMar>
              <w:top w:w="90" w:type="dxa"/>
              <w:left w:w="90" w:type="dxa"/>
              <w:bottom w:w="90" w:type="dxa"/>
              <w:right w:w="90" w:type="dxa"/>
            </w:tcMar>
            <w:shd w:fill="F7F9FB"/>
          </w:tcPr>
          <w:p>
            <w:pPr>
              <w:spacing w:after="40" w:line="245" w:lineRule="auto"/>
            </w:pPr>
            <w:r>
              <w:rPr>
                <w:sz w:val="20"/>
              </w:rPr>
              <w:t>Department, story, or series concepts in the broader project record; individual completion varies and must be checked per item.</w:t>
            </w:r>
          </w:p>
        </w:tc>
      </w:tr>
    </w:tbl>
    <w:p>
      <w:pPr>
        <w:spacing w:after="40"/>
      </w:pPr>
    </w:p>
    <w:p>
      <w:r>
        <w:t>The broader literary method links a personal episode, a word, an image, a historical question, and a fictional counterpart. One source can support several different works when each has a genuinely distinct subject, story, audience, or research contribution. Simply changing titles or language does not establish a new original work.</w:t>
      </w:r>
    </w:p>
    <w:p>
      <w:pPr>
        <w:pStyle w:val="Heading1"/>
      </w:pPr>
      <w:r>
        <w:t>8 Canon and identity that must stay intact</w:t>
      </w:r>
    </w:p>
    <w:p>
      <w:r>
        <w:t>Nathan’s canonical Tabor Trinity order is:</w:t>
      </w:r>
    </w:p>
    <w:p>
      <w:r>
        <w:t xml:space="preserve">1. </w:t>
      </w:r>
      <w:r>
        <w:rPr>
          <w:b/>
        </w:rPr>
        <w:t>The Taboric Light</w:t>
      </w:r>
      <w:r>
        <w:t xml:space="preserve"> — Field/Ambient Source Field.</w:t>
      </w:r>
    </w:p>
    <w:p>
      <w:r>
        <w:t xml:space="preserve">2. </w:t>
      </w:r>
      <w:r>
        <w:rPr>
          <w:b/>
        </w:rPr>
        <w:t>The Light of Tabor</w:t>
      </w:r>
      <w:r>
        <w:t xml:space="preserve"> — Particle/Focused Manifest Beam/Weapon.</w:t>
      </w:r>
    </w:p>
    <w:p>
      <w:r>
        <w:t xml:space="preserve">3. </w:t>
      </w:r>
      <w:r>
        <w:rPr>
          <w:b/>
        </w:rPr>
        <w:t>The Tabor Light Cipher</w:t>
      </w:r>
      <w:r>
        <w:t xml:space="preserve"> — Wave/Vector Logic/System Blueprint.</w:t>
      </w:r>
    </w:p>
    <w:p>
      <w:r>
        <w:t>The third name must not drift into an assistant-created substitute. The associated Star, Book, Grail, Ark, light, and cipher assets belong to a shared creative vocabulary. Their existence as authored names and design systems does not by itself establish a new physical theory.</w:t>
      </w:r>
    </w:p>
    <w:p>
      <w:r>
        <w:t>THE TABOR SECRET SOCIETY retains its title, author attribution, motto, and thirteen-volume identity. Its recurring Witness Ledger asks who acted, who benefited, and who was harmed. The blueprint explicitly distinguishes the fictional organizing device from independently documented events and sources.</w:t>
      </w:r>
    </w:p>
    <w:p>
      <w:r>
        <w:t>Other recurring anchors include BUILD/CLEAR arithmetic, whole 0 and 1 states, left-to-right and right-to-left examination, above/middle/below arrangements, protection of innocence, root-word inquiry, and returning to the source before accepting a later interpretation. These recur across books, code, games, images, and research proposals.</w:t>
      </w:r>
    </w:p>
    <w:p>
      <w:r>
        <w:t>This repetition gives the work a recognizable authored identity. It also creates a practical maintenance requirement: a controlled canon file should record exact names, approved acronyms, character relationships, and quote variants so that assistants do not silently normalize them.</w:t>
      </w:r>
    </w:p>
    <w:p>
      <w:pPr>
        <w:pStyle w:val="Heading1"/>
      </w:pPr>
      <w:r>
        <w:t>9 Research genealogy history and source linked interpretation</w:t>
      </w:r>
    </w:p>
    <w:p>
      <w:r>
        <w:t>FIND THE TABOR is the principal family-history research thread. Its described scope includes spelling variants, local Alabama history, cemeteries and family registers, Tábor and related place names, resistance traditions, codes, archival sources, and potential connections across periods.</w:t>
      </w:r>
    </w:p>
    <w:p>
      <w:r>
        <w:t>The current catalog contains source references for harmonica-cipher work, Three Kings cipher code and labs, a master matrix cipher lab, and universal-media cipher material. These establish that the research family has produced identifiable artifacts. They do not, by themselves, verify every suggested historical or genealogical link.</w:t>
      </w:r>
    </w:p>
    <w:p>
      <w:r>
        <w:t>The central research requirement is to retain the original spelling, date, location, source, and identity of a person or entity. Shared names, reversible spellings, thematic similarities, and fictional parallels are useful prompts for investigation. A verified family connection additionally needs a documented chain between the people involved.</w:t>
      </w:r>
    </w:p>
    <w:p>
      <w:r>
        <w:t>Nathan’s wider history projects include ancient records, Per Ankh/House of Life centers, Ebla, Ugarit, Ashurbanipal, Alexandria, local sites, and a proposed walkable Tabor Earth. These are described ambitions for navigable historical knowledge. A completed reconstruction would distinguish surviving evidence, scholarly reconstruction, and creative scenery at the point where a user encounters them.</w:t>
      </w:r>
    </w:p>
    <w:p>
      <w:r>
        <w:t>His more recent cycle inquiry examines proposed 10-, 80-, 800-, 1,000-, 8,000-, 10,000-, 80,000-, and 100,000-year relationships alongside 13- and 17-year patterns. This dossier records that research direction; it does not certify that a single predictive historical mechanism has been demonstrated. A useful finished research product would publish its dataset, event-selection rules, comparison method, contrary examples, and results.</w:t>
      </w:r>
    </w:p>
    <w:p>
      <w:pPr>
        <w:pStyle w:val="Heading1"/>
      </w:pPr>
      <w:r>
        <w:t>10 WORDS MAMMARA and communication systems</w:t>
      </w:r>
    </w:p>
    <w:p>
      <w:r>
        <w:t>WORDS is intended to connect languages, historical usage, root forms, script, transliteration, source evidence, and interpretation. The connected catalog includes concept and prototype entries for a living library, historical forensics, and word exploration. These complement the edition pipeline: a word-level decision can feed a translation, while a translation can point back to its lexical evidence.</w:t>
      </w:r>
    </w:p>
    <w:p>
      <w:r>
        <w:t>The Universal Mammal Language/MAMMARA project is described in the broader record as a designed symbol-and-sound system. Its proposed components include 26 symbols, pronunciation mappings, grouped sound behaviors, cue patterns, audio assets, and an engine. Named files and generated audio appear in the prior project record, but the current engine and all audio were not independently tested in this dossier.</w:t>
      </w:r>
    </w:p>
    <w:p>
      <w:r>
        <w:t>A complete creative communication system would have a stable symbol inventory, pronunciation guide, meanings, grammar or combination rules, examples, and functioning tools. A claim that other species understand it would require separate behavioral evidence. An authored language and a demonstrated universal cross-species language are different achievements with different tests.</w:t>
      </w:r>
    </w:p>
    <w:p>
      <w:r>
        <w:t>Constructed language design, historical language recovery, living-language translation, and sound-cue experiments can coexist in one catalog. Their evidence and approval rules should remain specific to their purposes.</w:t>
      </w:r>
    </w:p>
    <w:p>
      <w:pPr>
        <w:pStyle w:val="Heading1"/>
      </w:pPr>
      <w:r>
        <w:t>11 Visual worlds games and educational media</w:t>
      </w:r>
    </w:p>
    <w:p>
      <w:r>
        <w:t>The indexed asset base contains many visual works, not merely prose. Named families include Secret Society crests and timelines, Tabor Trinity diagrams, Light Cipher emblems and wheels, sovereign engine imagery, cosmic couples, guardians, and related creative environments.</w:t>
      </w:r>
    </w:p>
    <w:p>
      <w:r>
        <w:t>The broader recent project record adds Rainbow Matter characters and companion material, the Black Matter Avenger/Brown Matter Revenger/White Matter Suspender family, elemental-clover diagrams, mirror and anatomical comparisons, horror-themed protective figures, throne concepts, and educational language images. These are creative assets or proposed interpretive frameworks; current file contents were not all re-opened for this report.</w:t>
      </w:r>
    </w:p>
    <w:p>
      <w:r>
        <w:t>The games and learning direction connects those visual systems to trials, boards, cipher labs, timelines, interactive reading, and historical environments. A character illustration is a completed illustration when delivered. A working game additionally needs rules, state transitions, interaction, persistence where intended, and playtesting. A book cover is not the manuscript it depicts.</w:t>
      </w:r>
    </w:p>
    <w:p>
      <w:r>
        <w:t>Nathan’s visual constraints are part of the design record: preserve named identities, avoid random humans, use his specified appearance when depicting him, and retain established terminology. Consistent enforcement of those requirements is a concrete quality task, not a cosmetic afterthought.</w:t>
      </w:r>
    </w:p>
    <w:p>
      <w:r>
        <w:t>A completed media program would make it possible to trace a character from canon to story, image, game behavior, and licensed publication without contradictory names or accidental reassignment of personal testimony to invented people.</w:t>
      </w:r>
    </w:p>
    <w:p>
      <w:pPr>
        <w:pStyle w:val="Heading1"/>
      </w:pPr>
      <w:r>
        <w:t>12 Personal archive testimony and ethical center</w:t>
      </w:r>
    </w:p>
    <w:p>
      <w:r>
        <w:t>Nathan’s self-described history, family, upbringing, religious experience, local geography, and experiences of hardship supply much of the project’s originating material. Owens Cross Roads, the preacher’s-family background, childhood recollections, family members, animals, homes, and personal sayings recur across the work.</w:t>
      </w:r>
    </w:p>
    <w:p>
      <w:r>
        <w:t>His repeatedly stated ethical focus is innocence and his rejection of cruelty presented as discipline or “tough love.” That focus is visible in the protective figures, criticism of institutions, witness-centered stories, and demand that difficult testimony not be erased by polite rewriting.</w:t>
      </w:r>
    </w:p>
    <w:p>
      <w:r>
        <w:t>The project’s source design should protect both the exact testimony and its attribution. A person’s account can be faithfully preserved without silently converting every statement about another person into an independently verified finding. The distinction belongs in the evidence record, rather than being inserted as unwanted alterations to the author’s quoted words.</w:t>
      </w:r>
    </w:p>
    <w:p>
      <w:r>
        <w:t>Private autobiographical material should remain private unless Nathan deliberately selects it for a public edition. The inspected ONE exports explicitly carry owner-only or no-publication settings. This dossier and its evidence bundle are being prepared as private working artifacts, not submitted or published to anyone else.</w:t>
      </w:r>
    </w:p>
    <w:p>
      <w:pPr>
        <w:pStyle w:val="Heading1"/>
      </w:pPr>
      <w:r>
        <w:t>13 How Nathan works my assessment of the observed process</w:t>
      </w:r>
    </w:p>
    <w:p>
      <w:r>
        <w:t>Nathan tends to work by expansion and connection. He takes a word, memory, image, number, character, or historical name and tests it against other arrangements: reversal, sound, root, color, position, family, era, and function. He then asks for outputs across several media. The work often moves from phrase to diagram, from diagram to story, from story to series, and from series to catalog or software module.</w:t>
      </w:r>
    </w:p>
    <w:p>
      <w:r>
        <w:t>This is an effective method for generating material and discovering questions worth pursuing. It produces recurring motifs and a recognizable voice. The amount of cataloged material and the number of distinct artifact types show sustained creative production in the accessible record.</w:t>
      </w:r>
    </w:p>
    <w:p>
      <w:r>
        <w:t>Nathan also repeatedly corrects drift: a title changed, a word omitted, an image identity substituted, an original statement softened, or a concept reduced to a summary. Those corrections reveal a strong authorship requirement. An assistant working with him should preserve exact sources first, then make its own additions identifiable and reversible.</w:t>
      </w:r>
    </w:p>
    <w:p>
      <w:r>
        <w:t>The breadth of this output makes consolidation especially valuable. A single authoritative version for each work, shared identifiers across formats, and a visible review queue would allow more of the existing material to become immediately usable. Nathan already has catalog and database components that can support that next stage.</w:t>
      </w:r>
    </w:p>
    <w:p>
      <w:r>
        <w:t xml:space="preserve">My practical assessment is specific: </w:t>
      </w:r>
      <w:r>
        <w:rPr>
          <w:b/>
        </w:rPr>
        <w:t>creative generation and connection are progressing, and the next stage can convert that momentum into a dependable publishing and research operation.</w:t>
      </w:r>
      <w:r>
        <w:t xml:space="preserve"> The existing databases and exports provide a foundation for source consolidation, completion accounting, and independent review. Making them authoritative and routinely usable would bring more of the work into readers’ hands.</w:t>
      </w:r>
    </w:p>
    <w:p>
      <w:r>
        <w:t>“How he is doing” in this dossier means how the observed work is progressing. The record supports persistence, authorship control, and substantial development activity. Nathan has tangible progress to build on: a developing archive, a defined architecture, identifiable creative families, and actual multilingual outputs. This assessment concerns his work and working process.</w:t>
      </w:r>
    </w:p>
    <w:p>
      <w:pPr>
        <w:pStyle w:val="Heading1"/>
      </w:pPr>
      <w:r>
        <w:t>14 Specific strengths and the corresponding next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4320"/>
      </w:tblGrid>
      <w:tr>
        <w:trPr>
          <w:cantSplit/>
          <w:tblHeader/>
        </w:trPr>
        <w:tc>
          <w:tcPr>
            <w:tcW w:type="dxa" w:w="2088"/>
            <w:vAlign w:val="center"/>
            <w:tcMar>
              <w:top w:w="90" w:type="dxa"/>
              <w:left w:w="90" w:type="dxa"/>
              <w:bottom w:w="90" w:type="dxa"/>
              <w:right w:w="90" w:type="dxa"/>
            </w:tcMar>
            <w:shd w:fill="E6EDF3"/>
          </w:tcPr>
          <w:p>
            <w:pPr>
              <w:spacing w:after="40" w:line="245" w:lineRule="auto"/>
            </w:pPr>
            <w:r>
              <w:rPr>
                <w:b/>
                <w:sz w:val="20"/>
              </w:rPr>
              <w:t>Demonstrated strength</w:t>
            </w:r>
          </w:p>
        </w:tc>
        <w:tc>
          <w:tcPr>
            <w:tcW w:type="dxa" w:w="3672"/>
            <w:vAlign w:val="center"/>
            <w:tcMar>
              <w:top w:w="90" w:type="dxa"/>
              <w:left w:w="90" w:type="dxa"/>
              <w:bottom w:w="90" w:type="dxa"/>
              <w:right w:w="90" w:type="dxa"/>
            </w:tcMar>
            <w:shd w:fill="E6EDF3"/>
          </w:tcPr>
          <w:p>
            <w:pPr>
              <w:spacing w:after="40" w:line="245" w:lineRule="auto"/>
            </w:pPr>
            <w:r>
              <w:rPr>
                <w:b/>
                <w:sz w:val="20"/>
              </w:rPr>
              <w:t>Evidence in this record</w:t>
            </w:r>
          </w:p>
        </w:tc>
        <w:tc>
          <w:tcPr>
            <w:tcW w:type="dxa" w:w="4320"/>
            <w:vAlign w:val="center"/>
            <w:tcMar>
              <w:top w:w="90" w:type="dxa"/>
              <w:left w:w="90" w:type="dxa"/>
              <w:bottom w:w="90" w:type="dxa"/>
              <w:right w:w="90" w:type="dxa"/>
            </w:tcMar>
            <w:shd w:fill="E6EDF3"/>
          </w:tcPr>
          <w:p>
            <w:pPr>
              <w:spacing w:after="40" w:line="245" w:lineRule="auto"/>
            </w:pPr>
            <w:r>
              <w:rPr>
                <w:b/>
                <w:sz w:val="20"/>
              </w:rPr>
              <w:t>Next test that makes it durable</w:t>
            </w:r>
          </w:p>
        </w:tc>
      </w:tr>
      <w:tr>
        <w:trPr>
          <w:cantSplit/>
        </w:trPr>
        <w:tc>
          <w:tcPr>
            <w:tcW w:type="dxa" w:w="2088"/>
            <w:vAlign w:val="center"/>
            <w:tcMar>
              <w:top w:w="90" w:type="dxa"/>
              <w:left w:w="90" w:type="dxa"/>
              <w:bottom w:w="90" w:type="dxa"/>
              <w:right w:w="90" w:type="dxa"/>
            </w:tcMar>
            <w:shd w:fill="FFFFFF"/>
          </w:tcPr>
          <w:p>
            <w:pPr>
              <w:spacing w:after="40" w:line="245" w:lineRule="auto"/>
            </w:pPr>
            <w:r>
              <w:rPr>
                <w:sz w:val="20"/>
              </w:rPr>
              <w:t>Strong project identity</w:t>
            </w:r>
          </w:p>
        </w:tc>
        <w:tc>
          <w:tcPr>
            <w:tcW w:type="dxa" w:w="3672"/>
            <w:vAlign w:val="center"/>
            <w:tcMar>
              <w:top w:w="90" w:type="dxa"/>
              <w:left w:w="90" w:type="dxa"/>
              <w:bottom w:w="90" w:type="dxa"/>
              <w:right w:w="90" w:type="dxa"/>
            </w:tcMar>
            <w:shd w:fill="FFFFFF"/>
          </w:tcPr>
          <w:p>
            <w:pPr>
              <w:spacing w:after="40" w:line="245" w:lineRule="auto"/>
            </w:pPr>
            <w:r>
              <w:rPr>
                <w:sz w:val="20"/>
              </w:rPr>
              <w:t>Repeated names, slogans, series structures, and canon</w:t>
            </w:r>
          </w:p>
        </w:tc>
        <w:tc>
          <w:tcPr>
            <w:tcW w:type="dxa" w:w="4320"/>
            <w:vAlign w:val="center"/>
            <w:tcMar>
              <w:top w:w="90" w:type="dxa"/>
              <w:left w:w="90" w:type="dxa"/>
              <w:bottom w:w="90" w:type="dxa"/>
              <w:right w:w="90" w:type="dxa"/>
            </w:tcMar>
            <w:shd w:fill="FFFFFF"/>
          </w:tcPr>
          <w:p>
            <w:pPr>
              <w:spacing w:after="40" w:line="245" w:lineRule="auto"/>
            </w:pPr>
            <w:r>
              <w:rPr>
                <w:sz w:val="20"/>
              </w:rPr>
              <w:t>One versioned canon register used by every derivative output.</w:t>
            </w:r>
          </w:p>
        </w:tc>
      </w:tr>
      <w:tr>
        <w:trPr>
          <w:cantSplit/>
        </w:trPr>
        <w:tc>
          <w:tcPr>
            <w:tcW w:type="dxa" w:w="2088"/>
            <w:vAlign w:val="center"/>
            <w:tcMar>
              <w:top w:w="90" w:type="dxa"/>
              <w:left w:w="90" w:type="dxa"/>
              <w:bottom w:w="90" w:type="dxa"/>
              <w:right w:w="90" w:type="dxa"/>
            </w:tcMar>
            <w:shd w:fill="F7F9FB"/>
          </w:tcPr>
          <w:p>
            <w:pPr>
              <w:spacing w:after="40" w:line="245" w:lineRule="auto"/>
            </w:pPr>
            <w:r>
              <w:rPr>
                <w:sz w:val="20"/>
              </w:rPr>
              <w:t>High conceptual throughput</w:t>
            </w:r>
          </w:p>
        </w:tc>
        <w:tc>
          <w:tcPr>
            <w:tcW w:type="dxa" w:w="3672"/>
            <w:vAlign w:val="center"/>
            <w:tcMar>
              <w:top w:w="90" w:type="dxa"/>
              <w:left w:w="90" w:type="dxa"/>
              <w:bottom w:w="90" w:type="dxa"/>
              <w:right w:w="90" w:type="dxa"/>
            </w:tcMar>
            <w:shd w:fill="F7F9FB"/>
          </w:tcPr>
          <w:p>
            <w:pPr>
              <w:spacing w:after="40" w:line="245" w:lineRule="auto"/>
            </w:pPr>
            <w:r>
              <w:rPr>
                <w:sz w:val="20"/>
              </w:rPr>
              <w:t>1,301 blueprint concepts and a large mixed project catalog</w:t>
            </w:r>
          </w:p>
        </w:tc>
        <w:tc>
          <w:tcPr>
            <w:tcW w:type="dxa" w:w="4320"/>
            <w:vAlign w:val="center"/>
            <w:tcMar>
              <w:top w:w="90" w:type="dxa"/>
              <w:left w:w="90" w:type="dxa"/>
              <w:bottom w:w="90" w:type="dxa"/>
              <w:right w:w="90" w:type="dxa"/>
            </w:tcMar>
            <w:shd w:fill="F7F9FB"/>
          </w:tcPr>
          <w:p>
            <w:pPr>
              <w:spacing w:after="40" w:line="245" w:lineRule="auto"/>
            </w:pPr>
            <w:r>
              <w:rPr>
                <w:sz w:val="20"/>
              </w:rPr>
              <w:t>Distinctness review and complete manuscripts for selected proposals.</w:t>
            </w:r>
          </w:p>
        </w:tc>
      </w:tr>
      <w:tr>
        <w:trPr>
          <w:cantSplit/>
        </w:trPr>
        <w:tc>
          <w:tcPr>
            <w:tcW w:type="dxa" w:w="2088"/>
            <w:vAlign w:val="center"/>
            <w:tcMar>
              <w:top w:w="90" w:type="dxa"/>
              <w:left w:w="90" w:type="dxa"/>
              <w:bottom w:w="90" w:type="dxa"/>
              <w:right w:w="90" w:type="dxa"/>
            </w:tcMar>
            <w:shd w:fill="FFFFFF"/>
          </w:tcPr>
          <w:p>
            <w:pPr>
              <w:spacing w:after="40" w:line="245" w:lineRule="auto"/>
            </w:pPr>
            <w:r>
              <w:rPr>
                <w:sz w:val="20"/>
              </w:rPr>
              <w:t>Cross-format production</w:t>
            </w:r>
          </w:p>
        </w:tc>
        <w:tc>
          <w:tcPr>
            <w:tcW w:type="dxa" w:w="3672"/>
            <w:vAlign w:val="center"/>
            <w:tcMar>
              <w:top w:w="90" w:type="dxa"/>
              <w:left w:w="90" w:type="dxa"/>
              <w:bottom w:w="90" w:type="dxa"/>
              <w:right w:w="90" w:type="dxa"/>
            </w:tcMar>
            <w:shd w:fill="FFFFFF"/>
          </w:tcPr>
          <w:p>
            <w:pPr>
              <w:spacing w:after="40" w:line="245" w:lineRule="auto"/>
            </w:pPr>
            <w:r>
              <w:rPr>
                <w:sz w:val="20"/>
              </w:rPr>
              <w:t>Text, images, code references, HTML and ZIP prototypes, audio references</w:t>
            </w:r>
          </w:p>
        </w:tc>
        <w:tc>
          <w:tcPr>
            <w:tcW w:type="dxa" w:w="4320"/>
            <w:vAlign w:val="center"/>
            <w:tcMar>
              <w:top w:w="90" w:type="dxa"/>
              <w:left w:w="90" w:type="dxa"/>
              <w:bottom w:w="90" w:type="dxa"/>
              <w:right w:w="90" w:type="dxa"/>
            </w:tcMar>
            <w:shd w:fill="FFFFFF"/>
          </w:tcPr>
          <w:p>
            <w:pPr>
              <w:spacing w:after="40" w:line="245" w:lineRule="auto"/>
            </w:pPr>
            <w:r>
              <w:rPr>
                <w:sz w:val="20"/>
              </w:rPr>
              <w:t>Verified links between source, derivative, version, and reader-facing artifact.</w:t>
            </w:r>
          </w:p>
        </w:tc>
      </w:tr>
      <w:tr>
        <w:trPr>
          <w:cantSplit/>
        </w:trPr>
        <w:tc>
          <w:tcPr>
            <w:tcW w:type="dxa" w:w="2088"/>
            <w:vAlign w:val="center"/>
            <w:tcMar>
              <w:top w:w="90" w:type="dxa"/>
              <w:left w:w="90" w:type="dxa"/>
              <w:bottom w:w="90" w:type="dxa"/>
              <w:right w:w="90" w:type="dxa"/>
            </w:tcMar>
            <w:shd w:fill="F7F9FB"/>
          </w:tcPr>
          <w:p>
            <w:pPr>
              <w:spacing w:after="40" w:line="245" w:lineRule="auto"/>
            </w:pPr>
            <w:r>
              <w:rPr>
                <w:sz w:val="20"/>
              </w:rPr>
              <w:t>Demand for source fidelity</w:t>
            </w:r>
          </w:p>
        </w:tc>
        <w:tc>
          <w:tcPr>
            <w:tcW w:type="dxa" w:w="3672"/>
            <w:vAlign w:val="center"/>
            <w:tcMar>
              <w:top w:w="90" w:type="dxa"/>
              <w:left w:w="90" w:type="dxa"/>
              <w:bottom w:w="90" w:type="dxa"/>
              <w:right w:w="90" w:type="dxa"/>
            </w:tcMar>
            <w:shd w:fill="F7F9FB"/>
          </w:tcPr>
          <w:p>
            <w:pPr>
              <w:spacing w:after="40" w:line="245" w:lineRule="auto"/>
            </w:pPr>
            <w:r>
              <w:rPr>
                <w:sz w:val="20"/>
              </w:rPr>
              <w:t>Repeated instructions and the successful TWINKLING source check</w:t>
            </w:r>
          </w:p>
        </w:tc>
        <w:tc>
          <w:tcPr>
            <w:tcW w:type="dxa" w:w="4320"/>
            <w:vAlign w:val="center"/>
            <w:tcMar>
              <w:top w:w="90" w:type="dxa"/>
              <w:left w:w="90" w:type="dxa"/>
              <w:bottom w:w="90" w:type="dxa"/>
              <w:right w:w="90" w:type="dxa"/>
            </w:tcMar>
            <w:shd w:fill="F7F9FB"/>
          </w:tcPr>
          <w:p>
            <w:pPr>
              <w:spacing w:after="40" w:line="245" w:lineRule="auto"/>
            </w:pPr>
            <w:r>
              <w:rPr>
                <w:sz w:val="20"/>
              </w:rPr>
              <w:t>Exact-source preservation applied to the whole located corpus.</w:t>
            </w:r>
          </w:p>
        </w:tc>
      </w:tr>
      <w:tr>
        <w:trPr>
          <w:cantSplit/>
        </w:trPr>
        <w:tc>
          <w:tcPr>
            <w:tcW w:type="dxa" w:w="2088"/>
            <w:vAlign w:val="center"/>
            <w:tcMar>
              <w:top w:w="90" w:type="dxa"/>
              <w:left w:w="90" w:type="dxa"/>
              <w:bottom w:w="90" w:type="dxa"/>
              <w:right w:w="90" w:type="dxa"/>
            </w:tcMar>
            <w:shd w:fill="FFFFFF"/>
          </w:tcPr>
          <w:p>
            <w:pPr>
              <w:spacing w:after="40" w:line="245" w:lineRule="auto"/>
            </w:pPr>
            <w:r>
              <w:rPr>
                <w:sz w:val="20"/>
              </w:rPr>
              <w:t>Systems thinking</w:t>
            </w:r>
          </w:p>
        </w:tc>
        <w:tc>
          <w:tcPr>
            <w:tcW w:type="dxa" w:w="3672"/>
            <w:vAlign w:val="center"/>
            <w:tcMar>
              <w:top w:w="90" w:type="dxa"/>
              <w:left w:w="90" w:type="dxa"/>
              <w:bottom w:w="90" w:type="dxa"/>
              <w:right w:w="90" w:type="dxa"/>
            </w:tcMar>
            <w:shd w:fill="FFFFFF"/>
          </w:tcPr>
          <w:p>
            <w:pPr>
              <w:spacing w:after="40" w:line="245" w:lineRule="auto"/>
            </w:pPr>
            <w:r>
              <w:rPr>
                <w:sz w:val="20"/>
              </w:rPr>
              <w:t>Departments, work IDs, language profiles, relationship exports, workflow gates</w:t>
            </w:r>
          </w:p>
        </w:tc>
        <w:tc>
          <w:tcPr>
            <w:tcW w:type="dxa" w:w="4320"/>
            <w:vAlign w:val="center"/>
            <w:tcMar>
              <w:top w:w="90" w:type="dxa"/>
              <w:left w:w="90" w:type="dxa"/>
              <w:bottom w:w="90" w:type="dxa"/>
              <w:right w:w="90" w:type="dxa"/>
            </w:tcMar>
            <w:shd w:fill="FFFFFF"/>
          </w:tcPr>
          <w:p>
            <w:pPr>
              <w:spacing w:after="40" w:line="245" w:lineRule="auto"/>
            </w:pPr>
            <w:r>
              <w:rPr>
                <w:sz w:val="20"/>
              </w:rPr>
              <w:t>One tested end-to-end path from original to retrieved, approved edition.</w:t>
            </w:r>
          </w:p>
        </w:tc>
      </w:tr>
      <w:tr>
        <w:trPr>
          <w:cantSplit/>
        </w:trPr>
        <w:tc>
          <w:tcPr>
            <w:tcW w:type="dxa" w:w="2088"/>
            <w:vAlign w:val="center"/>
            <w:tcMar>
              <w:top w:w="90" w:type="dxa"/>
              <w:left w:w="90" w:type="dxa"/>
              <w:bottom w:w="90" w:type="dxa"/>
              <w:right w:w="90" w:type="dxa"/>
            </w:tcMar>
            <w:shd w:fill="F7F9FB"/>
          </w:tcPr>
          <w:p>
            <w:pPr>
              <w:spacing w:after="40" w:line="245" w:lineRule="auto"/>
            </w:pPr>
            <w:r>
              <w:rPr>
                <w:sz w:val="20"/>
              </w:rPr>
              <w:t>Broad translation ambition</w:t>
            </w:r>
          </w:p>
        </w:tc>
        <w:tc>
          <w:tcPr>
            <w:tcW w:type="dxa" w:w="3672"/>
            <w:vAlign w:val="center"/>
            <w:tcMar>
              <w:top w:w="90" w:type="dxa"/>
              <w:left w:w="90" w:type="dxa"/>
              <w:bottom w:w="90" w:type="dxa"/>
              <w:right w:w="90" w:type="dxa"/>
            </w:tcMar>
            <w:shd w:fill="F7F9FB"/>
          </w:tcPr>
          <w:p>
            <w:pPr>
              <w:spacing w:after="40" w:line="245" w:lineRule="auto"/>
            </w:pPr>
            <w:r>
              <w:rPr>
                <w:sz w:val="20"/>
              </w:rPr>
              <w:t>26 TWINKLING drafts and separate multilingual chapter drafts</w:t>
            </w:r>
          </w:p>
        </w:tc>
        <w:tc>
          <w:tcPr>
            <w:tcW w:type="dxa" w:w="4320"/>
            <w:vAlign w:val="center"/>
            <w:tcMar>
              <w:top w:w="90" w:type="dxa"/>
              <w:left w:w="90" w:type="dxa"/>
              <w:bottom w:w="90" w:type="dxa"/>
              <w:right w:w="90" w:type="dxa"/>
            </w:tcMar>
            <w:shd w:fill="F7F9FB"/>
          </w:tcPr>
          <w:p>
            <w:pPr>
              <w:spacing w:after="40" w:line="245" w:lineRule="auto"/>
            </w:pPr>
            <w:r>
              <w:rPr>
                <w:sz w:val="20"/>
              </w:rPr>
              <w:t>Qualified review of a small complete set, with corrections preserved.</w:t>
            </w:r>
          </w:p>
        </w:tc>
      </w:tr>
      <w:tr>
        <w:trPr>
          <w:cantSplit/>
        </w:trPr>
        <w:tc>
          <w:tcPr>
            <w:tcW w:type="dxa" w:w="2088"/>
            <w:vAlign w:val="center"/>
            <w:tcMar>
              <w:top w:w="90" w:type="dxa"/>
              <w:left w:w="90" w:type="dxa"/>
              <w:bottom w:w="90" w:type="dxa"/>
              <w:right w:w="90" w:type="dxa"/>
            </w:tcMar>
            <w:shd w:fill="FFFFFF"/>
          </w:tcPr>
          <w:p>
            <w:pPr>
              <w:spacing w:after="40" w:line="245" w:lineRule="auto"/>
            </w:pPr>
            <w:r>
              <w:rPr>
                <w:sz w:val="20"/>
              </w:rPr>
              <w:t>Persistence in revision</w:t>
            </w:r>
          </w:p>
        </w:tc>
        <w:tc>
          <w:tcPr>
            <w:tcW w:type="dxa" w:w="3672"/>
            <w:vAlign w:val="center"/>
            <w:tcMar>
              <w:top w:w="90" w:type="dxa"/>
              <w:left w:w="90" w:type="dxa"/>
              <w:bottom w:w="90" w:type="dxa"/>
              <w:right w:w="90" w:type="dxa"/>
            </w:tcMar>
            <w:shd w:fill="FFFFFF"/>
          </w:tcPr>
          <w:p>
            <w:pPr>
              <w:spacing w:after="40" w:line="245" w:lineRule="auto"/>
            </w:pPr>
            <w:r>
              <w:rPr>
                <w:sz w:val="20"/>
              </w:rPr>
              <w:t>Repeated corrections to omissions and naming drift</w:t>
            </w:r>
          </w:p>
        </w:tc>
        <w:tc>
          <w:tcPr>
            <w:tcW w:type="dxa" w:w="4320"/>
            <w:vAlign w:val="center"/>
            <w:tcMar>
              <w:top w:w="90" w:type="dxa"/>
              <w:left w:w="90" w:type="dxa"/>
              <w:bottom w:w="90" w:type="dxa"/>
              <w:right w:w="90" w:type="dxa"/>
            </w:tcMar>
            <w:shd w:fill="FFFFFF"/>
          </w:tcPr>
          <w:p>
            <w:pPr>
              <w:spacing w:after="40" w:line="245" w:lineRule="auto"/>
            </w:pPr>
            <w:r>
              <w:rPr>
                <w:sz w:val="20"/>
              </w:rPr>
              <w:t>A repeatable acceptance checklist that prevents the same errors.</w:t>
            </w:r>
          </w:p>
        </w:tc>
      </w:tr>
    </w:tbl>
    <w:p>
      <w:pPr>
        <w:spacing w:after="40"/>
      </w:pPr>
    </w:p>
    <w:p>
      <w:r>
        <w:t>Each of these tests gives another part of the larger vision a clear, demonstrable completion point.</w:t>
      </w:r>
    </w:p>
    <w:p>
      <w:pPr>
        <w:pStyle w:val="Heading1"/>
      </w:pPr>
      <w:r>
        <w:t>15 What will be present when the defined system is finished</w:t>
      </w:r>
    </w:p>
    <w:p>
      <w:r>
        <w:t>The following describes the intended finished condition and the results that would demonstrate it.</w:t>
      </w:r>
    </w:p>
    <w:p>
      <w:r>
        <w:rPr>
          <w:b/>
        </w:rPr>
        <w:t>A recoverable original archive.</w:t>
      </w:r>
      <w:r>
        <w:t xml:space="preserve"> Every located manuscript, image, recording, code file, and testimony has an identity, provenance, version, and protected original. A user can recover the exact source after edits, translations, and reorganizations.</w:t>
      </w:r>
    </w:p>
    <w:p>
      <w:r>
        <w:rPr>
          <w:b/>
        </w:rPr>
        <w:t>A reconciled work catalog.</w:t>
      </w:r>
      <w:r>
        <w:t xml:space="preserve"> Each distinct book has one work identity, its series and volume position, its actual manuscript, and a recorded completion state. Duplicate exports and renamed copies do not inflate the original-book total. The reported 2,000+ corpus can then be assessed as a corpus rather than inferred from scattered references.</w:t>
      </w:r>
    </w:p>
    <w:p>
      <w:r>
        <w:rPr>
          <w:b/>
        </w:rPr>
        <w:t>A navigable knowledge system.</w:t>
      </w:r>
      <w:r>
        <w:t xml:space="preserve"> People, places, eras, language forms, sources, claims, characters, images, and software modules connect through typed links. A reader can follow why a connection was made and what evidence supports it.</w:t>
      </w:r>
    </w:p>
    <w:p>
      <w:r>
        <w:rPr>
          <w:b/>
        </w:rPr>
        <w:t>A functioning publishing pipeline.</w:t>
      </w:r>
      <w:r>
        <w:t xml:space="preserve"> Manuscripts proceed through drafting, revision, review, approval, formatting, and preservation. The system records which exact artifact passed each check. A later edit creates a new version rather than inheriting an old approval automatically.</w:t>
      </w:r>
    </w:p>
    <w:p>
      <w:r>
        <w:rPr>
          <w:b/>
        </w:rPr>
        <w:t>A supported multilingual edition program.</w:t>
      </w:r>
      <w:r>
        <w:t xml:space="preserve"> Documented target varieties receive actual editions with competent review. Unsupported targets remain visibly unresolved. Scripts, right-to-left layout, accessibility, audio, and other formats receive the checks required by their medium.</w:t>
      </w:r>
    </w:p>
    <w:p>
      <w:r>
        <w:rPr>
          <w:b/>
        </w:rPr>
        <w:t>A unified reader and workbench.</w:t>
      </w:r>
      <w:r>
        <w:t xml:space="preserve"> ONE retrieves originals and editions, displays provenance, navigates relationships, and opens the appropriate language or creative tools. The application proves these functions through real retrieval and recovery tests.</w:t>
      </w:r>
    </w:p>
    <w:p>
      <w:r>
        <w:rPr>
          <w:b/>
        </w:rPr>
        <w:t>A coherent creative universe.</w:t>
      </w:r>
      <w:r>
        <w:t xml:space="preserve"> Books, characters, visual assets, games, and educational adaptations share controlled names and relationships while remaining distinguishable as their own works. Personal history is not accidentally rewritten as fictional biography.</w:t>
      </w:r>
    </w:p>
    <w:p>
      <w:r>
        <w:rPr>
          <w:b/>
        </w:rPr>
        <w:t>A research program with visible evidence.</w:t>
      </w:r>
      <w:r>
        <w:t xml:space="preserve"> Historical, genealogical, linguistic, and scientific proposals retain their questions and sources. Conclusions become stronger through testing rather than through repeated wording. Unresolved questions remain searchable and do not disappear from the archive.</w:t>
      </w:r>
    </w:p>
    <w:p>
      <w:r>
        <w:rPr>
          <w:b/>
        </w:rPr>
        <w:t>A sustainable operating model.</w:t>
      </w:r>
      <w:r>
        <w:t xml:space="preserve"> The project measures drafting throughput, review effort, corrections, acceptance, storage, recovery, and cost. Expansion follows observed capacity. The blueprint’s scale scenarios remain scenarios until operational measurements support them.</w:t>
      </w:r>
    </w:p>
    <w:p>
      <w:r>
        <w:t>Reaching 33 million original works would be an additional institutional-scale achievement beyond building this system. The system can become useful and complete for an agreed scope long before every possible address is occupied. Filling every catalog address is not required to prove that an original was preserved, a reader works, or an edition was competently translated.</w:t>
      </w:r>
    </w:p>
    <w:p>
      <w:pPr>
        <w:pStyle w:val="Heading1"/>
      </w:pPr>
      <w:r>
        <w:t>16 Completion gates for the next phase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4320"/>
      </w:tblGrid>
      <w:tr>
        <w:trPr>
          <w:cantSplit/>
          <w:tblHeader/>
        </w:trPr>
        <w:tc>
          <w:tcPr>
            <w:tcW w:type="dxa" w:w="2088"/>
            <w:vAlign w:val="center"/>
            <w:tcMar>
              <w:top w:w="90" w:type="dxa"/>
              <w:left w:w="90" w:type="dxa"/>
              <w:bottom w:w="90" w:type="dxa"/>
              <w:right w:w="90" w:type="dxa"/>
            </w:tcMar>
            <w:shd w:fill="E6EDF3"/>
          </w:tcPr>
          <w:p>
            <w:pPr>
              <w:spacing w:after="40" w:line="245" w:lineRule="auto"/>
            </w:pPr>
            <w:r>
              <w:rPr>
                <w:b/>
                <w:sz w:val="20"/>
              </w:rPr>
              <w:t>Gate</w:t>
            </w:r>
          </w:p>
        </w:tc>
        <w:tc>
          <w:tcPr>
            <w:tcW w:type="dxa" w:w="3672"/>
            <w:vAlign w:val="center"/>
            <w:tcMar>
              <w:top w:w="90" w:type="dxa"/>
              <w:left w:w="90" w:type="dxa"/>
              <w:bottom w:w="90" w:type="dxa"/>
              <w:right w:w="90" w:type="dxa"/>
            </w:tcMar>
            <w:shd w:fill="E6EDF3"/>
          </w:tcPr>
          <w:p>
            <w:pPr>
              <w:spacing w:after="40" w:line="245" w:lineRule="auto"/>
            </w:pPr>
            <w:r>
              <w:rPr>
                <w:b/>
                <w:sz w:val="20"/>
              </w:rPr>
              <w:t>Required result</w:t>
            </w:r>
          </w:p>
        </w:tc>
        <w:tc>
          <w:tcPr>
            <w:tcW w:type="dxa" w:w="4320"/>
            <w:vAlign w:val="center"/>
            <w:tcMar>
              <w:top w:w="90" w:type="dxa"/>
              <w:left w:w="90" w:type="dxa"/>
              <w:bottom w:w="90" w:type="dxa"/>
              <w:right w:w="90" w:type="dxa"/>
            </w:tcMar>
            <w:shd w:fill="E6EDF3"/>
          </w:tcPr>
          <w:p>
            <w:pPr>
              <w:spacing w:after="40" w:line="245" w:lineRule="auto"/>
            </w:pPr>
            <w:r>
              <w:rPr>
                <w:b/>
                <w:sz w:val="20"/>
              </w:rPr>
              <w:t>What it establishes</w:t>
            </w:r>
          </w:p>
        </w:tc>
      </w:tr>
      <w:tr>
        <w:trPr>
          <w:cantSplit/>
        </w:trPr>
        <w:tc>
          <w:tcPr>
            <w:tcW w:type="dxa" w:w="2088"/>
            <w:vAlign w:val="center"/>
            <w:tcMar>
              <w:top w:w="90" w:type="dxa"/>
              <w:left w:w="90" w:type="dxa"/>
              <w:bottom w:w="90" w:type="dxa"/>
              <w:right w:w="90" w:type="dxa"/>
            </w:tcMar>
            <w:shd w:fill="FFFFFF"/>
          </w:tcPr>
          <w:p>
            <w:pPr>
              <w:spacing w:after="40" w:line="245" w:lineRule="auto"/>
            </w:pPr>
            <w:r>
              <w:rPr>
                <w:sz w:val="20"/>
              </w:rPr>
              <w:t>Source census</w:t>
            </w:r>
          </w:p>
        </w:tc>
        <w:tc>
          <w:tcPr>
            <w:tcW w:type="dxa" w:w="3672"/>
            <w:vAlign w:val="center"/>
            <w:tcMar>
              <w:top w:w="90" w:type="dxa"/>
              <w:left w:w="90" w:type="dxa"/>
              <w:bottom w:w="90" w:type="dxa"/>
              <w:right w:w="90" w:type="dxa"/>
            </w:tcMar>
            <w:shd w:fill="FFFFFF"/>
          </w:tcPr>
          <w:p>
            <w:pPr>
              <w:spacing w:after="40" w:line="245" w:lineRule="auto"/>
            </w:pPr>
            <w:r>
              <w:rPr>
                <w:sz w:val="20"/>
              </w:rPr>
              <w:t>Locate, hash, classify, and deduplicate the actual manuscript corpus</w:t>
            </w:r>
          </w:p>
        </w:tc>
        <w:tc>
          <w:tcPr>
            <w:tcW w:type="dxa" w:w="4320"/>
            <w:vAlign w:val="center"/>
            <w:tcMar>
              <w:top w:w="90" w:type="dxa"/>
              <w:left w:w="90" w:type="dxa"/>
              <w:bottom w:w="90" w:type="dxa"/>
              <w:right w:w="90" w:type="dxa"/>
            </w:tcMar>
            <w:shd w:fill="FFFFFF"/>
          </w:tcPr>
          <w:p>
            <w:pPr>
              <w:spacing w:after="40" w:line="245" w:lineRule="auto"/>
            </w:pPr>
            <w:r>
              <w:rPr>
                <w:sz w:val="20"/>
              </w:rPr>
              <w:t>A defensible original-work inventory.</w:t>
            </w:r>
          </w:p>
        </w:tc>
      </w:tr>
      <w:tr>
        <w:trPr>
          <w:cantSplit/>
        </w:trPr>
        <w:tc>
          <w:tcPr>
            <w:tcW w:type="dxa" w:w="2088"/>
            <w:vAlign w:val="center"/>
            <w:tcMar>
              <w:top w:w="90" w:type="dxa"/>
              <w:left w:w="90" w:type="dxa"/>
              <w:bottom w:w="90" w:type="dxa"/>
              <w:right w:w="90" w:type="dxa"/>
            </w:tcMar>
            <w:shd w:fill="F7F9FB"/>
          </w:tcPr>
          <w:p>
            <w:pPr>
              <w:spacing w:after="40" w:line="245" w:lineRule="auto"/>
            </w:pPr>
            <w:r>
              <w:rPr>
                <w:sz w:val="20"/>
              </w:rPr>
              <w:t>Canon control</w:t>
            </w:r>
          </w:p>
        </w:tc>
        <w:tc>
          <w:tcPr>
            <w:tcW w:type="dxa" w:w="3672"/>
            <w:vAlign w:val="center"/>
            <w:tcMar>
              <w:top w:w="90" w:type="dxa"/>
              <w:left w:w="90" w:type="dxa"/>
              <w:bottom w:w="90" w:type="dxa"/>
              <w:right w:w="90" w:type="dxa"/>
            </w:tcMar>
            <w:shd w:fill="F7F9FB"/>
          </w:tcPr>
          <w:p>
            <w:pPr>
              <w:spacing w:after="40" w:line="245" w:lineRule="auto"/>
            </w:pPr>
            <w:r>
              <w:rPr>
                <w:sz w:val="20"/>
              </w:rPr>
              <w:t>Approve exact names, titles, source quotes, and variant rules</w:t>
            </w:r>
          </w:p>
        </w:tc>
        <w:tc>
          <w:tcPr>
            <w:tcW w:type="dxa" w:w="4320"/>
            <w:vAlign w:val="center"/>
            <w:tcMar>
              <w:top w:w="90" w:type="dxa"/>
              <w:left w:w="90" w:type="dxa"/>
              <w:bottom w:w="90" w:type="dxa"/>
              <w:right w:w="90" w:type="dxa"/>
            </w:tcMar>
            <w:shd w:fill="F7F9FB"/>
          </w:tcPr>
          <w:p>
            <w:pPr>
              <w:spacing w:after="40" w:line="245" w:lineRule="auto"/>
            </w:pPr>
            <w:r>
              <w:rPr>
                <w:sz w:val="20"/>
              </w:rPr>
              <w:t>Stable authorship across future outputs.</w:t>
            </w:r>
          </w:p>
        </w:tc>
      </w:tr>
      <w:tr>
        <w:trPr>
          <w:cantSplit/>
        </w:trPr>
        <w:tc>
          <w:tcPr>
            <w:tcW w:type="dxa" w:w="2088"/>
            <w:vAlign w:val="center"/>
            <w:tcMar>
              <w:top w:w="90" w:type="dxa"/>
              <w:left w:w="90" w:type="dxa"/>
              <w:bottom w:w="90" w:type="dxa"/>
              <w:right w:w="90" w:type="dxa"/>
            </w:tcMar>
            <w:shd w:fill="FFFFFF"/>
          </w:tcPr>
          <w:p>
            <w:pPr>
              <w:spacing w:after="40" w:line="245" w:lineRule="auto"/>
            </w:pPr>
            <w:r>
              <w:rPr>
                <w:sz w:val="20"/>
              </w:rPr>
              <w:t>Integration proof</w:t>
            </w:r>
          </w:p>
        </w:tc>
        <w:tc>
          <w:tcPr>
            <w:tcW w:type="dxa" w:w="3672"/>
            <w:vAlign w:val="center"/>
            <w:tcMar>
              <w:top w:w="90" w:type="dxa"/>
              <w:left w:w="90" w:type="dxa"/>
              <w:bottom w:w="90" w:type="dxa"/>
              <w:right w:w="90" w:type="dxa"/>
            </w:tcMar>
            <w:shd w:fill="FFFFFF"/>
          </w:tcPr>
          <w:p>
            <w:pPr>
              <w:spacing w:after="40" w:line="245" w:lineRule="auto"/>
            </w:pPr>
            <w:r>
              <w:rPr>
                <w:sz w:val="20"/>
              </w:rPr>
              <w:t>Retrieve a source and its derivative through ONE using stable IDs</w:t>
            </w:r>
          </w:p>
        </w:tc>
        <w:tc>
          <w:tcPr>
            <w:tcW w:type="dxa" w:w="4320"/>
            <w:vAlign w:val="center"/>
            <w:tcMar>
              <w:top w:w="90" w:type="dxa"/>
              <w:left w:w="90" w:type="dxa"/>
              <w:bottom w:w="90" w:type="dxa"/>
              <w:right w:w="90" w:type="dxa"/>
            </w:tcMar>
            <w:shd w:fill="FFFFFF"/>
          </w:tcPr>
          <w:p>
            <w:pPr>
              <w:spacing w:after="40" w:line="245" w:lineRule="auto"/>
            </w:pPr>
            <w:r>
              <w:rPr>
                <w:sz w:val="20"/>
              </w:rPr>
              <w:t>A working connection, beyond an import file.</w:t>
            </w:r>
          </w:p>
        </w:tc>
      </w:tr>
      <w:tr>
        <w:trPr>
          <w:cantSplit/>
        </w:trPr>
        <w:tc>
          <w:tcPr>
            <w:tcW w:type="dxa" w:w="2088"/>
            <w:vAlign w:val="center"/>
            <w:tcMar>
              <w:top w:w="90" w:type="dxa"/>
              <w:left w:w="90" w:type="dxa"/>
              <w:bottom w:w="90" w:type="dxa"/>
              <w:right w:w="90" w:type="dxa"/>
            </w:tcMar>
            <w:shd w:fill="F7F9FB"/>
          </w:tcPr>
          <w:p>
            <w:pPr>
              <w:spacing w:after="40" w:line="245" w:lineRule="auto"/>
            </w:pPr>
            <w:r>
              <w:rPr>
                <w:sz w:val="20"/>
              </w:rPr>
              <w:t>Translation pilot</w:t>
            </w:r>
          </w:p>
        </w:tc>
        <w:tc>
          <w:tcPr>
            <w:tcW w:type="dxa" w:w="3672"/>
            <w:vAlign w:val="center"/>
            <w:tcMar>
              <w:top w:w="90" w:type="dxa"/>
              <w:left w:w="90" w:type="dxa"/>
              <w:bottom w:w="90" w:type="dxa"/>
              <w:right w:w="90" w:type="dxa"/>
            </w:tcMar>
            <w:shd w:fill="F7F9FB"/>
          </w:tcPr>
          <w:p>
            <w:pPr>
              <w:spacing w:after="40" w:line="245" w:lineRule="auto"/>
            </w:pPr>
            <w:r>
              <w:rPr>
                <w:sz w:val="20"/>
              </w:rPr>
              <w:t>Review a complete work in selected supported languages</w:t>
            </w:r>
          </w:p>
        </w:tc>
        <w:tc>
          <w:tcPr>
            <w:tcW w:type="dxa" w:w="4320"/>
            <w:vAlign w:val="center"/>
            <w:tcMar>
              <w:top w:w="90" w:type="dxa"/>
              <w:left w:w="90" w:type="dxa"/>
              <w:bottom w:w="90" w:type="dxa"/>
              <w:right w:w="90" w:type="dxa"/>
            </w:tcMar>
            <w:shd w:fill="F7F9FB"/>
          </w:tcPr>
          <w:p>
            <w:pPr>
              <w:spacing w:after="40" w:line="245" w:lineRule="auto"/>
            </w:pPr>
            <w:r>
              <w:rPr>
                <w:sz w:val="20"/>
              </w:rPr>
              <w:t>Evidence about fidelity, time, and correction effort.</w:t>
            </w:r>
          </w:p>
        </w:tc>
      </w:tr>
      <w:tr>
        <w:trPr>
          <w:cantSplit/>
        </w:trPr>
        <w:tc>
          <w:tcPr>
            <w:tcW w:type="dxa" w:w="2088"/>
            <w:vAlign w:val="center"/>
            <w:tcMar>
              <w:top w:w="90" w:type="dxa"/>
              <w:left w:w="90" w:type="dxa"/>
              <w:bottom w:w="90" w:type="dxa"/>
              <w:right w:w="90" w:type="dxa"/>
            </w:tcMar>
            <w:shd w:fill="FFFFFF"/>
          </w:tcPr>
          <w:p>
            <w:pPr>
              <w:spacing w:after="40" w:line="245" w:lineRule="auto"/>
            </w:pPr>
            <w:r>
              <w:rPr>
                <w:sz w:val="20"/>
              </w:rPr>
              <w:t>Recovery proof</w:t>
            </w:r>
          </w:p>
        </w:tc>
        <w:tc>
          <w:tcPr>
            <w:tcW w:type="dxa" w:w="3672"/>
            <w:vAlign w:val="center"/>
            <w:tcMar>
              <w:top w:w="90" w:type="dxa"/>
              <w:left w:w="90" w:type="dxa"/>
              <w:bottom w:w="90" w:type="dxa"/>
              <w:right w:w="90" w:type="dxa"/>
            </w:tcMar>
            <w:shd w:fill="FFFFFF"/>
          </w:tcPr>
          <w:p>
            <w:pPr>
              <w:spacing w:after="40" w:line="245" w:lineRule="auto"/>
            </w:pPr>
            <w:r>
              <w:rPr>
                <w:sz w:val="20"/>
              </w:rPr>
              <w:t>Restore originals, catalog, and edition history from backup</w:t>
            </w:r>
          </w:p>
        </w:tc>
        <w:tc>
          <w:tcPr>
            <w:tcW w:type="dxa" w:w="4320"/>
            <w:vAlign w:val="center"/>
            <w:tcMar>
              <w:top w:w="90" w:type="dxa"/>
              <w:left w:w="90" w:type="dxa"/>
              <w:bottom w:w="90" w:type="dxa"/>
              <w:right w:w="90" w:type="dxa"/>
            </w:tcMar>
            <w:shd w:fill="FFFFFF"/>
          </w:tcPr>
          <w:p>
            <w:pPr>
              <w:spacing w:after="40" w:line="245" w:lineRule="auto"/>
            </w:pPr>
            <w:r>
              <w:rPr>
                <w:sz w:val="20"/>
              </w:rPr>
              <w:t>Preservation that survives a failure.</w:t>
            </w:r>
          </w:p>
        </w:tc>
      </w:tr>
      <w:tr>
        <w:trPr>
          <w:cantSplit/>
        </w:trPr>
        <w:tc>
          <w:tcPr>
            <w:tcW w:type="dxa" w:w="2088"/>
            <w:vAlign w:val="center"/>
            <w:tcMar>
              <w:top w:w="90" w:type="dxa"/>
              <w:left w:w="90" w:type="dxa"/>
              <w:bottom w:w="90" w:type="dxa"/>
              <w:right w:w="90" w:type="dxa"/>
            </w:tcMar>
            <w:shd w:fill="F7F9FB"/>
          </w:tcPr>
          <w:p>
            <w:pPr>
              <w:spacing w:after="40" w:line="245" w:lineRule="auto"/>
            </w:pPr>
            <w:r>
              <w:rPr>
                <w:sz w:val="20"/>
              </w:rPr>
              <w:t>Publication gate</w:t>
            </w:r>
          </w:p>
        </w:tc>
        <w:tc>
          <w:tcPr>
            <w:tcW w:type="dxa" w:w="3672"/>
            <w:vAlign w:val="center"/>
            <w:tcMar>
              <w:top w:w="90" w:type="dxa"/>
              <w:left w:w="90" w:type="dxa"/>
              <w:bottom w:w="90" w:type="dxa"/>
              <w:right w:w="90" w:type="dxa"/>
            </w:tcMar>
            <w:shd w:fill="F7F9FB"/>
          </w:tcPr>
          <w:p>
            <w:pPr>
              <w:spacing w:after="40" w:line="245" w:lineRule="auto"/>
            </w:pPr>
            <w:r>
              <w:rPr>
                <w:sz w:val="20"/>
              </w:rPr>
              <w:t>Approve specific content and formats for a specified release</w:t>
            </w:r>
          </w:p>
        </w:tc>
        <w:tc>
          <w:tcPr>
            <w:tcW w:type="dxa" w:w="4320"/>
            <w:vAlign w:val="center"/>
            <w:tcMar>
              <w:top w:w="90" w:type="dxa"/>
              <w:left w:w="90" w:type="dxa"/>
              <w:bottom w:w="90" w:type="dxa"/>
              <w:right w:w="90" w:type="dxa"/>
            </w:tcMar>
            <w:shd w:fill="F7F9FB"/>
          </w:tcPr>
          <w:p>
            <w:pPr>
              <w:spacing w:after="40" w:line="245" w:lineRule="auto"/>
            </w:pPr>
            <w:r>
              <w:rPr>
                <w:sz w:val="20"/>
              </w:rPr>
              <w:t>A clear distinction between private drafts and public editions.</w:t>
            </w:r>
          </w:p>
        </w:tc>
      </w:tr>
      <w:tr>
        <w:trPr>
          <w:cantSplit/>
        </w:trPr>
        <w:tc>
          <w:tcPr>
            <w:tcW w:type="dxa" w:w="2088"/>
            <w:vAlign w:val="center"/>
            <w:tcMar>
              <w:top w:w="90" w:type="dxa"/>
              <w:left w:w="90" w:type="dxa"/>
              <w:bottom w:w="90" w:type="dxa"/>
              <w:right w:w="90" w:type="dxa"/>
            </w:tcMar>
            <w:shd w:fill="FFFFFF"/>
          </w:tcPr>
          <w:p>
            <w:pPr>
              <w:spacing w:after="40" w:line="245" w:lineRule="auto"/>
            </w:pPr>
            <w:r>
              <w:rPr>
                <w:sz w:val="20"/>
              </w:rPr>
              <w:t>Scale gate</w:t>
            </w:r>
          </w:p>
        </w:tc>
        <w:tc>
          <w:tcPr>
            <w:tcW w:type="dxa" w:w="3672"/>
            <w:vAlign w:val="center"/>
            <w:tcMar>
              <w:top w:w="90" w:type="dxa"/>
              <w:left w:w="90" w:type="dxa"/>
              <w:bottom w:w="90" w:type="dxa"/>
              <w:right w:w="90" w:type="dxa"/>
            </w:tcMar>
            <w:shd w:fill="FFFFFF"/>
          </w:tcPr>
          <w:p>
            <w:pPr>
              <w:spacing w:after="40" w:line="245" w:lineRule="auto"/>
            </w:pPr>
            <w:r>
              <w:rPr>
                <w:sz w:val="20"/>
              </w:rPr>
              <w:t>Measure a repeated batch with observed review and storage costs</w:t>
            </w:r>
          </w:p>
        </w:tc>
        <w:tc>
          <w:tcPr>
            <w:tcW w:type="dxa" w:w="4320"/>
            <w:vAlign w:val="center"/>
            <w:tcMar>
              <w:top w:w="90" w:type="dxa"/>
              <w:left w:w="90" w:type="dxa"/>
              <w:bottom w:w="90" w:type="dxa"/>
              <w:right w:w="90" w:type="dxa"/>
            </w:tcMar>
            <w:shd w:fill="FFFFFF"/>
          </w:tcPr>
          <w:p>
            <w:pPr>
              <w:spacing w:after="40" w:line="245" w:lineRule="auto"/>
            </w:pPr>
            <w:r>
              <w:rPr>
                <w:sz w:val="20"/>
              </w:rPr>
              <w:t>A sound basis for expanding throughput.</w:t>
            </w:r>
          </w:p>
        </w:tc>
      </w:tr>
    </w:tbl>
    <w:p>
      <w:pPr>
        <w:spacing w:after="40"/>
      </w:pPr>
    </w:p>
    <w:p>
      <w:r>
        <w:t>The 0/1 model can record each gate as established or not established while retaining the supporting evidence and a reason for any hold. It does not need to erase drafts, ongoing research, or incomplete tasks to remain binary.</w:t>
      </w:r>
    </w:p>
    <w:p>
      <w:pPr>
        <w:pStyle w:val="Heading1"/>
      </w:pPr>
      <w:r>
        <w:t>17 Ten standards that strengthen the achievement record</w:t>
      </w:r>
    </w:p>
    <w:p>
      <w:r>
        <w:t xml:space="preserve">1. </w:t>
      </w:r>
      <w:r>
        <w:rPr>
          <w:b/>
        </w:rPr>
        <w:t>Give originals and editions their own credit.</w:t>
      </w:r>
      <w:r>
        <w:t xml:space="preserve"> The 133,332,000 planned pairings describe the reach sought for a 2,000-work source corpus.</w:t>
      </w:r>
    </w:p>
    <w:p>
      <w:r>
        <w:t xml:space="preserve">2. </w:t>
      </w:r>
      <w:r>
        <w:rPr>
          <w:b/>
        </w:rPr>
        <w:t>Keep expansion room visible.</w:t>
      </w:r>
      <w:r>
        <w:t xml:space="preserve"> The 66,666 catalog ceiling provides a defined planning capacity while each destination receives its own documented identity.</w:t>
      </w:r>
    </w:p>
    <w:p>
      <w:r>
        <w:t xml:space="preserve">3. </w:t>
      </w:r>
      <w:r>
        <w:rPr>
          <w:b/>
        </w:rPr>
        <w:t>Preserve the registry’s breadth.</w:t>
      </w:r>
      <w:r>
        <w:t xml:space="preserve"> The 7,918 profiles retain living, historical, constructed, grouping, and research categories without flattening them into one type.</w:t>
      </w:r>
    </w:p>
    <w:p>
      <w:r>
        <w:t xml:space="preserve">4. </w:t>
      </w:r>
      <w:r>
        <w:rPr>
          <w:b/>
        </w:rPr>
        <w:t>Credit every authorship layer accurately.</w:t>
      </w:r>
      <w:r>
        <w:t xml:space="preserve"> Nathan’s exact words, his originating blueprint, a developed manuscript, and a translation each retain their own provenance.</w:t>
      </w:r>
    </w:p>
    <w:p>
      <w:r>
        <w:t xml:space="preserve">5. </w:t>
      </w:r>
      <w:r>
        <w:rPr>
          <w:b/>
        </w:rPr>
        <w:t>Build on successful structural checks.</w:t>
      </w:r>
      <w:r>
        <w:t xml:space="preserve"> Independent language review can now assess and improve the saved drafts for meaning and voice.</w:t>
      </w:r>
    </w:p>
    <w:p>
      <w:r>
        <w:t xml:space="preserve">6. </w:t>
      </w:r>
      <w:r>
        <w:rPr>
          <w:b/>
        </w:rPr>
        <w:t>Let every language work naturally.</w:t>
      </w:r>
      <w:r>
        <w:t xml:space="preserve"> Semantic coverage and readable expression take priority over forcing English sentence patterns onto other languages.</w:t>
      </w:r>
    </w:p>
    <w:p>
      <w:r>
        <w:t xml:space="preserve">7. </w:t>
      </w:r>
      <w:r>
        <w:rPr>
          <w:b/>
        </w:rPr>
        <w:t>Make readiness actionable.</w:t>
      </w:r>
      <w:r>
        <w:t xml:space="preserve"> A 0 flag identifies evidence still to establish; a 1 flag records a satisfied requirement. Both are whole, useful states.</w:t>
      </w:r>
    </w:p>
    <w:p>
      <w:r>
        <w:t xml:space="preserve">8. </w:t>
      </w:r>
      <w:r>
        <w:rPr>
          <w:b/>
        </w:rPr>
        <w:t>Turn recorded connections into demonstrated functions.</w:t>
      </w:r>
      <w:r>
        <w:t xml:space="preserve"> Import files and relationship records provide a foundation for end-to-end application tests.</w:t>
      </w:r>
    </w:p>
    <w:p>
      <w:r>
        <w:t xml:space="preserve">9. </w:t>
      </w:r>
      <w:r>
        <w:rPr>
          <w:b/>
        </w:rPr>
        <w:t>Recognize every type of contribution.</w:t>
      </w:r>
      <w:r>
        <w:t xml:space="preserve"> Books, chapters, series bibles, illustrations, code, concepts, and editions each receive accurate counts and appropriate credit.</w:t>
      </w:r>
    </w:p>
    <w:p>
      <w:r>
        <w:t xml:space="preserve">10. </w:t>
      </w:r>
      <w:r>
        <w:rPr>
          <w:b/>
        </w:rPr>
        <w:t>Record actual production clearly.</w:t>
      </w:r>
      <w:r>
        <w:t xml:space="preserve"> Saved batches demonstrate work performed. A future background service becomes another achievement when it is implemented and tested; none is running from this thread now.</w:t>
      </w:r>
    </w:p>
    <w:p>
      <w:r>
        <w:t>These standards make the accomplishment record stronger, easier to explain, and ready to grow as additional work is verified.</w:t>
      </w:r>
    </w:p>
    <w:p>
      <w:pPr>
        <w:pStyle w:val="Heading1"/>
      </w:pPr>
      <w:r>
        <w:t>18 ChatGPT concluding assessment</w:t>
      </w:r>
    </w:p>
    <w:p>
      <w:r>
        <w:t>Nathan, the accessible work shows a person building an interconnected archive, publishing program, research practice, software environment, and authored creative world. The concrete record includes real source text, actual translations, database structures, catalog exports, and named prototypes. Your work has reached the point where preservation, reconciliation, and completion evidence are as important as adding new material.</w:t>
      </w:r>
    </w:p>
    <w:p>
      <w:r>
        <w:t>Your demand that your words remain yours is justified as an authorship requirement. The most useful service I can provide is to preserve those words exactly, identify what I add, and give you counts you can inspect. Clear stages give every source, draft, concept, and researched connection its proper place and its next opportunity to advance.</w:t>
      </w:r>
    </w:p>
    <w:p>
      <w:r>
        <w:t>The strongest finished form of your project is a system in which someone can ask where a statement came from, what you originally said, what was changed, which edition they are reading, and what supports it—and receive a precise answer. That would make the collection useful at every scale and allow its creative range to remain intact, connected to its roots, and available to future readers.</w:t>
      </w:r>
    </w:p>
    <w:p>
      <w:r>
        <w:rPr>
          <w:b/>
        </w:rPr>
        <w:t>Prepared by ChatGPT from the available project record. Nathan’s quoted words and named works remain attributed to Nathan; this assessment and its organizing prose are mine.</w:t>
      </w:r>
    </w:p>
    <w:p>
      <w:pPr>
        <w:pStyle w:val="Heading1"/>
      </w:pPr>
      <w:r>
        <w:t>Evidence register</w:t>
      </w:r>
    </w:p>
    <w:p>
      <w:r>
        <w:t>The linked files are the inspected or explicitly identified project sources. Linked references are not a claim that every underlying asset has been independently 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0" w:type="dxa"/>
              <w:left w:w="90" w:type="dxa"/>
              <w:bottom w:w="90" w:type="dxa"/>
              <w:right w:w="90" w:type="dxa"/>
            </w:tcMar>
            <w:shd w:fill="E6EDF3"/>
          </w:tcPr>
          <w:p>
            <w:pPr>
              <w:spacing w:after="40" w:line="245" w:lineRule="auto"/>
            </w:pPr>
            <w:r>
              <w:rPr>
                <w:b/>
                <w:sz w:val="20"/>
              </w:rPr>
              <w:t>Evidence</w:t>
            </w:r>
          </w:p>
        </w:tc>
        <w:tc>
          <w:tcPr>
            <w:tcW w:type="dxa" w:w="7128"/>
            <w:vAlign w:val="center"/>
            <w:tcMar>
              <w:top w:w="90" w:type="dxa"/>
              <w:left w:w="90" w:type="dxa"/>
              <w:bottom w:w="90" w:type="dxa"/>
              <w:right w:w="90" w:type="dxa"/>
            </w:tcMar>
            <w:shd w:fill="E6EDF3"/>
          </w:tcPr>
          <w:p>
            <w:pPr>
              <w:spacing w:after="40" w:line="245" w:lineRule="auto"/>
            </w:pPr>
            <w:r>
              <w:rPr>
                <w:b/>
                <w:sz w:val="20"/>
              </w:rPr>
              <w:t>Scope used in this dossier</w:t>
            </w:r>
          </w:p>
        </w:tc>
      </w:tr>
      <w:tr>
        <w:trPr>
          <w:cantSplit/>
        </w:trPr>
        <w:tc>
          <w:tcPr>
            <w:tcW w:type="dxa" w:w="2952"/>
            <w:vAlign w:val="center"/>
            <w:tcMar>
              <w:top w:w="90" w:type="dxa"/>
              <w:left w:w="90" w:type="dxa"/>
              <w:bottom w:w="90" w:type="dxa"/>
              <w:right w:w="90" w:type="dxa"/>
            </w:tcMar>
            <w:shd w:fill="FFFFFF"/>
          </w:tcPr>
          <w:p>
            <w:pPr>
              <w:spacing w:after="40" w:line="245" w:lineRule="auto"/>
            </w:pPr>
            <w:hyperlink r:id="rId9">
              <w:r>
                <w:rPr>
                  <w:color w:val="24527A"/>
                </w:rPr>
                <w:t>Expanded master blueprint</w:t>
              </w:r>
            </w:hyperlink>
          </w:p>
        </w:tc>
        <w:tc>
          <w:tcPr>
            <w:tcW w:type="dxa" w:w="7128"/>
            <w:vAlign w:val="center"/>
            <w:tcMar>
              <w:top w:w="90" w:type="dxa"/>
              <w:left w:w="90" w:type="dxa"/>
              <w:bottom w:w="90" w:type="dxa"/>
              <w:right w:w="90" w:type="dxa"/>
            </w:tcMar>
            <w:shd w:fill="FFFFFF"/>
          </w:tcPr>
          <w:p>
            <w:pPr>
              <w:spacing w:after="40" w:line="245" w:lineRule="auto"/>
            </w:pPr>
            <w:r>
              <w:rPr>
                <w:sz w:val="20"/>
              </w:rPr>
              <w:t>Full text inspected: departments, work capacity, 1,301 concepts, 13 passes, series titles, architecture.</w:t>
            </w:r>
          </w:p>
        </w:tc>
      </w:tr>
      <w:tr>
        <w:trPr>
          <w:cantSplit/>
        </w:trPr>
        <w:tc>
          <w:tcPr>
            <w:tcW w:type="dxa" w:w="2952"/>
            <w:vAlign w:val="center"/>
            <w:tcMar>
              <w:top w:w="90" w:type="dxa"/>
              <w:left w:w="90" w:type="dxa"/>
              <w:bottom w:w="90" w:type="dxa"/>
              <w:right w:w="90" w:type="dxa"/>
            </w:tcMar>
            <w:shd w:fill="F7F9FB"/>
          </w:tcPr>
          <w:p>
            <w:pPr>
              <w:spacing w:after="40" w:line="245" w:lineRule="auto"/>
            </w:pPr>
            <w:hyperlink r:id="rId10">
              <w:r>
                <w:rPr>
                  <w:color w:val="24527A"/>
                </w:rPr>
                <w:t>ONE connected add-on v2</w:t>
              </w:r>
            </w:hyperlink>
          </w:p>
        </w:tc>
        <w:tc>
          <w:tcPr>
            <w:tcW w:type="dxa" w:w="7128"/>
            <w:vAlign w:val="center"/>
            <w:tcMar>
              <w:top w:w="90" w:type="dxa"/>
              <w:left w:w="90" w:type="dxa"/>
              <w:bottom w:w="90" w:type="dxa"/>
              <w:right w:w="90" w:type="dxa"/>
            </w:tcMar>
            <w:shd w:fill="F7F9FB"/>
          </w:tcPr>
          <w:p>
            <w:pPr>
              <w:spacing w:after="40" w:line="245" w:lineRule="auto"/>
            </w:pPr>
            <w:r>
              <w:rPr>
                <w:sz w:val="20"/>
              </w:rPr>
              <w:t>Full JSON parsed: 2,193 records and collection counts. Underlying linked-file contents not all inspected.</w:t>
            </w:r>
          </w:p>
        </w:tc>
      </w:tr>
      <w:tr>
        <w:trPr>
          <w:cantSplit/>
        </w:trPr>
        <w:tc>
          <w:tcPr>
            <w:tcW w:type="dxa" w:w="2952"/>
            <w:vAlign w:val="center"/>
            <w:tcMar>
              <w:top w:w="90" w:type="dxa"/>
              <w:left w:w="90" w:type="dxa"/>
              <w:bottom w:w="90" w:type="dxa"/>
              <w:right w:w="90" w:type="dxa"/>
            </w:tcMar>
            <w:shd w:fill="FFFFFF"/>
          </w:tcPr>
          <w:p>
            <w:pPr>
              <w:spacing w:after="40" w:line="245" w:lineRule="auto"/>
            </w:pPr>
            <w:hyperlink r:id="rId11">
              <w:r>
                <w:rPr>
                  <w:color w:val="24527A"/>
                </w:rPr>
                <w:t>ONE relationships v2</w:t>
              </w:r>
            </w:hyperlink>
          </w:p>
        </w:tc>
        <w:tc>
          <w:tcPr>
            <w:tcW w:type="dxa" w:w="7128"/>
            <w:vAlign w:val="center"/>
            <w:tcMar>
              <w:top w:w="90" w:type="dxa"/>
              <w:left w:w="90" w:type="dxa"/>
              <w:bottom w:w="90" w:type="dxa"/>
              <w:right w:w="90" w:type="dxa"/>
            </w:tcMar>
            <w:shd w:fill="FFFFFF"/>
          </w:tcPr>
          <w:p>
            <w:pPr>
              <w:spacing w:after="40" w:line="245" w:lineRule="auto"/>
            </w:pPr>
            <w:r>
              <w:rPr>
                <w:sz w:val="20"/>
              </w:rPr>
              <w:t>Full JSON parsed: 480 relationship records and integration instructions.</w:t>
            </w:r>
          </w:p>
        </w:tc>
      </w:tr>
      <w:tr>
        <w:trPr>
          <w:cantSplit/>
        </w:trPr>
        <w:tc>
          <w:tcPr>
            <w:tcW w:type="dxa" w:w="2952"/>
            <w:vAlign w:val="center"/>
            <w:tcMar>
              <w:top w:w="90" w:type="dxa"/>
              <w:left w:w="90" w:type="dxa"/>
              <w:bottom w:w="90" w:type="dxa"/>
              <w:right w:w="90" w:type="dxa"/>
            </w:tcMar>
            <w:shd w:fill="F7F9FB"/>
          </w:tcPr>
          <w:p>
            <w:pPr>
              <w:spacing w:after="40" w:line="245" w:lineRule="auto"/>
            </w:pPr>
            <w:hyperlink r:id="rId12">
              <w:r>
                <w:rPr>
                  <w:color w:val="24527A"/>
                </w:rPr>
                <w:t>Private edition import</w:t>
              </w:r>
            </w:hyperlink>
          </w:p>
        </w:tc>
        <w:tc>
          <w:tcPr>
            <w:tcW w:type="dxa" w:w="7128"/>
            <w:vAlign w:val="center"/>
            <w:tcMar>
              <w:top w:w="90" w:type="dxa"/>
              <w:left w:w="90" w:type="dxa"/>
              <w:bottom w:w="90" w:type="dxa"/>
              <w:right w:w="90" w:type="dxa"/>
            </w:tcMar>
            <w:shd w:fill="F7F9FB"/>
          </w:tcPr>
          <w:p>
            <w:pPr>
              <w:spacing w:after="40" w:line="245" w:lineRule="auto"/>
            </w:pPr>
            <w:r>
              <w:rPr>
                <w:sz w:val="20"/>
              </w:rPr>
              <w:t>Full JSON assembled and parsed: four work records and 17 embedded chapter drafts.</w:t>
            </w:r>
          </w:p>
        </w:tc>
      </w:tr>
      <w:tr>
        <w:trPr>
          <w:cantSplit/>
        </w:trPr>
        <w:tc>
          <w:tcPr>
            <w:tcW w:type="dxa" w:w="2952"/>
            <w:vAlign w:val="center"/>
            <w:tcMar>
              <w:top w:w="90" w:type="dxa"/>
              <w:left w:w="90" w:type="dxa"/>
              <w:bottom w:w="90" w:type="dxa"/>
              <w:right w:w="90" w:type="dxa"/>
            </w:tcMar>
            <w:shd w:fill="FFFFFF"/>
          </w:tcPr>
          <w:p>
            <w:pPr>
              <w:spacing w:after="40" w:line="245" w:lineRule="auto"/>
            </w:pPr>
            <w:hyperlink r:id="rId13">
              <w:r>
                <w:rPr>
                  <w:color w:val="24527A"/>
                </w:rPr>
                <w:t>THE TWINKLING saved source</w:t>
              </w:r>
            </w:hyperlink>
          </w:p>
        </w:tc>
        <w:tc>
          <w:tcPr>
            <w:tcW w:type="dxa" w:w="7128"/>
            <w:vAlign w:val="center"/>
            <w:tcMar>
              <w:top w:w="90" w:type="dxa"/>
              <w:left w:w="90" w:type="dxa"/>
              <w:bottom w:w="90" w:type="dxa"/>
              <w:right w:w="90" w:type="dxa"/>
            </w:tcMar>
            <w:shd w:fill="FFFFFF"/>
          </w:tcPr>
          <w:p>
            <w:pPr>
              <w:spacing w:after="40" w:line="245" w:lineRule="auto"/>
            </w:pPr>
            <w:r>
              <w:rPr>
                <w:sz w:val="20"/>
              </w:rPr>
              <w:t>All 1,100 extracted lines reread; compared exactly with the retained source extract.</w:t>
            </w:r>
          </w:p>
        </w:tc>
      </w:tr>
      <w:tr>
        <w:trPr>
          <w:cantSplit/>
        </w:trPr>
        <w:tc>
          <w:tcPr>
            <w:tcW w:type="dxa" w:w="2952"/>
            <w:vAlign w:val="center"/>
            <w:tcMar>
              <w:top w:w="90" w:type="dxa"/>
              <w:left w:w="90" w:type="dxa"/>
              <w:bottom w:w="90" w:type="dxa"/>
              <w:right w:w="90" w:type="dxa"/>
            </w:tcMar>
            <w:shd w:fill="F7F9FB"/>
          </w:tcPr>
          <w:p>
            <w:pPr>
              <w:spacing w:after="40" w:line="245" w:lineRule="auto"/>
            </w:pPr>
            <w:hyperlink r:id="rId14">
              <w:r>
                <w:rPr>
                  <w:color w:val="24527A"/>
                </w:rPr>
                <w:t>Language database v0.2 package</w:t>
              </w:r>
            </w:hyperlink>
          </w:p>
        </w:tc>
        <w:tc>
          <w:tcPr>
            <w:tcW w:type="dxa" w:w="7128"/>
            <w:vAlign w:val="center"/>
            <w:tcMar>
              <w:top w:w="90" w:type="dxa"/>
              <w:left w:w="90" w:type="dxa"/>
              <w:bottom w:w="90" w:type="dxa"/>
              <w:right w:w="90" w:type="dxa"/>
            </w:tcMar>
            <w:shd w:fill="F7F9FB"/>
          </w:tcPr>
          <w:p>
            <w:pPr>
              <w:spacing w:after="40" w:line="245" w:lineRule="auto"/>
            </w:pPr>
            <w:r>
              <w:rPr>
                <w:sz w:val="20"/>
              </w:rPr>
              <w:t>Existing local implementation and README inspected; current translation database queried. This is not a full fresh code audit.</w:t>
            </w:r>
          </w:p>
        </w:tc>
      </w:tr>
      <w:tr>
        <w:trPr>
          <w:cantSplit/>
        </w:trPr>
        <w:tc>
          <w:tcPr>
            <w:tcW w:type="dxa" w:w="2952"/>
            <w:vAlign w:val="center"/>
            <w:tcMar>
              <w:top w:w="90" w:type="dxa"/>
              <w:left w:w="90" w:type="dxa"/>
              <w:bottom w:w="90" w:type="dxa"/>
              <w:right w:w="90" w:type="dxa"/>
            </w:tcMar>
            <w:shd w:fill="FFFFFF"/>
          </w:tcPr>
          <w:p>
            <w:pPr>
              <w:spacing w:after="40" w:line="245" w:lineRule="auto"/>
            </w:pPr>
            <w:hyperlink r:id="rId15">
              <w:r>
                <w:rPr>
                  <w:color w:val="24527A"/>
                </w:rPr>
                <w:t>Translation Batch 002</w:t>
              </w:r>
            </w:hyperlink>
          </w:p>
        </w:tc>
        <w:tc>
          <w:tcPr>
            <w:tcW w:type="dxa" w:w="7128"/>
            <w:vAlign w:val="center"/>
            <w:tcMar>
              <w:top w:w="90" w:type="dxa"/>
              <w:left w:w="90" w:type="dxa"/>
              <w:bottom w:w="90" w:type="dxa"/>
              <w:right w:w="90" w:type="dxa"/>
            </w:tcMar>
            <w:shd w:fill="FFFFFF"/>
          </w:tcPr>
          <w:p>
            <w:pPr>
              <w:spacing w:after="40" w:line="245" w:lineRule="auto"/>
            </w:pPr>
            <w:r>
              <w:rPr>
                <w:sz w:val="20"/>
              </w:rPr>
              <w:t>Local README, manuscript extracts, and database used to establish prior batch scope.</w:t>
            </w:r>
          </w:p>
        </w:tc>
      </w:tr>
      <w:tr>
        <w:trPr>
          <w:cantSplit/>
        </w:trPr>
        <w:tc>
          <w:tcPr>
            <w:tcW w:type="dxa" w:w="2952"/>
            <w:vAlign w:val="center"/>
            <w:tcMar>
              <w:top w:w="90" w:type="dxa"/>
              <w:left w:w="90" w:type="dxa"/>
              <w:bottom w:w="90" w:type="dxa"/>
              <w:right w:w="90" w:type="dxa"/>
            </w:tcMar>
            <w:shd w:fill="F7F9FB"/>
          </w:tcPr>
          <w:p>
            <w:pPr>
              <w:spacing w:after="40" w:line="245" w:lineRule="auto"/>
            </w:pPr>
            <w:r>
              <w:rPr>
                <w:sz w:val="20"/>
              </w:rPr>
              <w:t>THE NET and Owens Cross Roads manuscript records</w:t>
            </w:r>
          </w:p>
        </w:tc>
        <w:tc>
          <w:tcPr>
            <w:tcW w:type="dxa" w:w="7128"/>
            <w:vAlign w:val="center"/>
            <w:tcMar>
              <w:top w:w="90" w:type="dxa"/>
              <w:left w:w="90" w:type="dxa"/>
              <w:bottom w:w="90" w:type="dxa"/>
              <w:right w:w="90" w:type="dxa"/>
            </w:tcMar>
            <w:shd w:fill="F7F9FB"/>
          </w:tcPr>
          <w:p>
            <w:pPr>
              <w:spacing w:after="40" w:line="245" w:lineRule="auto"/>
            </w:pPr>
            <w:r>
              <w:rPr>
                <w:sz w:val="20"/>
              </w:rPr>
              <w:t>Files located and openings previously inspected; no fresh full-text review claimed.</w:t>
            </w:r>
          </w:p>
        </w:tc>
      </w:tr>
      <w:tr>
        <w:trPr>
          <w:cantSplit/>
        </w:trPr>
        <w:tc>
          <w:tcPr>
            <w:tcW w:type="dxa" w:w="2952"/>
            <w:vAlign w:val="center"/>
            <w:tcMar>
              <w:top w:w="90" w:type="dxa"/>
              <w:left w:w="90" w:type="dxa"/>
              <w:bottom w:w="90" w:type="dxa"/>
              <w:right w:w="90" w:type="dxa"/>
            </w:tcMar>
            <w:shd w:fill="FFFFFF"/>
          </w:tcPr>
          <w:p>
            <w:pPr>
              <w:spacing w:after="40" w:line="245" w:lineRule="auto"/>
            </w:pPr>
            <w:r>
              <w:rPr>
                <w:sz w:val="20"/>
              </w:rPr>
              <w:t>Current conversation and attributed prior project context</w:t>
            </w:r>
          </w:p>
        </w:tc>
        <w:tc>
          <w:tcPr>
            <w:tcW w:type="dxa" w:w="7128"/>
            <w:vAlign w:val="center"/>
            <w:tcMar>
              <w:top w:w="90" w:type="dxa"/>
              <w:left w:w="90" w:type="dxa"/>
              <w:bottom w:w="90" w:type="dxa"/>
              <w:right w:w="90" w:type="dxa"/>
            </w:tcMar>
            <w:shd w:fill="FFFFFF"/>
          </w:tcPr>
          <w:p>
            <w:pPr>
              <w:spacing w:after="40" w:line="245" w:lineRule="auto"/>
            </w:pPr>
            <w:r>
              <w:rPr>
                <w:sz w:val="20"/>
              </w:rPr>
              <w:t>Nathan’s corpus total, preferences, named ambitions, and broader project families. Reported evidence, not independent corroboration.</w:t>
            </w:r>
          </w:p>
        </w:tc>
      </w:tr>
    </w:tbl>
    <w:p>
      <w:pPr>
        <w:spacing w:after="40"/>
      </w:pPr>
    </w:p>
    <w:p>
      <w:r>
        <w:t>The accompanying JSON preserves the inspected connected catalog and private edition records. The source-integrity report preserves the specific text comparison. Neither is a substitute for backing up every referenced original file.</w:t>
      </w:r>
    </w:p>
    <w:p>
      <w:pPr>
        <w:pStyle w:val="Heading1"/>
      </w:pPr>
      <w:r>
        <w:t>Appendix A The complete 33 department framework</w:t>
      </w:r>
    </w:p>
    <w:p>
      <w:r>
        <w:t>The following is the department table preserved from the inspected blueprint. Every capacity figure describes planned addresses.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7056"/>
        <w:gridCol w:w="2160"/>
      </w:tblGrid>
      <w:tr>
        <w:trPr>
          <w:cantSplit/>
          <w:tblHeader/>
        </w:trPr>
        <w:tc>
          <w:tcPr>
            <w:tcW w:type="dxa" w:w="864"/>
            <w:vAlign w:val="center"/>
            <w:tcMar>
              <w:top w:w="90" w:type="dxa"/>
              <w:left w:w="90" w:type="dxa"/>
              <w:bottom w:w="90" w:type="dxa"/>
              <w:right w:w="90" w:type="dxa"/>
            </w:tcMar>
            <w:shd w:fill="E6EDF3"/>
          </w:tcPr>
          <w:p>
            <w:pPr>
              <w:spacing w:after="40" w:line="245" w:lineRule="auto"/>
            </w:pPr>
            <w:r>
              <w:rPr>
                <w:b/>
                <w:sz w:val="20"/>
              </w:rPr>
              <w:t>Code</w:t>
            </w:r>
          </w:p>
        </w:tc>
        <w:tc>
          <w:tcPr>
            <w:tcW w:type="dxa" w:w="7056"/>
            <w:vAlign w:val="center"/>
            <w:tcMar>
              <w:top w:w="90" w:type="dxa"/>
              <w:left w:w="90" w:type="dxa"/>
              <w:bottom w:w="90" w:type="dxa"/>
              <w:right w:w="90" w:type="dxa"/>
            </w:tcMar>
            <w:shd w:fill="E6EDF3"/>
          </w:tcPr>
          <w:p>
            <w:pPr>
              <w:spacing w:after="40" w:line="245" w:lineRule="auto"/>
            </w:pPr>
            <w:r>
              <w:rPr>
                <w:b/>
                <w:sz w:val="20"/>
              </w:rPr>
              <w:t>Department</w:t>
            </w:r>
          </w:p>
        </w:tc>
        <w:tc>
          <w:tcPr>
            <w:tcW w:type="dxa" w:w="2160"/>
            <w:vAlign w:val="center"/>
            <w:tcMar>
              <w:top w:w="90" w:type="dxa"/>
              <w:left w:w="90" w:type="dxa"/>
              <w:bottom w:w="90" w:type="dxa"/>
              <w:right w:w="90" w:type="dxa"/>
            </w:tcMar>
            <w:shd w:fill="E6EDF3"/>
          </w:tcPr>
          <w:p>
            <w:pPr>
              <w:spacing w:after="40" w:line="245" w:lineRule="auto"/>
            </w:pPr>
            <w:r>
              <w:rPr>
                <w:b/>
                <w:sz w:val="20"/>
              </w:rPr>
              <w:t>Planned address capacity</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D01</w:t>
            </w:r>
          </w:p>
        </w:tc>
        <w:tc>
          <w:tcPr>
            <w:tcW w:type="dxa" w:w="7056"/>
            <w:vAlign w:val="center"/>
            <w:tcMar>
              <w:top w:w="90" w:type="dxa"/>
              <w:left w:w="90" w:type="dxa"/>
              <w:bottom w:w="90" w:type="dxa"/>
              <w:right w:w="90" w:type="dxa"/>
            </w:tcMar>
            <w:shd w:fill="FFFFFF"/>
          </w:tcPr>
          <w:p>
            <w:pPr>
              <w:spacing w:after="40" w:line="245" w:lineRule="auto"/>
            </w:pPr>
            <w:r>
              <w:rPr>
                <w:sz w:val="20"/>
              </w:rPr>
              <w:t>GEMATRIA</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D02</w:t>
            </w:r>
          </w:p>
        </w:tc>
        <w:tc>
          <w:tcPr>
            <w:tcW w:type="dxa" w:w="7056"/>
            <w:vAlign w:val="center"/>
            <w:tcMar>
              <w:top w:w="90" w:type="dxa"/>
              <w:left w:w="90" w:type="dxa"/>
              <w:bottom w:w="90" w:type="dxa"/>
              <w:right w:w="90" w:type="dxa"/>
            </w:tcMar>
            <w:shd w:fill="F7F9FB"/>
          </w:tcPr>
          <w:p>
            <w:pPr>
              <w:spacing w:after="40" w:line="245" w:lineRule="auto"/>
            </w:pPr>
            <w:r>
              <w:rPr>
                <w:sz w:val="20"/>
              </w:rPr>
              <w:t>GEOMETRY</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D03</w:t>
            </w:r>
          </w:p>
        </w:tc>
        <w:tc>
          <w:tcPr>
            <w:tcW w:type="dxa" w:w="7056"/>
            <w:vAlign w:val="center"/>
            <w:tcMar>
              <w:top w:w="90" w:type="dxa"/>
              <w:left w:w="90" w:type="dxa"/>
              <w:bottom w:w="90" w:type="dxa"/>
              <w:right w:w="90" w:type="dxa"/>
            </w:tcMar>
            <w:shd w:fill="FFFFFF"/>
          </w:tcPr>
          <w:p>
            <w:pPr>
              <w:spacing w:after="40" w:line="245" w:lineRule="auto"/>
            </w:pPr>
            <w:r>
              <w:rPr>
                <w:sz w:val="20"/>
              </w:rPr>
              <w:t>GARGOYLES</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D04</w:t>
            </w:r>
          </w:p>
        </w:tc>
        <w:tc>
          <w:tcPr>
            <w:tcW w:type="dxa" w:w="7056"/>
            <w:vAlign w:val="center"/>
            <w:tcMar>
              <w:top w:w="90" w:type="dxa"/>
              <w:left w:w="90" w:type="dxa"/>
              <w:bottom w:w="90" w:type="dxa"/>
              <w:right w:w="90" w:type="dxa"/>
            </w:tcMar>
            <w:shd w:fill="F7F9FB"/>
          </w:tcPr>
          <w:p>
            <w:pPr>
              <w:spacing w:after="40" w:line="245" w:lineRule="auto"/>
            </w:pPr>
            <w:r>
              <w:rPr>
                <w:sz w:val="20"/>
              </w:rPr>
              <w:t>GAMBLING</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D05</w:t>
            </w:r>
          </w:p>
        </w:tc>
        <w:tc>
          <w:tcPr>
            <w:tcW w:type="dxa" w:w="7056"/>
            <w:vAlign w:val="center"/>
            <w:tcMar>
              <w:top w:w="90" w:type="dxa"/>
              <w:left w:w="90" w:type="dxa"/>
              <w:bottom w:w="90" w:type="dxa"/>
              <w:right w:w="90" w:type="dxa"/>
            </w:tcMar>
            <w:shd w:fill="FFFFFF"/>
          </w:tcPr>
          <w:p>
            <w:pPr>
              <w:spacing w:after="40" w:line="245" w:lineRule="auto"/>
            </w:pPr>
            <w:r>
              <w:rPr>
                <w:sz w:val="20"/>
              </w:rPr>
              <w:t>GEOLOGY</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D06</w:t>
            </w:r>
          </w:p>
        </w:tc>
        <w:tc>
          <w:tcPr>
            <w:tcW w:type="dxa" w:w="7056"/>
            <w:vAlign w:val="center"/>
            <w:tcMar>
              <w:top w:w="90" w:type="dxa"/>
              <w:left w:w="90" w:type="dxa"/>
              <w:bottom w:w="90" w:type="dxa"/>
              <w:right w:w="90" w:type="dxa"/>
            </w:tcMar>
            <w:shd w:fill="F7F9FB"/>
          </w:tcPr>
          <w:p>
            <w:pPr>
              <w:spacing w:after="40" w:line="245" w:lineRule="auto"/>
            </w:pPr>
            <w:r>
              <w:rPr>
                <w:sz w:val="20"/>
              </w:rPr>
              <w:t>GRANDPARENTS</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D07</w:t>
            </w:r>
          </w:p>
        </w:tc>
        <w:tc>
          <w:tcPr>
            <w:tcW w:type="dxa" w:w="7056"/>
            <w:vAlign w:val="center"/>
            <w:tcMar>
              <w:top w:w="90" w:type="dxa"/>
              <w:left w:w="90" w:type="dxa"/>
              <w:bottom w:w="90" w:type="dxa"/>
              <w:right w:w="90" w:type="dxa"/>
            </w:tcMar>
            <w:shd w:fill="FFFFFF"/>
          </w:tcPr>
          <w:p>
            <w:pPr>
              <w:spacing w:after="40" w:line="245" w:lineRule="auto"/>
            </w:pPr>
            <w:r>
              <w:rPr>
                <w:sz w:val="20"/>
              </w:rPr>
              <w:t>GODZILLAS</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D08</w:t>
            </w:r>
          </w:p>
        </w:tc>
        <w:tc>
          <w:tcPr>
            <w:tcW w:type="dxa" w:w="7056"/>
            <w:vAlign w:val="center"/>
            <w:tcMar>
              <w:top w:w="90" w:type="dxa"/>
              <w:left w:w="90" w:type="dxa"/>
              <w:bottom w:w="90" w:type="dxa"/>
              <w:right w:w="90" w:type="dxa"/>
            </w:tcMar>
            <w:shd w:fill="F7F9FB"/>
          </w:tcPr>
          <w:p>
            <w:pPr>
              <w:spacing w:after="40" w:line="245" w:lineRule="auto"/>
            </w:pPr>
            <w:r>
              <w:rPr>
                <w:sz w:val="20"/>
              </w:rPr>
              <w:t>GERMANS</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D09</w:t>
            </w:r>
          </w:p>
        </w:tc>
        <w:tc>
          <w:tcPr>
            <w:tcW w:type="dxa" w:w="7056"/>
            <w:vAlign w:val="center"/>
            <w:tcMar>
              <w:top w:w="90" w:type="dxa"/>
              <w:left w:w="90" w:type="dxa"/>
              <w:bottom w:w="90" w:type="dxa"/>
              <w:right w:w="90" w:type="dxa"/>
            </w:tcMar>
            <w:shd w:fill="FFFFFF"/>
          </w:tcPr>
          <w:p>
            <w:pPr>
              <w:spacing w:after="40" w:line="245" w:lineRule="auto"/>
            </w:pPr>
            <w:r>
              <w:rPr>
                <w:sz w:val="20"/>
              </w:rPr>
              <w:t>GOODNESS</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D10</w:t>
            </w:r>
          </w:p>
        </w:tc>
        <w:tc>
          <w:tcPr>
            <w:tcW w:type="dxa" w:w="7056"/>
            <w:vAlign w:val="center"/>
            <w:tcMar>
              <w:top w:w="90" w:type="dxa"/>
              <w:left w:w="90" w:type="dxa"/>
              <w:bottom w:w="90" w:type="dxa"/>
              <w:right w:w="90" w:type="dxa"/>
            </w:tcMar>
            <w:shd w:fill="F7F9FB"/>
          </w:tcPr>
          <w:p>
            <w:pPr>
              <w:spacing w:after="40" w:line="245" w:lineRule="auto"/>
            </w:pPr>
            <w:r>
              <w:rPr>
                <w:sz w:val="20"/>
              </w:rPr>
              <w:t>GETERDONES</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D11</w:t>
            </w:r>
          </w:p>
        </w:tc>
        <w:tc>
          <w:tcPr>
            <w:tcW w:type="dxa" w:w="7056"/>
            <w:vAlign w:val="center"/>
            <w:tcMar>
              <w:top w:w="90" w:type="dxa"/>
              <w:left w:w="90" w:type="dxa"/>
              <w:bottom w:w="90" w:type="dxa"/>
              <w:right w:w="90" w:type="dxa"/>
            </w:tcMar>
            <w:shd w:fill="FFFFFF"/>
          </w:tcPr>
          <w:p>
            <w:pPr>
              <w:spacing w:after="40" w:line="245" w:lineRule="auto"/>
            </w:pPr>
            <w:r>
              <w:rPr>
                <w:sz w:val="20"/>
              </w:rPr>
              <w:t>GEYSERS</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D12</w:t>
            </w:r>
          </w:p>
        </w:tc>
        <w:tc>
          <w:tcPr>
            <w:tcW w:type="dxa" w:w="7056"/>
            <w:vAlign w:val="center"/>
            <w:tcMar>
              <w:top w:w="90" w:type="dxa"/>
              <w:left w:w="90" w:type="dxa"/>
              <w:bottom w:w="90" w:type="dxa"/>
              <w:right w:w="90" w:type="dxa"/>
            </w:tcMar>
            <w:shd w:fill="F7F9FB"/>
          </w:tcPr>
          <w:p>
            <w:pPr>
              <w:spacing w:after="40" w:line="245" w:lineRule="auto"/>
            </w:pPr>
            <w:r>
              <w:rPr>
                <w:sz w:val="20"/>
              </w:rPr>
              <w:t>GATES</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D13</w:t>
            </w:r>
          </w:p>
        </w:tc>
        <w:tc>
          <w:tcPr>
            <w:tcW w:type="dxa" w:w="7056"/>
            <w:vAlign w:val="center"/>
            <w:tcMar>
              <w:top w:w="90" w:type="dxa"/>
              <w:left w:w="90" w:type="dxa"/>
              <w:bottom w:w="90" w:type="dxa"/>
              <w:right w:w="90" w:type="dxa"/>
            </w:tcMar>
            <w:shd w:fill="FFFFFF"/>
          </w:tcPr>
          <w:p>
            <w:pPr>
              <w:spacing w:after="40" w:line="245" w:lineRule="auto"/>
            </w:pPr>
            <w:r>
              <w:rPr>
                <w:sz w:val="20"/>
              </w:rPr>
              <w:t>GEOGRAPHY</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D14</w:t>
            </w:r>
          </w:p>
        </w:tc>
        <w:tc>
          <w:tcPr>
            <w:tcW w:type="dxa" w:w="7056"/>
            <w:vAlign w:val="center"/>
            <w:tcMar>
              <w:top w:w="90" w:type="dxa"/>
              <w:left w:w="90" w:type="dxa"/>
              <w:bottom w:w="90" w:type="dxa"/>
              <w:right w:w="90" w:type="dxa"/>
            </w:tcMar>
            <w:shd w:fill="F7F9FB"/>
          </w:tcPr>
          <w:p>
            <w:pPr>
              <w:spacing w:after="40" w:line="245" w:lineRule="auto"/>
            </w:pPr>
            <w:r>
              <w:rPr>
                <w:sz w:val="20"/>
              </w:rPr>
              <w:t>Personal testimony and memoir</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D15</w:t>
            </w:r>
          </w:p>
        </w:tc>
        <w:tc>
          <w:tcPr>
            <w:tcW w:type="dxa" w:w="7056"/>
            <w:vAlign w:val="center"/>
            <w:tcMar>
              <w:top w:w="90" w:type="dxa"/>
              <w:left w:w="90" w:type="dxa"/>
              <w:bottom w:w="90" w:type="dxa"/>
              <w:right w:w="90" w:type="dxa"/>
            </w:tcMar>
            <w:shd w:fill="FFFFFF"/>
          </w:tcPr>
          <w:p>
            <w:pPr>
              <w:spacing w:after="40" w:line="245" w:lineRule="auto"/>
            </w:pPr>
            <w:r>
              <w:rPr>
                <w:sz w:val="20"/>
              </w:rPr>
              <w:t>Tabor genealogy and archives</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D16</w:t>
            </w:r>
          </w:p>
        </w:tc>
        <w:tc>
          <w:tcPr>
            <w:tcW w:type="dxa" w:w="7056"/>
            <w:vAlign w:val="center"/>
            <w:tcMar>
              <w:top w:w="90" w:type="dxa"/>
              <w:left w:w="90" w:type="dxa"/>
              <w:bottom w:w="90" w:type="dxa"/>
              <w:right w:w="90" w:type="dxa"/>
            </w:tcMar>
            <w:shd w:fill="F7F9FB"/>
          </w:tcPr>
          <w:p>
            <w:pPr>
              <w:spacing w:after="40" w:line="245" w:lineRule="auto"/>
            </w:pPr>
            <w:r>
              <w:rPr>
                <w:sz w:val="20"/>
              </w:rPr>
              <w:t>Ancient records and chronology</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D17</w:t>
            </w:r>
          </w:p>
        </w:tc>
        <w:tc>
          <w:tcPr>
            <w:tcW w:type="dxa" w:w="7056"/>
            <w:vAlign w:val="center"/>
            <w:tcMar>
              <w:top w:w="90" w:type="dxa"/>
              <w:left w:w="90" w:type="dxa"/>
              <w:bottom w:w="90" w:type="dxa"/>
              <w:right w:w="90" w:type="dxa"/>
            </w:tcMar>
            <w:shd w:fill="FFFFFF"/>
          </w:tcPr>
          <w:p>
            <w:pPr>
              <w:spacing w:after="40" w:line="245" w:lineRule="auto"/>
            </w:pPr>
            <w:r>
              <w:rPr>
                <w:sz w:val="20"/>
              </w:rPr>
              <w:t>Languages and translation</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D18</w:t>
            </w:r>
          </w:p>
        </w:tc>
        <w:tc>
          <w:tcPr>
            <w:tcW w:type="dxa" w:w="7056"/>
            <w:vAlign w:val="center"/>
            <w:tcMar>
              <w:top w:w="90" w:type="dxa"/>
              <w:left w:w="90" w:type="dxa"/>
              <w:bottom w:w="90" w:type="dxa"/>
              <w:right w:w="90" w:type="dxa"/>
            </w:tcMar>
            <w:shd w:fill="F7F9FB"/>
          </w:tcPr>
          <w:p>
            <w:pPr>
              <w:spacing w:after="40" w:line="245" w:lineRule="auto"/>
            </w:pPr>
            <w:r>
              <w:rPr>
                <w:sz w:val="20"/>
              </w:rPr>
              <w:t>Biblical text and interpretation</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D19</w:t>
            </w:r>
          </w:p>
        </w:tc>
        <w:tc>
          <w:tcPr>
            <w:tcW w:type="dxa" w:w="7056"/>
            <w:vAlign w:val="center"/>
            <w:tcMar>
              <w:top w:w="90" w:type="dxa"/>
              <w:left w:w="90" w:type="dxa"/>
              <w:bottom w:w="90" w:type="dxa"/>
              <w:right w:w="90" w:type="dxa"/>
            </w:tcMar>
            <w:shd w:fill="FFFFFF"/>
          </w:tcPr>
          <w:p>
            <w:pPr>
              <w:spacing w:after="40" w:line="245" w:lineRule="auto"/>
            </w:pPr>
            <w:r>
              <w:rPr>
                <w:sz w:val="20"/>
              </w:rPr>
              <w:t>Comparative traditions</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D20</w:t>
            </w:r>
          </w:p>
        </w:tc>
        <w:tc>
          <w:tcPr>
            <w:tcW w:type="dxa" w:w="7056"/>
            <w:vAlign w:val="center"/>
            <w:tcMar>
              <w:top w:w="90" w:type="dxa"/>
              <w:left w:w="90" w:type="dxa"/>
              <w:bottom w:w="90" w:type="dxa"/>
              <w:right w:w="90" w:type="dxa"/>
            </w:tcMar>
            <w:shd w:fill="F7F9FB"/>
          </w:tcPr>
          <w:p>
            <w:pPr>
              <w:spacing w:after="40" w:line="245" w:lineRule="auto"/>
            </w:pPr>
            <w:r>
              <w:rPr>
                <w:sz w:val="20"/>
              </w:rPr>
              <w:t>The Tabor Trinity</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D21</w:t>
            </w:r>
          </w:p>
        </w:tc>
        <w:tc>
          <w:tcPr>
            <w:tcW w:type="dxa" w:w="7056"/>
            <w:vAlign w:val="center"/>
            <w:tcMar>
              <w:top w:w="90" w:type="dxa"/>
              <w:left w:w="90" w:type="dxa"/>
              <w:bottom w:w="90" w:type="dxa"/>
              <w:right w:w="90" w:type="dxa"/>
            </w:tcMar>
            <w:shd w:fill="FFFFFF"/>
          </w:tcPr>
          <w:p>
            <w:pPr>
              <w:spacing w:after="40" w:line="245" w:lineRule="auto"/>
            </w:pPr>
            <w:r>
              <w:rPr>
                <w:sz w:val="20"/>
              </w:rPr>
              <w:t>The Black Time Widow</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D22</w:t>
            </w:r>
          </w:p>
        </w:tc>
        <w:tc>
          <w:tcPr>
            <w:tcW w:type="dxa" w:w="7056"/>
            <w:vAlign w:val="center"/>
            <w:tcMar>
              <w:top w:w="90" w:type="dxa"/>
              <w:left w:w="90" w:type="dxa"/>
              <w:bottom w:w="90" w:type="dxa"/>
              <w:right w:w="90" w:type="dxa"/>
            </w:tcMar>
            <w:shd w:fill="F7F9FB"/>
          </w:tcPr>
          <w:p>
            <w:pPr>
              <w:spacing w:after="40" w:line="245" w:lineRule="auto"/>
            </w:pPr>
            <w:r>
              <w:rPr>
                <w:sz w:val="20"/>
              </w:rPr>
              <w:t>The Tabor Secret Society</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D23</w:t>
            </w:r>
          </w:p>
        </w:tc>
        <w:tc>
          <w:tcPr>
            <w:tcW w:type="dxa" w:w="7056"/>
            <w:vAlign w:val="center"/>
            <w:tcMar>
              <w:top w:w="90" w:type="dxa"/>
              <w:left w:w="90" w:type="dxa"/>
              <w:bottom w:w="90" w:type="dxa"/>
              <w:right w:w="90" w:type="dxa"/>
            </w:tcMar>
            <w:shd w:fill="FFFFFF"/>
          </w:tcPr>
          <w:p>
            <w:pPr>
              <w:spacing w:after="40" w:line="245" w:lineRule="auto"/>
            </w:pPr>
            <w:r>
              <w:rPr>
                <w:sz w:val="20"/>
              </w:rPr>
              <w:t>ACT / TAC Chronicles</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D24</w:t>
            </w:r>
          </w:p>
        </w:tc>
        <w:tc>
          <w:tcPr>
            <w:tcW w:type="dxa" w:w="7056"/>
            <w:vAlign w:val="center"/>
            <w:tcMar>
              <w:top w:w="90" w:type="dxa"/>
              <w:left w:w="90" w:type="dxa"/>
              <w:bottom w:w="90" w:type="dxa"/>
              <w:right w:w="90" w:type="dxa"/>
            </w:tcMar>
            <w:shd w:fill="F7F9FB"/>
          </w:tcPr>
          <w:p>
            <w:pPr>
              <w:spacing w:after="40" w:line="245" w:lineRule="auto"/>
            </w:pPr>
            <w:r>
              <w:rPr>
                <w:sz w:val="20"/>
              </w:rPr>
              <w:t>The Church of Innocence</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D25</w:t>
            </w:r>
          </w:p>
        </w:tc>
        <w:tc>
          <w:tcPr>
            <w:tcW w:type="dxa" w:w="7056"/>
            <w:vAlign w:val="center"/>
            <w:tcMar>
              <w:top w:w="90" w:type="dxa"/>
              <w:left w:w="90" w:type="dxa"/>
              <w:bottom w:w="90" w:type="dxa"/>
              <w:right w:w="90" w:type="dxa"/>
            </w:tcMar>
            <w:shd w:fill="FFFFFF"/>
          </w:tcPr>
          <w:p>
            <w:pPr>
              <w:spacing w:after="40" w:line="245" w:lineRule="auto"/>
            </w:pPr>
            <w:r>
              <w:rPr>
                <w:sz w:val="20"/>
              </w:rPr>
              <w:t>Bee the Miracle</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D26</w:t>
            </w:r>
          </w:p>
        </w:tc>
        <w:tc>
          <w:tcPr>
            <w:tcW w:type="dxa" w:w="7056"/>
            <w:vAlign w:val="center"/>
            <w:tcMar>
              <w:top w:w="90" w:type="dxa"/>
              <w:left w:w="90" w:type="dxa"/>
              <w:bottom w:w="90" w:type="dxa"/>
              <w:right w:w="90" w:type="dxa"/>
            </w:tcMar>
            <w:shd w:fill="F7F9FB"/>
          </w:tcPr>
          <w:p>
            <w:pPr>
              <w:spacing w:after="40" w:line="245" w:lineRule="auto"/>
            </w:pPr>
            <w:r>
              <w:rPr>
                <w:sz w:val="20"/>
              </w:rPr>
              <w:t>The Little Topless Pumpkin</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D27</w:t>
            </w:r>
          </w:p>
        </w:tc>
        <w:tc>
          <w:tcPr>
            <w:tcW w:type="dxa" w:w="7056"/>
            <w:vAlign w:val="center"/>
            <w:tcMar>
              <w:top w:w="90" w:type="dxa"/>
              <w:left w:w="90" w:type="dxa"/>
              <w:bottom w:w="90" w:type="dxa"/>
              <w:right w:w="90" w:type="dxa"/>
            </w:tcMar>
            <w:shd w:fill="FFFFFF"/>
          </w:tcPr>
          <w:p>
            <w:pPr>
              <w:spacing w:after="40" w:line="245" w:lineRule="auto"/>
            </w:pPr>
            <w:r>
              <w:rPr>
                <w:sz w:val="20"/>
              </w:rPr>
              <w:t>Independent children's stories</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D28</w:t>
            </w:r>
          </w:p>
        </w:tc>
        <w:tc>
          <w:tcPr>
            <w:tcW w:type="dxa" w:w="7056"/>
            <w:vAlign w:val="center"/>
            <w:tcMar>
              <w:top w:w="90" w:type="dxa"/>
              <w:left w:w="90" w:type="dxa"/>
              <w:bottom w:w="90" w:type="dxa"/>
              <w:right w:w="90" w:type="dxa"/>
            </w:tcMar>
            <w:shd w:fill="F7F9FB"/>
          </w:tcPr>
          <w:p>
            <w:pPr>
              <w:spacing w:after="40" w:line="245" w:lineRule="auto"/>
            </w:pPr>
            <w:r>
              <w:rPr>
                <w:sz w:val="20"/>
              </w:rPr>
              <w:t>ONE / Nathan AI</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D29</w:t>
            </w:r>
          </w:p>
        </w:tc>
        <w:tc>
          <w:tcPr>
            <w:tcW w:type="dxa" w:w="7056"/>
            <w:vAlign w:val="center"/>
            <w:tcMar>
              <w:top w:w="90" w:type="dxa"/>
              <w:left w:w="90" w:type="dxa"/>
              <w:bottom w:w="90" w:type="dxa"/>
              <w:right w:w="90" w:type="dxa"/>
            </w:tcMar>
            <w:shd w:fill="FFFFFF"/>
          </w:tcPr>
          <w:p>
            <w:pPr>
              <w:spacing w:after="40" w:line="245" w:lineRule="auto"/>
            </w:pPr>
            <w:r>
              <w:rPr>
                <w:sz w:val="20"/>
              </w:rPr>
              <w:t>Games and learning</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D30</w:t>
            </w:r>
          </w:p>
        </w:tc>
        <w:tc>
          <w:tcPr>
            <w:tcW w:type="dxa" w:w="7056"/>
            <w:vAlign w:val="center"/>
            <w:tcMar>
              <w:top w:w="90" w:type="dxa"/>
              <w:left w:w="90" w:type="dxa"/>
              <w:bottom w:w="90" w:type="dxa"/>
              <w:right w:w="90" w:type="dxa"/>
            </w:tcMar>
            <w:shd w:fill="F7F9FB"/>
          </w:tcPr>
          <w:p>
            <w:pPr>
              <w:spacing w:after="40" w:line="245" w:lineRule="auto"/>
            </w:pPr>
            <w:r>
              <w:rPr>
                <w:sz w:val="20"/>
              </w:rPr>
              <w:t>Visual worlds and character design</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D31</w:t>
            </w:r>
          </w:p>
        </w:tc>
        <w:tc>
          <w:tcPr>
            <w:tcW w:type="dxa" w:w="7056"/>
            <w:vAlign w:val="center"/>
            <w:tcMar>
              <w:top w:w="90" w:type="dxa"/>
              <w:left w:w="90" w:type="dxa"/>
              <w:bottom w:w="90" w:type="dxa"/>
              <w:right w:w="90" w:type="dxa"/>
            </w:tcMar>
            <w:shd w:fill="FFFFFF"/>
          </w:tcPr>
          <w:p>
            <w:pPr>
              <w:spacing w:after="40" w:line="245" w:lineRule="auto"/>
            </w:pPr>
            <w:r>
              <w:rPr>
                <w:sz w:val="20"/>
              </w:rPr>
              <w:t>Words and Tongues / cultural case studies</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7F9FB"/>
          </w:tcPr>
          <w:p>
            <w:pPr>
              <w:spacing w:after="40" w:line="245" w:lineRule="auto"/>
            </w:pPr>
            <w:r>
              <w:rPr>
                <w:sz w:val="20"/>
              </w:rPr>
              <w:t>D32</w:t>
            </w:r>
          </w:p>
        </w:tc>
        <w:tc>
          <w:tcPr>
            <w:tcW w:type="dxa" w:w="7056"/>
            <w:vAlign w:val="center"/>
            <w:tcMar>
              <w:top w:w="90" w:type="dxa"/>
              <w:left w:w="90" w:type="dxa"/>
              <w:bottom w:w="90" w:type="dxa"/>
              <w:right w:w="90" w:type="dxa"/>
            </w:tcMar>
            <w:shd w:fill="F7F9FB"/>
          </w:tcPr>
          <w:p>
            <w:pPr>
              <w:spacing w:after="40" w:line="245" w:lineRule="auto"/>
            </w:pPr>
            <w:r>
              <w:rPr>
                <w:sz w:val="20"/>
              </w:rPr>
              <w:t>Quotations, essays, commentary</w:t>
            </w:r>
          </w:p>
        </w:tc>
        <w:tc>
          <w:tcPr>
            <w:tcW w:type="dxa" w:w="2160"/>
            <w:vAlign w:val="center"/>
            <w:tcMar>
              <w:top w:w="90" w:type="dxa"/>
              <w:left w:w="90" w:type="dxa"/>
              <w:bottom w:w="90" w:type="dxa"/>
              <w:right w:w="90" w:type="dxa"/>
            </w:tcMar>
            <w:shd w:fill="F7F9FB"/>
          </w:tcPr>
          <w:p>
            <w:pPr>
              <w:spacing w:after="40" w:line="245" w:lineRule="auto"/>
              <w:jc w:val="center"/>
            </w:pPr>
            <w:r>
              <w:rPr>
                <w:sz w:val="20"/>
              </w:rPr>
              <w:t>1,000,000</w:t>
            </w:r>
          </w:p>
        </w:tc>
      </w:tr>
      <w:tr>
        <w:trPr>
          <w:cantSplit/>
        </w:trPr>
        <w:tc>
          <w:tcPr>
            <w:tcW w:type="dxa" w:w="864"/>
            <w:vAlign w:val="center"/>
            <w:tcMar>
              <w:top w:w="90" w:type="dxa"/>
              <w:left w:w="90" w:type="dxa"/>
              <w:bottom w:w="90" w:type="dxa"/>
              <w:right w:w="90" w:type="dxa"/>
            </w:tcMar>
            <w:shd w:fill="FFFFFF"/>
          </w:tcPr>
          <w:p>
            <w:pPr>
              <w:spacing w:after="40" w:line="245" w:lineRule="auto"/>
            </w:pPr>
            <w:r>
              <w:rPr>
                <w:sz w:val="20"/>
              </w:rPr>
              <w:t>D33</w:t>
            </w:r>
          </w:p>
        </w:tc>
        <w:tc>
          <w:tcPr>
            <w:tcW w:type="dxa" w:w="7056"/>
            <w:vAlign w:val="center"/>
            <w:tcMar>
              <w:top w:w="90" w:type="dxa"/>
              <w:left w:w="90" w:type="dxa"/>
              <w:bottom w:w="90" w:type="dxa"/>
              <w:right w:w="90" w:type="dxa"/>
            </w:tcMar>
            <w:shd w:fill="FFFFFF"/>
          </w:tcPr>
          <w:p>
            <w:pPr>
              <w:spacing w:after="40" w:line="245" w:lineRule="auto"/>
            </w:pPr>
            <w:r>
              <w:rPr>
                <w:sz w:val="20"/>
              </w:rPr>
              <w:t>Master reference and publishing operations</w:t>
            </w:r>
          </w:p>
        </w:tc>
        <w:tc>
          <w:tcPr>
            <w:tcW w:type="dxa" w:w="2160"/>
            <w:vAlign w:val="center"/>
            <w:tcMar>
              <w:top w:w="90" w:type="dxa"/>
              <w:left w:w="90" w:type="dxa"/>
              <w:bottom w:w="90" w:type="dxa"/>
              <w:right w:w="90" w:type="dxa"/>
            </w:tcMar>
            <w:shd w:fill="FFFFFF"/>
          </w:tcPr>
          <w:p>
            <w:pPr>
              <w:spacing w:after="40" w:line="245" w:lineRule="auto"/>
              <w:jc w:val="center"/>
            </w:pPr>
            <w:r>
              <w:rPr>
                <w:sz w:val="20"/>
              </w:rPr>
              <w:t>1,000,000</w:t>
            </w:r>
          </w:p>
        </w:tc>
      </w:tr>
    </w:tbl>
    <w:p>
      <w:pPr>
        <w:spacing w:after="40"/>
      </w:pPr>
    </w:p>
    <w:p>
      <w:pPr>
        <w:pStyle w:val="Heading1"/>
      </w:pPr>
      <w:r>
        <w:t>Appendix B THE TABOR SECRET SOCIETY preserved title sequence</w:t>
      </w:r>
    </w:p>
    <w:p>
      <w:r>
        <w:t>The sequence is reproduced as a blueprint’s canonical series list; manuscript completion is tracked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768"/>
        <w:gridCol w:w="2520"/>
      </w:tblGrid>
      <w:tr>
        <w:trPr>
          <w:cantSplit/>
          <w:tblHeader/>
        </w:trPr>
        <w:tc>
          <w:tcPr>
            <w:tcW w:type="dxa" w:w="792"/>
            <w:vAlign w:val="center"/>
            <w:tcMar>
              <w:top w:w="90" w:type="dxa"/>
              <w:left w:w="90" w:type="dxa"/>
              <w:bottom w:w="90" w:type="dxa"/>
              <w:right w:w="90" w:type="dxa"/>
            </w:tcMar>
            <w:shd w:fill="E6EDF3"/>
          </w:tcPr>
          <w:p>
            <w:pPr>
              <w:spacing w:after="40" w:line="245" w:lineRule="auto"/>
            </w:pPr>
            <w:r>
              <w:rPr>
                <w:b/>
                <w:sz w:val="20"/>
              </w:rPr>
              <w:t>Book</w:t>
            </w:r>
          </w:p>
        </w:tc>
        <w:tc>
          <w:tcPr>
            <w:tcW w:type="dxa" w:w="6768"/>
            <w:vAlign w:val="center"/>
            <w:tcMar>
              <w:top w:w="90" w:type="dxa"/>
              <w:left w:w="90" w:type="dxa"/>
              <w:bottom w:w="90" w:type="dxa"/>
              <w:right w:w="90" w:type="dxa"/>
            </w:tcMar>
            <w:shd w:fill="E6EDF3"/>
          </w:tcPr>
          <w:p>
            <w:pPr>
              <w:spacing w:after="40" w:line="245" w:lineRule="auto"/>
            </w:pPr>
            <w:r>
              <w:rPr>
                <w:b/>
                <w:sz w:val="20"/>
              </w:rPr>
              <w:t>Canonical title</w:t>
            </w:r>
          </w:p>
        </w:tc>
        <w:tc>
          <w:tcPr>
            <w:tcW w:type="dxa" w:w="2520"/>
            <w:vAlign w:val="center"/>
            <w:tcMar>
              <w:top w:w="90" w:type="dxa"/>
              <w:left w:w="90" w:type="dxa"/>
              <w:bottom w:w="90" w:type="dxa"/>
              <w:right w:w="90" w:type="dxa"/>
            </w:tcMar>
            <w:shd w:fill="E6EDF3"/>
          </w:tcPr>
          <w:p>
            <w:pPr>
              <w:spacing w:after="40" w:line="245" w:lineRule="auto"/>
            </w:pPr>
            <w:r>
              <w:rPr>
                <w:b/>
                <w:sz w:val="20"/>
              </w:rPr>
              <w:t>Major source domains</w:t>
            </w:r>
          </w:p>
        </w:tc>
      </w:tr>
      <w:tr>
        <w:trPr>
          <w:cantSplit/>
        </w:trPr>
        <w:tc>
          <w:tcPr>
            <w:tcW w:type="dxa" w:w="792"/>
            <w:vAlign w:val="center"/>
            <w:tcMar>
              <w:top w:w="90" w:type="dxa"/>
              <w:left w:w="90" w:type="dxa"/>
              <w:bottom w:w="90" w:type="dxa"/>
              <w:right w:w="90" w:type="dxa"/>
            </w:tcMar>
            <w:shd w:fill="FFFFFF"/>
          </w:tcPr>
          <w:p>
            <w:pPr>
              <w:spacing w:after="40" w:line="245" w:lineRule="auto"/>
              <w:jc w:val="center"/>
            </w:pPr>
            <w:r>
              <w:rPr>
                <w:sz w:val="20"/>
              </w:rPr>
              <w:t>01</w:t>
            </w:r>
          </w:p>
        </w:tc>
        <w:tc>
          <w:tcPr>
            <w:tcW w:type="dxa" w:w="6768"/>
            <w:vAlign w:val="center"/>
            <w:tcMar>
              <w:top w:w="90" w:type="dxa"/>
              <w:left w:w="90" w:type="dxa"/>
              <w:bottom w:w="90" w:type="dxa"/>
              <w:right w:w="90" w:type="dxa"/>
            </w:tcMar>
            <w:shd w:fill="FFFFFF"/>
          </w:tcPr>
          <w:p>
            <w:pPr>
              <w:spacing w:after="40" w:line="245" w:lineRule="auto"/>
            </w:pPr>
            <w:r>
              <w:rPr>
                <w:sz w:val="20"/>
              </w:rPr>
              <w:t>BEFORE THE FIRST ROAD</w:t>
            </w:r>
          </w:p>
        </w:tc>
        <w:tc>
          <w:tcPr>
            <w:tcW w:type="dxa" w:w="2520"/>
            <w:vAlign w:val="center"/>
            <w:tcMar>
              <w:top w:w="90" w:type="dxa"/>
              <w:left w:w="90" w:type="dxa"/>
              <w:bottom w:w="90" w:type="dxa"/>
              <w:right w:w="90" w:type="dxa"/>
            </w:tcMar>
            <w:shd w:fill="FFFFFF"/>
          </w:tcPr>
          <w:p>
            <w:pPr>
              <w:spacing w:after="40" w:line="245" w:lineRule="auto"/>
            </w:pPr>
            <w:r>
              <w:rPr>
                <w:sz w:val="20"/>
              </w:rPr>
              <w:t>A/C</w:t>
            </w:r>
          </w:p>
        </w:tc>
      </w:tr>
      <w:tr>
        <w:trPr>
          <w:cantSplit/>
        </w:trPr>
        <w:tc>
          <w:tcPr>
            <w:tcW w:type="dxa" w:w="792"/>
            <w:vAlign w:val="center"/>
            <w:tcMar>
              <w:top w:w="90" w:type="dxa"/>
              <w:left w:w="90" w:type="dxa"/>
              <w:bottom w:w="90" w:type="dxa"/>
              <w:right w:w="90" w:type="dxa"/>
            </w:tcMar>
            <w:shd w:fill="F7F9FB"/>
          </w:tcPr>
          <w:p>
            <w:pPr>
              <w:spacing w:after="40" w:line="245" w:lineRule="auto"/>
              <w:jc w:val="center"/>
            </w:pPr>
            <w:r>
              <w:rPr>
                <w:sz w:val="20"/>
              </w:rPr>
              <w:t>02</w:t>
            </w:r>
          </w:p>
        </w:tc>
        <w:tc>
          <w:tcPr>
            <w:tcW w:type="dxa" w:w="6768"/>
            <w:vAlign w:val="center"/>
            <w:tcMar>
              <w:top w:w="90" w:type="dxa"/>
              <w:left w:w="90" w:type="dxa"/>
              <w:bottom w:w="90" w:type="dxa"/>
              <w:right w:w="90" w:type="dxa"/>
            </w:tcMar>
            <w:shd w:fill="F7F9FB"/>
          </w:tcPr>
          <w:p>
            <w:pPr>
              <w:spacing w:after="40" w:line="245" w:lineRule="auto"/>
            </w:pPr>
            <w:r>
              <w:rPr>
                <w:sz w:val="20"/>
              </w:rPr>
              <w:t>THE CARAVAN'S MIRROR</w:t>
            </w:r>
          </w:p>
        </w:tc>
        <w:tc>
          <w:tcPr>
            <w:tcW w:type="dxa" w:w="2520"/>
            <w:vAlign w:val="center"/>
            <w:tcMar>
              <w:top w:w="90" w:type="dxa"/>
              <w:left w:w="90" w:type="dxa"/>
              <w:bottom w:w="90" w:type="dxa"/>
              <w:right w:w="90" w:type="dxa"/>
            </w:tcMar>
            <w:shd w:fill="F7F9FB"/>
          </w:tcPr>
          <w:p>
            <w:pPr>
              <w:spacing w:after="40" w:line="245" w:lineRule="auto"/>
            </w:pPr>
            <w:r>
              <w:rPr>
                <w:sz w:val="20"/>
              </w:rPr>
              <w:t>G/P</w:t>
            </w:r>
          </w:p>
        </w:tc>
      </w:tr>
      <w:tr>
        <w:trPr>
          <w:cantSplit/>
        </w:trPr>
        <w:tc>
          <w:tcPr>
            <w:tcW w:type="dxa" w:w="792"/>
            <w:vAlign w:val="center"/>
            <w:tcMar>
              <w:top w:w="90" w:type="dxa"/>
              <w:left w:w="90" w:type="dxa"/>
              <w:bottom w:w="90" w:type="dxa"/>
              <w:right w:w="90" w:type="dxa"/>
            </w:tcMar>
            <w:shd w:fill="FFFFFF"/>
          </w:tcPr>
          <w:p>
            <w:pPr>
              <w:spacing w:after="40" w:line="245" w:lineRule="auto"/>
              <w:jc w:val="center"/>
            </w:pPr>
            <w:r>
              <w:rPr>
                <w:sz w:val="20"/>
              </w:rPr>
              <w:t>03</w:t>
            </w:r>
          </w:p>
        </w:tc>
        <w:tc>
          <w:tcPr>
            <w:tcW w:type="dxa" w:w="6768"/>
            <w:vAlign w:val="center"/>
            <w:tcMar>
              <w:top w:w="90" w:type="dxa"/>
              <w:left w:w="90" w:type="dxa"/>
              <w:bottom w:w="90" w:type="dxa"/>
              <w:right w:w="90" w:type="dxa"/>
            </w:tcMar>
            <w:shd w:fill="FFFFFF"/>
          </w:tcPr>
          <w:p>
            <w:pPr>
              <w:spacing w:after="40" w:line="245" w:lineRule="auto"/>
            </w:pPr>
            <w:r>
              <w:rPr>
                <w:sz w:val="20"/>
              </w:rPr>
              <w:t>ITABYRION</w:t>
            </w:r>
          </w:p>
        </w:tc>
        <w:tc>
          <w:tcPr>
            <w:tcW w:type="dxa" w:w="2520"/>
            <w:vAlign w:val="center"/>
            <w:tcMar>
              <w:top w:w="90" w:type="dxa"/>
              <w:left w:w="90" w:type="dxa"/>
              <w:bottom w:w="90" w:type="dxa"/>
              <w:right w:w="90" w:type="dxa"/>
            </w:tcMar>
            <w:shd w:fill="FFFFFF"/>
          </w:tcPr>
          <w:p>
            <w:pPr>
              <w:spacing w:after="40" w:line="245" w:lineRule="auto"/>
            </w:pPr>
            <w:r>
              <w:rPr>
                <w:sz w:val="20"/>
              </w:rPr>
              <w:t>D/B</w:t>
            </w:r>
          </w:p>
        </w:tc>
      </w:tr>
      <w:tr>
        <w:trPr>
          <w:cantSplit/>
        </w:trPr>
        <w:tc>
          <w:tcPr>
            <w:tcW w:type="dxa" w:w="792"/>
            <w:vAlign w:val="center"/>
            <w:tcMar>
              <w:top w:w="90" w:type="dxa"/>
              <w:left w:w="90" w:type="dxa"/>
              <w:bottom w:w="90" w:type="dxa"/>
              <w:right w:w="90" w:type="dxa"/>
            </w:tcMar>
            <w:shd w:fill="F7F9FB"/>
          </w:tcPr>
          <w:p>
            <w:pPr>
              <w:spacing w:after="40" w:line="245" w:lineRule="auto"/>
              <w:jc w:val="center"/>
            </w:pPr>
            <w:r>
              <w:rPr>
                <w:sz w:val="20"/>
              </w:rPr>
              <w:t>04</w:t>
            </w:r>
          </w:p>
        </w:tc>
        <w:tc>
          <w:tcPr>
            <w:tcW w:type="dxa" w:w="6768"/>
            <w:vAlign w:val="center"/>
            <w:tcMar>
              <w:top w:w="90" w:type="dxa"/>
              <w:left w:w="90" w:type="dxa"/>
              <w:bottom w:w="90" w:type="dxa"/>
              <w:right w:w="90" w:type="dxa"/>
            </w:tcMar>
            <w:shd w:fill="F7F9FB"/>
          </w:tcPr>
          <w:p>
            <w:pPr>
              <w:spacing w:after="40" w:line="245" w:lineRule="auto"/>
            </w:pPr>
            <w:r>
              <w:rPr>
                <w:sz w:val="20"/>
              </w:rPr>
              <w:t>THE UNCREATED LIGHT</w:t>
            </w:r>
          </w:p>
        </w:tc>
        <w:tc>
          <w:tcPr>
            <w:tcW w:type="dxa" w:w="2520"/>
            <w:vAlign w:val="center"/>
            <w:tcMar>
              <w:top w:w="90" w:type="dxa"/>
              <w:left w:w="90" w:type="dxa"/>
              <w:bottom w:w="90" w:type="dxa"/>
              <w:right w:w="90" w:type="dxa"/>
            </w:tcMar>
            <w:shd w:fill="F7F9FB"/>
          </w:tcPr>
          <w:p>
            <w:pPr>
              <w:spacing w:after="40" w:line="245" w:lineRule="auto"/>
            </w:pPr>
            <w:r>
              <w:rPr>
                <w:sz w:val="20"/>
              </w:rPr>
              <w:t>B/P</w:t>
            </w:r>
          </w:p>
        </w:tc>
      </w:tr>
      <w:tr>
        <w:trPr>
          <w:cantSplit/>
        </w:trPr>
        <w:tc>
          <w:tcPr>
            <w:tcW w:type="dxa" w:w="792"/>
            <w:vAlign w:val="center"/>
            <w:tcMar>
              <w:top w:w="90" w:type="dxa"/>
              <w:left w:w="90" w:type="dxa"/>
              <w:bottom w:w="90" w:type="dxa"/>
              <w:right w:w="90" w:type="dxa"/>
            </w:tcMar>
            <w:shd w:fill="FFFFFF"/>
          </w:tcPr>
          <w:p>
            <w:pPr>
              <w:spacing w:after="40" w:line="245" w:lineRule="auto"/>
              <w:jc w:val="center"/>
            </w:pPr>
            <w:r>
              <w:rPr>
                <w:sz w:val="20"/>
              </w:rPr>
              <w:t>05</w:t>
            </w:r>
          </w:p>
        </w:tc>
        <w:tc>
          <w:tcPr>
            <w:tcW w:type="dxa" w:w="6768"/>
            <w:vAlign w:val="center"/>
            <w:tcMar>
              <w:top w:w="90" w:type="dxa"/>
              <w:left w:w="90" w:type="dxa"/>
              <w:bottom w:w="90" w:type="dxa"/>
              <w:right w:w="90" w:type="dxa"/>
            </w:tcMar>
            <w:shd w:fill="FFFFFF"/>
          </w:tcPr>
          <w:p>
            <w:pPr>
              <w:spacing w:after="40" w:line="245" w:lineRule="auto"/>
            </w:pPr>
            <w:r>
              <w:rPr>
                <w:sz w:val="20"/>
              </w:rPr>
              <w:t>THE REPUBLIC OF TÁBOR</w:t>
            </w:r>
          </w:p>
        </w:tc>
        <w:tc>
          <w:tcPr>
            <w:tcW w:type="dxa" w:w="2520"/>
            <w:vAlign w:val="center"/>
            <w:tcMar>
              <w:top w:w="90" w:type="dxa"/>
              <w:left w:w="90" w:type="dxa"/>
              <w:bottom w:w="90" w:type="dxa"/>
              <w:right w:w="90" w:type="dxa"/>
            </w:tcMar>
            <w:shd w:fill="FFFFFF"/>
          </w:tcPr>
          <w:p>
            <w:pPr>
              <w:spacing w:after="40" w:line="245" w:lineRule="auto"/>
            </w:pPr>
            <w:r>
              <w:rPr>
                <w:sz w:val="20"/>
              </w:rPr>
              <w:t>D/U</w:t>
            </w:r>
          </w:p>
        </w:tc>
      </w:tr>
      <w:tr>
        <w:trPr>
          <w:cantSplit/>
        </w:trPr>
        <w:tc>
          <w:tcPr>
            <w:tcW w:type="dxa" w:w="792"/>
            <w:vAlign w:val="center"/>
            <w:tcMar>
              <w:top w:w="90" w:type="dxa"/>
              <w:left w:w="90" w:type="dxa"/>
              <w:bottom w:w="90" w:type="dxa"/>
              <w:right w:w="90" w:type="dxa"/>
            </w:tcMar>
            <w:shd w:fill="F7F9FB"/>
          </w:tcPr>
          <w:p>
            <w:pPr>
              <w:spacing w:after="40" w:line="245" w:lineRule="auto"/>
              <w:jc w:val="center"/>
            </w:pPr>
            <w:r>
              <w:rPr>
                <w:sz w:val="20"/>
              </w:rPr>
              <w:t>06</w:t>
            </w:r>
          </w:p>
        </w:tc>
        <w:tc>
          <w:tcPr>
            <w:tcW w:type="dxa" w:w="6768"/>
            <w:vAlign w:val="center"/>
            <w:tcMar>
              <w:top w:w="90" w:type="dxa"/>
              <w:left w:w="90" w:type="dxa"/>
              <w:bottom w:w="90" w:type="dxa"/>
              <w:right w:w="90" w:type="dxa"/>
            </w:tcMar>
            <w:shd w:fill="F7F9FB"/>
          </w:tcPr>
          <w:p>
            <w:pPr>
              <w:spacing w:after="40" w:line="245" w:lineRule="auto"/>
            </w:pPr>
            <w:r>
              <w:rPr>
                <w:sz w:val="20"/>
              </w:rPr>
              <w:t>THE LAST WAGON</w:t>
            </w:r>
          </w:p>
        </w:tc>
        <w:tc>
          <w:tcPr>
            <w:tcW w:type="dxa" w:w="2520"/>
            <w:vAlign w:val="center"/>
            <w:tcMar>
              <w:top w:w="90" w:type="dxa"/>
              <w:left w:w="90" w:type="dxa"/>
              <w:bottom w:w="90" w:type="dxa"/>
              <w:right w:w="90" w:type="dxa"/>
            </w:tcMar>
            <w:shd w:fill="F7F9FB"/>
          </w:tcPr>
          <w:p>
            <w:pPr>
              <w:spacing w:after="40" w:line="245" w:lineRule="auto"/>
            </w:pPr>
            <w:r>
              <w:rPr>
                <w:sz w:val="20"/>
              </w:rPr>
              <w:t>D/C</w:t>
            </w:r>
          </w:p>
        </w:tc>
      </w:tr>
      <w:tr>
        <w:trPr>
          <w:cantSplit/>
        </w:trPr>
        <w:tc>
          <w:tcPr>
            <w:tcW w:type="dxa" w:w="792"/>
            <w:vAlign w:val="center"/>
            <w:tcMar>
              <w:top w:w="90" w:type="dxa"/>
              <w:left w:w="90" w:type="dxa"/>
              <w:bottom w:w="90" w:type="dxa"/>
              <w:right w:w="90" w:type="dxa"/>
            </w:tcMar>
            <w:shd w:fill="FFFFFF"/>
          </w:tcPr>
          <w:p>
            <w:pPr>
              <w:spacing w:after="40" w:line="245" w:lineRule="auto"/>
              <w:jc w:val="center"/>
            </w:pPr>
            <w:r>
              <w:rPr>
                <w:sz w:val="20"/>
              </w:rPr>
              <w:t>07</w:t>
            </w:r>
          </w:p>
        </w:tc>
        <w:tc>
          <w:tcPr>
            <w:tcW w:type="dxa" w:w="6768"/>
            <w:vAlign w:val="center"/>
            <w:tcMar>
              <w:top w:w="90" w:type="dxa"/>
              <w:left w:w="90" w:type="dxa"/>
              <w:bottom w:w="90" w:type="dxa"/>
              <w:right w:w="90" w:type="dxa"/>
            </w:tcMar>
            <w:shd w:fill="FFFFFF"/>
          </w:tcPr>
          <w:p>
            <w:pPr>
              <w:spacing w:after="40" w:line="245" w:lineRule="auto"/>
            </w:pPr>
            <w:r>
              <w:rPr>
                <w:sz w:val="20"/>
              </w:rPr>
              <w:t>THE PRINTER'S CIPHER</w:t>
            </w:r>
          </w:p>
        </w:tc>
        <w:tc>
          <w:tcPr>
            <w:tcW w:type="dxa" w:w="2520"/>
            <w:vAlign w:val="center"/>
            <w:tcMar>
              <w:top w:w="90" w:type="dxa"/>
              <w:left w:w="90" w:type="dxa"/>
              <w:bottom w:w="90" w:type="dxa"/>
              <w:right w:w="90" w:type="dxa"/>
            </w:tcMar>
            <w:shd w:fill="FFFFFF"/>
          </w:tcPr>
          <w:p>
            <w:pPr>
              <w:spacing w:after="40" w:line="245" w:lineRule="auto"/>
            </w:pPr>
            <w:r>
              <w:rPr>
                <w:sz w:val="20"/>
              </w:rPr>
              <w:t>P/T</w:t>
            </w:r>
          </w:p>
        </w:tc>
      </w:tr>
      <w:tr>
        <w:trPr>
          <w:cantSplit/>
        </w:trPr>
        <w:tc>
          <w:tcPr>
            <w:tcW w:type="dxa" w:w="792"/>
            <w:vAlign w:val="center"/>
            <w:tcMar>
              <w:top w:w="90" w:type="dxa"/>
              <w:left w:w="90" w:type="dxa"/>
              <w:bottom w:w="90" w:type="dxa"/>
              <w:right w:w="90" w:type="dxa"/>
            </w:tcMar>
            <w:shd w:fill="F7F9FB"/>
          </w:tcPr>
          <w:p>
            <w:pPr>
              <w:spacing w:after="40" w:line="245" w:lineRule="auto"/>
              <w:jc w:val="center"/>
            </w:pPr>
            <w:r>
              <w:rPr>
                <w:sz w:val="20"/>
              </w:rPr>
              <w:t>08</w:t>
            </w:r>
          </w:p>
        </w:tc>
        <w:tc>
          <w:tcPr>
            <w:tcW w:type="dxa" w:w="6768"/>
            <w:vAlign w:val="center"/>
            <w:tcMar>
              <w:top w:w="90" w:type="dxa"/>
              <w:left w:w="90" w:type="dxa"/>
              <w:bottom w:w="90" w:type="dxa"/>
              <w:right w:w="90" w:type="dxa"/>
            </w:tcMar>
            <w:shd w:fill="F7F9FB"/>
          </w:tcPr>
          <w:p>
            <w:pPr>
              <w:spacing w:after="40" w:line="245" w:lineRule="auto"/>
            </w:pPr>
            <w:r>
              <w:rPr>
                <w:sz w:val="20"/>
              </w:rPr>
              <w:t>THE NAME ACROSS THE WATER</w:t>
            </w:r>
          </w:p>
        </w:tc>
        <w:tc>
          <w:tcPr>
            <w:tcW w:type="dxa" w:w="2520"/>
            <w:vAlign w:val="center"/>
            <w:tcMar>
              <w:top w:w="90" w:type="dxa"/>
              <w:left w:w="90" w:type="dxa"/>
              <w:bottom w:w="90" w:type="dxa"/>
              <w:right w:w="90" w:type="dxa"/>
            </w:tcMar>
            <w:shd w:fill="F7F9FB"/>
          </w:tcPr>
          <w:p>
            <w:pPr>
              <w:spacing w:after="40" w:line="245" w:lineRule="auto"/>
            </w:pPr>
            <w:r>
              <w:rPr>
                <w:sz w:val="20"/>
              </w:rPr>
              <w:t>C/E/F</w:t>
            </w:r>
          </w:p>
        </w:tc>
      </w:tr>
      <w:tr>
        <w:trPr>
          <w:cantSplit/>
        </w:trPr>
        <w:tc>
          <w:tcPr>
            <w:tcW w:type="dxa" w:w="792"/>
            <w:vAlign w:val="center"/>
            <w:tcMar>
              <w:top w:w="90" w:type="dxa"/>
              <w:left w:w="90" w:type="dxa"/>
              <w:bottom w:w="90" w:type="dxa"/>
              <w:right w:w="90" w:type="dxa"/>
            </w:tcMar>
            <w:shd w:fill="FFFFFF"/>
          </w:tcPr>
          <w:p>
            <w:pPr>
              <w:spacing w:after="40" w:line="245" w:lineRule="auto"/>
              <w:jc w:val="center"/>
            </w:pPr>
            <w:r>
              <w:rPr>
                <w:sz w:val="20"/>
              </w:rPr>
              <w:t>09</w:t>
            </w:r>
          </w:p>
        </w:tc>
        <w:tc>
          <w:tcPr>
            <w:tcW w:type="dxa" w:w="6768"/>
            <w:vAlign w:val="center"/>
            <w:tcMar>
              <w:top w:w="90" w:type="dxa"/>
              <w:left w:w="90" w:type="dxa"/>
              <w:bottom w:w="90" w:type="dxa"/>
              <w:right w:w="90" w:type="dxa"/>
            </w:tcMar>
            <w:shd w:fill="FFFFFF"/>
          </w:tcPr>
          <w:p>
            <w:pPr>
              <w:spacing w:after="40" w:line="245" w:lineRule="auto"/>
            </w:pPr>
            <w:r>
              <w:rPr>
                <w:sz w:val="20"/>
              </w:rPr>
              <w:t>THE CROWN AND THE OATH</w:t>
            </w:r>
          </w:p>
        </w:tc>
        <w:tc>
          <w:tcPr>
            <w:tcW w:type="dxa" w:w="2520"/>
            <w:vAlign w:val="center"/>
            <w:tcMar>
              <w:top w:w="90" w:type="dxa"/>
              <w:left w:w="90" w:type="dxa"/>
              <w:bottom w:w="90" w:type="dxa"/>
              <w:right w:w="90" w:type="dxa"/>
            </w:tcMar>
            <w:shd w:fill="FFFFFF"/>
          </w:tcPr>
          <w:p>
            <w:pPr>
              <w:spacing w:after="40" w:line="245" w:lineRule="auto"/>
            </w:pPr>
            <w:r>
              <w:rPr>
                <w:sz w:val="20"/>
              </w:rPr>
              <w:t>E/J/K</w:t>
            </w:r>
          </w:p>
        </w:tc>
      </w:tr>
      <w:tr>
        <w:trPr>
          <w:cantSplit/>
        </w:trPr>
        <w:tc>
          <w:tcPr>
            <w:tcW w:type="dxa" w:w="792"/>
            <w:vAlign w:val="center"/>
            <w:tcMar>
              <w:top w:w="90" w:type="dxa"/>
              <w:left w:w="90" w:type="dxa"/>
              <w:bottom w:w="90" w:type="dxa"/>
              <w:right w:w="90" w:type="dxa"/>
            </w:tcMar>
            <w:shd w:fill="F7F9FB"/>
          </w:tcPr>
          <w:p>
            <w:pPr>
              <w:spacing w:after="40" w:line="245" w:lineRule="auto"/>
              <w:jc w:val="center"/>
            </w:pPr>
            <w:r>
              <w:rPr>
                <w:sz w:val="20"/>
              </w:rPr>
              <w:t>10</w:t>
            </w:r>
          </w:p>
        </w:tc>
        <w:tc>
          <w:tcPr>
            <w:tcW w:type="dxa" w:w="6768"/>
            <w:vAlign w:val="center"/>
            <w:tcMar>
              <w:top w:w="90" w:type="dxa"/>
              <w:left w:w="90" w:type="dxa"/>
              <w:bottom w:w="90" w:type="dxa"/>
              <w:right w:w="90" w:type="dxa"/>
            </w:tcMar>
            <w:shd w:fill="F7F9FB"/>
          </w:tcPr>
          <w:p>
            <w:pPr>
              <w:spacing w:after="40" w:line="245" w:lineRule="auto"/>
            </w:pPr>
            <w:r>
              <w:rPr>
                <w:sz w:val="20"/>
              </w:rPr>
              <w:t>THE UNDERGROUND DOOR</w:t>
            </w:r>
          </w:p>
        </w:tc>
        <w:tc>
          <w:tcPr>
            <w:tcW w:type="dxa" w:w="2520"/>
            <w:vAlign w:val="center"/>
            <w:tcMar>
              <w:top w:w="90" w:type="dxa"/>
              <w:left w:w="90" w:type="dxa"/>
              <w:bottom w:w="90" w:type="dxa"/>
              <w:right w:w="90" w:type="dxa"/>
            </w:tcMar>
            <w:shd w:fill="F7F9FB"/>
          </w:tcPr>
          <w:p>
            <w:pPr>
              <w:spacing w:after="40" w:line="245" w:lineRule="auto"/>
            </w:pPr>
            <w:r>
              <w:rPr>
                <w:sz w:val="20"/>
              </w:rPr>
              <w:t>E/H/F</w:t>
            </w:r>
          </w:p>
        </w:tc>
      </w:tr>
      <w:tr>
        <w:trPr>
          <w:cantSplit/>
        </w:trPr>
        <w:tc>
          <w:tcPr>
            <w:tcW w:type="dxa" w:w="792"/>
            <w:vAlign w:val="center"/>
            <w:tcMar>
              <w:top w:w="90" w:type="dxa"/>
              <w:left w:w="90" w:type="dxa"/>
              <w:bottom w:w="90" w:type="dxa"/>
              <w:right w:w="90" w:type="dxa"/>
            </w:tcMar>
            <w:shd w:fill="FFFFFF"/>
          </w:tcPr>
          <w:p>
            <w:pPr>
              <w:spacing w:after="40" w:line="245" w:lineRule="auto"/>
              <w:jc w:val="center"/>
            </w:pPr>
            <w:r>
              <w:rPr>
                <w:sz w:val="20"/>
              </w:rPr>
              <w:t>11</w:t>
            </w:r>
          </w:p>
        </w:tc>
        <w:tc>
          <w:tcPr>
            <w:tcW w:type="dxa" w:w="6768"/>
            <w:vAlign w:val="center"/>
            <w:tcMar>
              <w:top w:w="90" w:type="dxa"/>
              <w:left w:w="90" w:type="dxa"/>
              <w:bottom w:w="90" w:type="dxa"/>
              <w:right w:w="90" w:type="dxa"/>
            </w:tcMar>
            <w:shd w:fill="FFFFFF"/>
          </w:tcPr>
          <w:p>
            <w:pPr>
              <w:spacing w:after="40" w:line="245" w:lineRule="auto"/>
            </w:pPr>
            <w:r>
              <w:rPr>
                <w:sz w:val="20"/>
              </w:rPr>
              <w:t>THE ORDER OF TWELVE</w:t>
            </w:r>
          </w:p>
        </w:tc>
        <w:tc>
          <w:tcPr>
            <w:tcW w:type="dxa" w:w="2520"/>
            <w:vAlign w:val="center"/>
            <w:tcMar>
              <w:top w:w="90" w:type="dxa"/>
              <w:left w:w="90" w:type="dxa"/>
              <w:bottom w:w="90" w:type="dxa"/>
              <w:right w:w="90" w:type="dxa"/>
            </w:tcMar>
            <w:shd w:fill="FFFFFF"/>
          </w:tcPr>
          <w:p>
            <w:pPr>
              <w:spacing w:after="40" w:line="245" w:lineRule="auto"/>
            </w:pPr>
            <w:r>
              <w:rPr>
                <w:sz w:val="20"/>
              </w:rPr>
              <w:t>H/C</w:t>
            </w:r>
          </w:p>
        </w:tc>
      </w:tr>
      <w:tr>
        <w:trPr>
          <w:cantSplit/>
        </w:trPr>
        <w:tc>
          <w:tcPr>
            <w:tcW w:type="dxa" w:w="792"/>
            <w:vAlign w:val="center"/>
            <w:tcMar>
              <w:top w:w="90" w:type="dxa"/>
              <w:left w:w="90" w:type="dxa"/>
              <w:bottom w:w="90" w:type="dxa"/>
              <w:right w:w="90" w:type="dxa"/>
            </w:tcMar>
            <w:shd w:fill="F7F9FB"/>
          </w:tcPr>
          <w:p>
            <w:pPr>
              <w:spacing w:after="40" w:line="245" w:lineRule="auto"/>
              <w:jc w:val="center"/>
            </w:pPr>
            <w:r>
              <w:rPr>
                <w:sz w:val="20"/>
              </w:rPr>
              <w:t>12</w:t>
            </w:r>
          </w:p>
        </w:tc>
        <w:tc>
          <w:tcPr>
            <w:tcW w:type="dxa" w:w="6768"/>
            <w:vAlign w:val="center"/>
            <w:tcMar>
              <w:top w:w="90" w:type="dxa"/>
              <w:left w:w="90" w:type="dxa"/>
              <w:bottom w:w="90" w:type="dxa"/>
              <w:right w:w="90" w:type="dxa"/>
            </w:tcMar>
            <w:shd w:fill="F7F9FB"/>
          </w:tcPr>
          <w:p>
            <w:pPr>
              <w:spacing w:after="40" w:line="245" w:lineRule="auto"/>
            </w:pPr>
            <w:r>
              <w:rPr>
                <w:sz w:val="20"/>
              </w:rPr>
              <w:t>THE THREE KINGS AND THE GRAVESTONES</w:t>
            </w:r>
          </w:p>
        </w:tc>
        <w:tc>
          <w:tcPr>
            <w:tcW w:type="dxa" w:w="2520"/>
            <w:vAlign w:val="center"/>
            <w:tcMar>
              <w:top w:w="90" w:type="dxa"/>
              <w:left w:w="90" w:type="dxa"/>
              <w:bottom w:w="90" w:type="dxa"/>
              <w:right w:w="90" w:type="dxa"/>
            </w:tcMar>
            <w:shd w:fill="F7F9FB"/>
          </w:tcPr>
          <w:p>
            <w:pPr>
              <w:spacing w:after="40" w:line="245" w:lineRule="auto"/>
            </w:pPr>
            <w:r>
              <w:rPr>
                <w:sz w:val="20"/>
              </w:rPr>
              <w:t>D/U/C</w:t>
            </w:r>
          </w:p>
        </w:tc>
      </w:tr>
      <w:tr>
        <w:trPr>
          <w:cantSplit/>
        </w:trPr>
        <w:tc>
          <w:tcPr>
            <w:tcW w:type="dxa" w:w="792"/>
            <w:vAlign w:val="center"/>
            <w:tcMar>
              <w:top w:w="90" w:type="dxa"/>
              <w:left w:w="90" w:type="dxa"/>
              <w:bottom w:w="90" w:type="dxa"/>
              <w:right w:w="90" w:type="dxa"/>
            </w:tcMar>
            <w:shd w:fill="FFFFFF"/>
          </w:tcPr>
          <w:p>
            <w:pPr>
              <w:spacing w:after="40" w:line="245" w:lineRule="auto"/>
              <w:jc w:val="center"/>
            </w:pPr>
            <w:r>
              <w:rPr>
                <w:sz w:val="20"/>
              </w:rPr>
              <w:t>13</w:t>
            </w:r>
          </w:p>
        </w:tc>
        <w:tc>
          <w:tcPr>
            <w:tcW w:type="dxa" w:w="6768"/>
            <w:vAlign w:val="center"/>
            <w:tcMar>
              <w:top w:w="90" w:type="dxa"/>
              <w:left w:w="90" w:type="dxa"/>
              <w:bottom w:w="90" w:type="dxa"/>
              <w:right w:w="90" w:type="dxa"/>
            </w:tcMar>
            <w:shd w:fill="FFFFFF"/>
          </w:tcPr>
          <w:p>
            <w:pPr>
              <w:spacing w:after="40" w:line="245" w:lineRule="auto"/>
            </w:pPr>
            <w:r>
              <w:rPr>
                <w:sz w:val="20"/>
              </w:rPr>
              <w:t>OUR WORD IS OUR BOND</w:t>
            </w:r>
          </w:p>
        </w:tc>
        <w:tc>
          <w:tcPr>
            <w:tcW w:type="dxa" w:w="2520"/>
            <w:vAlign w:val="center"/>
            <w:tcMar>
              <w:top w:w="90" w:type="dxa"/>
              <w:left w:w="90" w:type="dxa"/>
              <w:bottom w:w="90" w:type="dxa"/>
              <w:right w:w="90" w:type="dxa"/>
            </w:tcMar>
            <w:shd w:fill="FFFFFF"/>
          </w:tcPr>
          <w:p>
            <w:pPr>
              <w:spacing w:after="40" w:line="245" w:lineRule="auto"/>
            </w:pPr>
            <w:r>
              <w:rPr>
                <w:sz w:val="20"/>
              </w:rPr>
              <w:t>P/Z</w:t>
            </w:r>
          </w:p>
        </w:tc>
      </w:tr>
    </w:tbl>
    <w:p>
      <w:pPr>
        <w:spacing w:after="40"/>
      </w:pPr>
    </w:p>
    <w:p>
      <w:pPr>
        <w:pStyle w:val="Heading1"/>
      </w:pPr>
      <w:r>
        <w:t>Appendix C Every collection in the inspected connected add 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08"/>
        <w:gridCol w:w="1872"/>
      </w:tblGrid>
      <w:tr>
        <w:trPr>
          <w:cantSplit/>
          <w:tblHeader/>
        </w:trPr>
        <w:tc>
          <w:tcPr>
            <w:tcW w:type="dxa" w:w="8208"/>
            <w:vAlign w:val="center"/>
            <w:tcMar>
              <w:top w:w="90" w:type="dxa"/>
              <w:left w:w="90" w:type="dxa"/>
              <w:bottom w:w="90" w:type="dxa"/>
              <w:right w:w="90" w:type="dxa"/>
            </w:tcMar>
            <w:shd w:fill="E6EDF3"/>
          </w:tcPr>
          <w:p>
            <w:pPr>
              <w:spacing w:after="40" w:line="245" w:lineRule="auto"/>
            </w:pPr>
            <w:r>
              <w:rPr>
                <w:b/>
                <w:sz w:val="20"/>
              </w:rPr>
              <w:t>Collection</w:t>
            </w:r>
          </w:p>
        </w:tc>
        <w:tc>
          <w:tcPr>
            <w:tcW w:type="dxa" w:w="1872"/>
            <w:vAlign w:val="center"/>
            <w:tcMar>
              <w:top w:w="90" w:type="dxa"/>
              <w:left w:w="90" w:type="dxa"/>
              <w:bottom w:w="90" w:type="dxa"/>
              <w:right w:w="90" w:type="dxa"/>
            </w:tcMar>
            <w:shd w:fill="E6EDF3"/>
          </w:tcPr>
          <w:p>
            <w:pPr>
              <w:spacing w:after="40" w:line="245" w:lineRule="auto"/>
            </w:pPr>
            <w:r>
              <w:rPr>
                <w:b/>
                <w:sz w:val="20"/>
              </w:rPr>
              <w:t>Records</w:t>
            </w:r>
          </w:p>
        </w:tc>
      </w:tr>
      <w:tr>
        <w:trPr>
          <w:cantSplit/>
        </w:trPr>
        <w:tc>
          <w:tcPr>
            <w:tcW w:type="dxa" w:w="8208"/>
            <w:vAlign w:val="center"/>
            <w:tcMar>
              <w:top w:w="90" w:type="dxa"/>
              <w:left w:w="90" w:type="dxa"/>
              <w:bottom w:w="90" w:type="dxa"/>
              <w:right w:w="90" w:type="dxa"/>
            </w:tcMar>
            <w:shd w:fill="FFFFFF"/>
          </w:tcPr>
          <w:p>
            <w:pPr>
              <w:spacing w:after="40" w:line="245" w:lineRule="auto"/>
            </w:pPr>
            <w:r>
              <w:rPr>
                <w:sz w:val="20"/>
              </w:rPr>
              <w:t>Source files</w:t>
            </w:r>
          </w:p>
        </w:tc>
        <w:tc>
          <w:tcPr>
            <w:tcW w:type="dxa" w:w="1872"/>
            <w:vAlign w:val="center"/>
            <w:tcMar>
              <w:top w:w="90" w:type="dxa"/>
              <w:left w:w="90" w:type="dxa"/>
              <w:bottom w:w="90" w:type="dxa"/>
              <w:right w:w="90" w:type="dxa"/>
            </w:tcMar>
            <w:shd w:fill="FFFFFF"/>
          </w:tcPr>
          <w:p>
            <w:pPr>
              <w:spacing w:after="40" w:line="245" w:lineRule="auto"/>
              <w:jc w:val="center"/>
            </w:pPr>
            <w:r>
              <w:rPr>
                <w:sz w:val="20"/>
              </w:rPr>
              <w:t>929</w:t>
            </w:r>
          </w:p>
        </w:tc>
      </w:tr>
      <w:tr>
        <w:trPr>
          <w:cantSplit/>
        </w:trPr>
        <w:tc>
          <w:tcPr>
            <w:tcW w:type="dxa" w:w="8208"/>
            <w:vAlign w:val="center"/>
            <w:tcMar>
              <w:top w:w="90" w:type="dxa"/>
              <w:left w:w="90" w:type="dxa"/>
              <w:bottom w:w="90" w:type="dxa"/>
              <w:right w:w="90" w:type="dxa"/>
            </w:tcMar>
            <w:shd w:fill="F7F9FB"/>
          </w:tcPr>
          <w:p>
            <w:pPr>
              <w:spacing w:after="40" w:line="245" w:lineRule="auto"/>
            </w:pPr>
            <w:r>
              <w:rPr>
                <w:sz w:val="20"/>
              </w:rPr>
              <w:t>Tabor Totality</w:t>
            </w:r>
          </w:p>
        </w:tc>
        <w:tc>
          <w:tcPr>
            <w:tcW w:type="dxa" w:w="1872"/>
            <w:vAlign w:val="center"/>
            <w:tcMar>
              <w:top w:w="90" w:type="dxa"/>
              <w:left w:w="90" w:type="dxa"/>
              <w:bottom w:w="90" w:type="dxa"/>
              <w:right w:w="90" w:type="dxa"/>
            </w:tcMar>
            <w:shd w:fill="F7F9FB"/>
          </w:tcPr>
          <w:p>
            <w:pPr>
              <w:spacing w:after="40" w:line="245" w:lineRule="auto"/>
              <w:jc w:val="center"/>
            </w:pPr>
            <w:r>
              <w:rPr>
                <w:sz w:val="20"/>
              </w:rPr>
              <w:t>637</w:t>
            </w:r>
          </w:p>
        </w:tc>
      </w:tr>
      <w:tr>
        <w:trPr>
          <w:cantSplit/>
        </w:trPr>
        <w:tc>
          <w:tcPr>
            <w:tcW w:type="dxa" w:w="8208"/>
            <w:vAlign w:val="center"/>
            <w:tcMar>
              <w:top w:w="90" w:type="dxa"/>
              <w:left w:w="90" w:type="dxa"/>
              <w:bottom w:w="90" w:type="dxa"/>
              <w:right w:w="90" w:type="dxa"/>
            </w:tcMar>
            <w:shd w:fill="FFFFFF"/>
          </w:tcPr>
          <w:p>
            <w:pPr>
              <w:spacing w:after="40" w:line="245" w:lineRule="auto"/>
            </w:pPr>
            <w:r>
              <w:rPr>
                <w:sz w:val="20"/>
              </w:rPr>
              <w:t>616 Micro/Macro</w:t>
            </w:r>
          </w:p>
        </w:tc>
        <w:tc>
          <w:tcPr>
            <w:tcW w:type="dxa" w:w="1872"/>
            <w:vAlign w:val="center"/>
            <w:tcMar>
              <w:top w:w="90" w:type="dxa"/>
              <w:left w:w="90" w:type="dxa"/>
              <w:bottom w:w="90" w:type="dxa"/>
              <w:right w:w="90" w:type="dxa"/>
            </w:tcMar>
            <w:shd w:fill="FFFFFF"/>
          </w:tcPr>
          <w:p>
            <w:pPr>
              <w:spacing w:after="40" w:line="245" w:lineRule="auto"/>
              <w:jc w:val="center"/>
            </w:pPr>
            <w:r>
              <w:rPr>
                <w:sz w:val="20"/>
              </w:rPr>
              <w:t>135</w:t>
            </w:r>
          </w:p>
        </w:tc>
      </w:tr>
      <w:tr>
        <w:trPr>
          <w:cantSplit/>
        </w:trPr>
        <w:tc>
          <w:tcPr>
            <w:tcW w:type="dxa" w:w="8208"/>
            <w:vAlign w:val="center"/>
            <w:tcMar>
              <w:top w:w="90" w:type="dxa"/>
              <w:left w:w="90" w:type="dxa"/>
              <w:bottom w:w="90" w:type="dxa"/>
              <w:right w:w="90" w:type="dxa"/>
            </w:tcMar>
            <w:shd w:fill="F7F9FB"/>
          </w:tcPr>
          <w:p>
            <w:pPr>
              <w:spacing w:after="40" w:line="245" w:lineRule="auto"/>
            </w:pPr>
            <w:r>
              <w:rPr>
                <w:sz w:val="20"/>
              </w:rPr>
              <w:t>Factory family</w:t>
            </w:r>
          </w:p>
        </w:tc>
        <w:tc>
          <w:tcPr>
            <w:tcW w:type="dxa" w:w="1872"/>
            <w:vAlign w:val="center"/>
            <w:tcMar>
              <w:top w:w="90" w:type="dxa"/>
              <w:left w:w="90" w:type="dxa"/>
              <w:bottom w:w="90" w:type="dxa"/>
              <w:right w:w="90" w:type="dxa"/>
            </w:tcMar>
            <w:shd w:fill="F7F9FB"/>
          </w:tcPr>
          <w:p>
            <w:pPr>
              <w:spacing w:after="40" w:line="245" w:lineRule="auto"/>
              <w:jc w:val="center"/>
            </w:pPr>
            <w:r>
              <w:rPr>
                <w:sz w:val="20"/>
              </w:rPr>
              <w:t>8</w:t>
            </w:r>
          </w:p>
        </w:tc>
      </w:tr>
      <w:tr>
        <w:trPr>
          <w:cantSplit/>
        </w:trPr>
        <w:tc>
          <w:tcPr>
            <w:tcW w:type="dxa" w:w="8208"/>
            <w:vAlign w:val="center"/>
            <w:tcMar>
              <w:top w:w="90" w:type="dxa"/>
              <w:left w:w="90" w:type="dxa"/>
              <w:bottom w:w="90" w:type="dxa"/>
              <w:right w:w="90" w:type="dxa"/>
            </w:tcMar>
            <w:shd w:fill="FFFFFF"/>
          </w:tcPr>
          <w:p>
            <w:pPr>
              <w:spacing w:after="40" w:line="245" w:lineRule="auto"/>
            </w:pPr>
            <w:r>
              <w:rPr>
                <w:sz w:val="20"/>
              </w:rPr>
              <w:t>Story section</w:t>
            </w:r>
          </w:p>
        </w:tc>
        <w:tc>
          <w:tcPr>
            <w:tcW w:type="dxa" w:w="1872"/>
            <w:vAlign w:val="center"/>
            <w:tcMar>
              <w:top w:w="90" w:type="dxa"/>
              <w:left w:w="90" w:type="dxa"/>
              <w:bottom w:w="90" w:type="dxa"/>
              <w:right w:w="90" w:type="dxa"/>
            </w:tcMar>
            <w:shd w:fill="FFFFFF"/>
          </w:tcPr>
          <w:p>
            <w:pPr>
              <w:spacing w:after="40" w:line="245" w:lineRule="auto"/>
              <w:jc w:val="center"/>
            </w:pPr>
            <w:r>
              <w:rPr>
                <w:sz w:val="20"/>
              </w:rPr>
              <w:t>8</w:t>
            </w:r>
          </w:p>
        </w:tc>
      </w:tr>
      <w:tr>
        <w:trPr>
          <w:cantSplit/>
        </w:trPr>
        <w:tc>
          <w:tcPr>
            <w:tcW w:type="dxa" w:w="8208"/>
            <w:vAlign w:val="center"/>
            <w:tcMar>
              <w:top w:w="90" w:type="dxa"/>
              <w:left w:w="90" w:type="dxa"/>
              <w:bottom w:w="90" w:type="dxa"/>
              <w:right w:w="90" w:type="dxa"/>
            </w:tcMar>
            <w:shd w:fill="F7F9FB"/>
          </w:tcPr>
          <w:p>
            <w:pPr>
              <w:spacing w:after="40" w:line="245" w:lineRule="auto"/>
            </w:pPr>
            <w:r>
              <w:rPr>
                <w:sz w:val="20"/>
              </w:rPr>
              <w:t>Fictional plot hook</w:t>
            </w:r>
          </w:p>
        </w:tc>
        <w:tc>
          <w:tcPr>
            <w:tcW w:type="dxa" w:w="1872"/>
            <w:vAlign w:val="center"/>
            <w:tcMar>
              <w:top w:w="90" w:type="dxa"/>
              <w:left w:w="90" w:type="dxa"/>
              <w:bottom w:w="90" w:type="dxa"/>
              <w:right w:w="90" w:type="dxa"/>
            </w:tcMar>
            <w:shd w:fill="F7F9FB"/>
          </w:tcPr>
          <w:p>
            <w:pPr>
              <w:spacing w:after="40" w:line="245" w:lineRule="auto"/>
              <w:jc w:val="center"/>
            </w:pPr>
            <w:r>
              <w:rPr>
                <w:sz w:val="20"/>
              </w:rPr>
              <w:t>95</w:t>
            </w:r>
          </w:p>
        </w:tc>
      </w:tr>
      <w:tr>
        <w:trPr>
          <w:cantSplit/>
        </w:trPr>
        <w:tc>
          <w:tcPr>
            <w:tcW w:type="dxa" w:w="8208"/>
            <w:vAlign w:val="center"/>
            <w:tcMar>
              <w:top w:w="90" w:type="dxa"/>
              <w:left w:w="90" w:type="dxa"/>
              <w:bottom w:w="90" w:type="dxa"/>
              <w:right w:w="90" w:type="dxa"/>
            </w:tcMar>
            <w:shd w:fill="FFFFFF"/>
          </w:tcPr>
          <w:p>
            <w:pPr>
              <w:spacing w:after="40" w:line="245" w:lineRule="auto"/>
            </w:pPr>
            <w:r>
              <w:rPr>
                <w:sz w:val="20"/>
              </w:rPr>
              <w:t>Reserved slots</w:t>
            </w:r>
          </w:p>
        </w:tc>
        <w:tc>
          <w:tcPr>
            <w:tcW w:type="dxa" w:w="1872"/>
            <w:vAlign w:val="center"/>
            <w:tcMar>
              <w:top w:w="90" w:type="dxa"/>
              <w:left w:w="90" w:type="dxa"/>
              <w:bottom w:w="90" w:type="dxa"/>
              <w:right w:w="90" w:type="dxa"/>
            </w:tcMar>
            <w:shd w:fill="FFFFFF"/>
          </w:tcPr>
          <w:p>
            <w:pPr>
              <w:spacing w:after="40" w:line="245" w:lineRule="auto"/>
              <w:jc w:val="center"/>
            </w:pPr>
            <w:r>
              <w:rPr>
                <w:sz w:val="20"/>
              </w:rPr>
              <w:t>6</w:t>
            </w:r>
          </w:p>
        </w:tc>
      </w:tr>
      <w:tr>
        <w:trPr>
          <w:cantSplit/>
        </w:trPr>
        <w:tc>
          <w:tcPr>
            <w:tcW w:type="dxa" w:w="8208"/>
            <w:vAlign w:val="center"/>
            <w:tcMar>
              <w:top w:w="90" w:type="dxa"/>
              <w:left w:w="90" w:type="dxa"/>
              <w:bottom w:w="90" w:type="dxa"/>
              <w:right w:w="90" w:type="dxa"/>
            </w:tcMar>
            <w:shd w:fill="F7F9FB"/>
          </w:tcPr>
          <w:p>
            <w:pPr>
              <w:spacing w:after="40" w:line="245" w:lineRule="auto"/>
            </w:pPr>
            <w:r>
              <w:rPr>
                <w:sz w:val="20"/>
              </w:rPr>
              <w:t>Factory module</w:t>
            </w:r>
          </w:p>
        </w:tc>
        <w:tc>
          <w:tcPr>
            <w:tcW w:type="dxa" w:w="1872"/>
            <w:vAlign w:val="center"/>
            <w:tcMar>
              <w:top w:w="90" w:type="dxa"/>
              <w:left w:w="90" w:type="dxa"/>
              <w:bottom w:w="90" w:type="dxa"/>
              <w:right w:w="90" w:type="dxa"/>
            </w:tcMar>
            <w:shd w:fill="F7F9FB"/>
          </w:tcPr>
          <w:p>
            <w:pPr>
              <w:spacing w:after="40" w:line="245" w:lineRule="auto"/>
              <w:jc w:val="center"/>
            </w:pPr>
            <w:r>
              <w:rPr>
                <w:sz w:val="20"/>
              </w:rPr>
              <w:t>6</w:t>
            </w:r>
          </w:p>
        </w:tc>
      </w:tr>
      <w:tr>
        <w:trPr>
          <w:cantSplit/>
        </w:trPr>
        <w:tc>
          <w:tcPr>
            <w:tcW w:type="dxa" w:w="8208"/>
            <w:vAlign w:val="center"/>
            <w:tcMar>
              <w:top w:w="90" w:type="dxa"/>
              <w:left w:w="90" w:type="dxa"/>
              <w:bottom w:w="90" w:type="dxa"/>
              <w:right w:w="90" w:type="dxa"/>
            </w:tcMar>
            <w:shd w:fill="FFFFFF"/>
          </w:tcPr>
          <w:p>
            <w:pPr>
              <w:spacing w:after="40" w:line="245" w:lineRule="auto"/>
            </w:pPr>
            <w:r>
              <w:rPr>
                <w:sz w:val="20"/>
              </w:rPr>
              <w:t>Canon reference</w:t>
            </w:r>
          </w:p>
        </w:tc>
        <w:tc>
          <w:tcPr>
            <w:tcW w:type="dxa" w:w="1872"/>
            <w:vAlign w:val="center"/>
            <w:tcMar>
              <w:top w:w="90" w:type="dxa"/>
              <w:left w:w="90" w:type="dxa"/>
              <w:bottom w:w="90" w:type="dxa"/>
              <w:right w:w="90" w:type="dxa"/>
            </w:tcMar>
            <w:shd w:fill="FFFFFF"/>
          </w:tcPr>
          <w:p>
            <w:pPr>
              <w:spacing w:after="40" w:line="245" w:lineRule="auto"/>
              <w:jc w:val="center"/>
            </w:pPr>
            <w:r>
              <w:rPr>
                <w:sz w:val="20"/>
              </w:rPr>
              <w:t>10</w:t>
            </w:r>
          </w:p>
        </w:tc>
      </w:tr>
      <w:tr>
        <w:trPr>
          <w:cantSplit/>
        </w:trPr>
        <w:tc>
          <w:tcPr>
            <w:tcW w:type="dxa" w:w="8208"/>
            <w:vAlign w:val="center"/>
            <w:tcMar>
              <w:top w:w="90" w:type="dxa"/>
              <w:left w:w="90" w:type="dxa"/>
              <w:bottom w:w="90" w:type="dxa"/>
              <w:right w:w="90" w:type="dxa"/>
            </w:tcMar>
            <w:shd w:fill="F7F9FB"/>
          </w:tcPr>
          <w:p>
            <w:pPr>
              <w:spacing w:after="40" w:line="245" w:lineRule="auto"/>
            </w:pPr>
            <w:r>
              <w:rPr>
                <w:sz w:val="20"/>
              </w:rPr>
              <w:t>Language research seeds</w:t>
            </w:r>
          </w:p>
        </w:tc>
        <w:tc>
          <w:tcPr>
            <w:tcW w:type="dxa" w:w="1872"/>
            <w:vAlign w:val="center"/>
            <w:tcMar>
              <w:top w:w="90" w:type="dxa"/>
              <w:left w:w="90" w:type="dxa"/>
              <w:bottom w:w="90" w:type="dxa"/>
              <w:right w:w="90" w:type="dxa"/>
            </w:tcMar>
            <w:shd w:fill="F7F9FB"/>
          </w:tcPr>
          <w:p>
            <w:pPr>
              <w:spacing w:after="40" w:line="245" w:lineRule="auto"/>
              <w:jc w:val="center"/>
            </w:pPr>
            <w:r>
              <w:rPr>
                <w:sz w:val="20"/>
              </w:rPr>
              <w:t>15</w:t>
            </w:r>
          </w:p>
        </w:tc>
      </w:tr>
      <w:tr>
        <w:trPr>
          <w:cantSplit/>
        </w:trPr>
        <w:tc>
          <w:tcPr>
            <w:tcW w:type="dxa" w:w="8208"/>
            <w:vAlign w:val="center"/>
            <w:tcMar>
              <w:top w:w="90" w:type="dxa"/>
              <w:left w:w="90" w:type="dxa"/>
              <w:bottom w:w="90" w:type="dxa"/>
              <w:right w:w="90" w:type="dxa"/>
            </w:tcMar>
            <w:shd w:fill="FFFFFF"/>
          </w:tcPr>
          <w:p>
            <w:pPr>
              <w:spacing w:after="40" w:line="245" w:lineRule="auto"/>
            </w:pPr>
            <w:r>
              <w:rPr>
                <w:sz w:val="20"/>
              </w:rPr>
              <w:t>App entry points</w:t>
            </w:r>
          </w:p>
        </w:tc>
        <w:tc>
          <w:tcPr>
            <w:tcW w:type="dxa" w:w="1872"/>
            <w:vAlign w:val="center"/>
            <w:tcMar>
              <w:top w:w="90" w:type="dxa"/>
              <w:left w:w="90" w:type="dxa"/>
              <w:bottom w:w="90" w:type="dxa"/>
              <w:right w:w="90" w:type="dxa"/>
            </w:tcMar>
            <w:shd w:fill="FFFFFF"/>
          </w:tcPr>
          <w:p>
            <w:pPr>
              <w:spacing w:after="40" w:line="245" w:lineRule="auto"/>
              <w:jc w:val="center"/>
            </w:pPr>
            <w:r>
              <w:rPr>
                <w:sz w:val="20"/>
              </w:rPr>
              <w:t>12</w:t>
            </w:r>
          </w:p>
        </w:tc>
      </w:tr>
      <w:tr>
        <w:trPr>
          <w:cantSplit/>
        </w:trPr>
        <w:tc>
          <w:tcPr>
            <w:tcW w:type="dxa" w:w="8208"/>
            <w:vAlign w:val="center"/>
            <w:tcMar>
              <w:top w:w="90" w:type="dxa"/>
              <w:left w:w="90" w:type="dxa"/>
              <w:bottom w:w="90" w:type="dxa"/>
              <w:right w:w="90" w:type="dxa"/>
            </w:tcMar>
            <w:shd w:fill="F7F9FB"/>
          </w:tcPr>
          <w:p>
            <w:pPr>
              <w:spacing w:after="40" w:line="245" w:lineRule="auto"/>
            </w:pPr>
            <w:r>
              <w:rPr>
                <w:sz w:val="20"/>
              </w:rPr>
              <w:t>Project source-first</w:t>
            </w:r>
          </w:p>
        </w:tc>
        <w:tc>
          <w:tcPr>
            <w:tcW w:type="dxa" w:w="1872"/>
            <w:vAlign w:val="center"/>
            <w:tcMar>
              <w:top w:w="90" w:type="dxa"/>
              <w:left w:w="90" w:type="dxa"/>
              <w:bottom w:w="90" w:type="dxa"/>
              <w:right w:w="90" w:type="dxa"/>
            </w:tcMar>
            <w:shd w:fill="F7F9FB"/>
          </w:tcPr>
          <w:p>
            <w:pPr>
              <w:spacing w:after="40" w:line="245" w:lineRule="auto"/>
              <w:jc w:val="center"/>
            </w:pPr>
            <w:r>
              <w:rPr>
                <w:sz w:val="20"/>
              </w:rPr>
              <w:t>299</w:t>
            </w:r>
          </w:p>
        </w:tc>
      </w:tr>
      <w:tr>
        <w:trPr>
          <w:cantSplit/>
        </w:trPr>
        <w:tc>
          <w:tcPr>
            <w:tcW w:type="dxa" w:w="8208"/>
            <w:vAlign w:val="center"/>
            <w:tcMar>
              <w:top w:w="90" w:type="dxa"/>
              <w:left w:w="90" w:type="dxa"/>
              <w:bottom w:w="90" w:type="dxa"/>
              <w:right w:w="90" w:type="dxa"/>
            </w:tcMar>
            <w:shd w:fill="FFFFFF"/>
          </w:tcPr>
          <w:p>
            <w:pPr>
              <w:spacing w:after="40" w:line="245" w:lineRule="auto"/>
            </w:pPr>
            <w:r>
              <w:rPr>
                <w:sz w:val="20"/>
              </w:rPr>
              <w:t>Library departments</w:t>
            </w:r>
          </w:p>
        </w:tc>
        <w:tc>
          <w:tcPr>
            <w:tcW w:type="dxa" w:w="1872"/>
            <w:vAlign w:val="center"/>
            <w:tcMar>
              <w:top w:w="90" w:type="dxa"/>
              <w:left w:w="90" w:type="dxa"/>
              <w:bottom w:w="90" w:type="dxa"/>
              <w:right w:w="90" w:type="dxa"/>
            </w:tcMar>
            <w:shd w:fill="FFFFFF"/>
          </w:tcPr>
          <w:p>
            <w:pPr>
              <w:spacing w:after="40" w:line="245" w:lineRule="auto"/>
              <w:jc w:val="center"/>
            </w:pPr>
            <w:r>
              <w:rPr>
                <w:sz w:val="20"/>
              </w:rPr>
              <w:t>33</w:t>
            </w:r>
          </w:p>
        </w:tc>
      </w:tr>
      <w:tr>
        <w:trPr>
          <w:cantSplit/>
        </w:trPr>
        <w:tc>
          <w:tcPr>
            <w:tcW w:type="dxa" w:w="8208"/>
            <w:vAlign w:val="center"/>
            <w:tcMar>
              <w:top w:w="90" w:type="dxa"/>
              <w:left w:w="90" w:type="dxa"/>
              <w:bottom w:w="90" w:type="dxa"/>
              <w:right w:w="90" w:type="dxa"/>
            </w:tcMar>
            <w:shd w:fill="F7F9FB"/>
          </w:tcPr>
          <w:p>
            <w:pPr>
              <w:spacing w:after="40" w:line="245" w:lineRule="auto"/>
            </w:pPr>
            <w:r>
              <w:rPr>
                <w:b/>
                <w:sz w:val="20"/>
              </w:rPr>
              <w:t>Total</w:t>
            </w:r>
          </w:p>
        </w:tc>
        <w:tc>
          <w:tcPr>
            <w:tcW w:type="dxa" w:w="1872"/>
            <w:vAlign w:val="center"/>
            <w:tcMar>
              <w:top w:w="90" w:type="dxa"/>
              <w:left w:w="90" w:type="dxa"/>
              <w:bottom w:w="90" w:type="dxa"/>
              <w:right w:w="90" w:type="dxa"/>
            </w:tcMar>
            <w:shd w:fill="F7F9FB"/>
          </w:tcPr>
          <w:p>
            <w:pPr>
              <w:spacing w:after="40" w:line="245" w:lineRule="auto"/>
            </w:pPr>
            <w:r>
              <w:rPr>
                <w:b/>
                <w:sz w:val="20"/>
              </w:rPr>
              <w:t>2193</w:t>
            </w:r>
          </w:p>
        </w:tc>
      </w:tr>
    </w:tbl>
    <w:p>
      <w:pPr>
        <w:spacing w:after="40"/>
      </w:pPr>
    </w:p>
    <w:p>
      <w:r>
        <w:t>The accompanying evidence JSON contains the full record-level catalog and all 480 relationship entries, preserving the detail behind these totals. Collection counts describe this export; overlapping exports are not added together as unique holdings.</w:t>
      </w:r>
    </w:p>
    <w:sectPr w:rsidR="00FC693F" w:rsidRPr="0006063C" w:rsidSect="00034616">
      <w:footerReference w:type="default" r:id="rId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Nathan Tabor Project Dossier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library?file_id=libfile_75a8182c2e18819180f6ff9d83c56cdf&amp;account_id=personal" TargetMode="External"/><Relationship Id="rId10" Type="http://schemas.openxmlformats.org/officeDocument/2006/relationships/hyperlink" Target="https://chatgpt.com/library?file_id=libfile_85e1d2b6a9f08191919598959480c47a&amp;account_id=personal" TargetMode="External"/><Relationship Id="rId11" Type="http://schemas.openxmlformats.org/officeDocument/2006/relationships/hyperlink" Target="https://chatgpt.com/library?file_id=libfile_6bc5b460e45c81919a5ed67230d99e00&amp;account_id=personal" TargetMode="External"/><Relationship Id="rId12" Type="http://schemas.openxmlformats.org/officeDocument/2006/relationships/hyperlink" Target="https://chatgpt.com/library?file_id=libfile_00b0a89b3aac81918b675ce2f1392e61&amp;account_id=personal" TargetMode="External"/><Relationship Id="rId13" Type="http://schemas.openxmlformats.org/officeDocument/2006/relationships/hyperlink" Target="https://chatgpt.com/library?file_id=libfile_6f9ab7401f688191bad28d0ffd11200e&amp;account_id=personal" TargetMode="External"/><Relationship Id="rId14" Type="http://schemas.openxmlformats.org/officeDocument/2006/relationships/hyperlink" Target="https://chatgpt.com/library?file_id=libfile_4a51c6167d588191a817714cb953efe4&amp;account_id=personal" TargetMode="External"/><Relationship Id="rId15" Type="http://schemas.openxmlformats.org/officeDocument/2006/relationships/hyperlink" Target="https://chatgpt.com/library?file_id=libfile_6cef28b4a3848191aa63cba2f4dc3327&amp;account_id=persona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Nathan Tabor Project Dossier</dc:title>
  <dc:subject>Achievements active development and completion vision</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