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Atlas — lecture des métriques</w:t>
      </w:r>
    </w:p>
    <w:p>
      <w:r>
        <w:t>Ce dossier décrit la page Test du site. Chaque ligne est une opération d’architecture inventée. Rien n’est mesuré sur un vrai bâtiment, ni sur un vrai site web. Les chiffres servent à lire un tableau de bord : filtres, graphiques, tableau et carte.</w:t>
      </w:r>
    </w:p>
    <w:p>
      <w:pPr>
        <w:pStyle w:val="Heading1"/>
      </w:pPr>
      <w:r>
        <w:t>Ce que contient une ligne</w:t>
      </w:r>
    </w:p>
    <w:p>
      <w:r>
        <w:t>Une opération réunit un atelier, une ville, une région, un type de bâtiment, un statut, une année, un budget, une surface et un score. Le tirage est fixe : les mêmes 100 000 lignes reviennent à chaque ouverture. Aucun fichier n’est chargé, aucune donnée n’est envoyée.</w:t>
      </w:r>
    </w:p>
    <w:tbl>
      <w:tblPr>
        <w:tblW w:type="auto" w:w="0"/>
        <w:tblLook w:firstColumn="1" w:firstRow="1" w:lastColumn="0" w:lastRow="0" w:noHBand="0" w:noVBand="1" w:val="04A0"/>
      </w:tblPr>
      <w:tblGrid>
        <w:gridCol w:w="4873"/>
        <w:gridCol w:w="4873"/>
      </w:tblGrid>
      <w:tr>
        <w:tc>
          <w:tcPr>
            <w:tcW w:type="dxa" w:w="4873"/>
          </w:tcPr>
          <w:p>
            <w:r>
              <w:t>Champ</w:t>
            </w:r>
          </w:p>
        </w:tc>
        <w:tc>
          <w:tcPr>
            <w:tcW w:type="dxa" w:w="4873"/>
          </w:tcPr>
          <w:p>
            <w:r>
              <w:t>Lecture</w:t>
            </w:r>
          </w:p>
        </w:tc>
      </w:tr>
      <w:tr>
        <w:tc>
          <w:tcPr>
            <w:tcW w:type="dxa" w:w="4873"/>
          </w:tcPr>
          <w:p>
            <w:r>
              <w:t>Atelier</w:t>
            </w:r>
          </w:p>
        </w:tc>
        <w:tc>
          <w:tcPr>
            <w:tcW w:type="dxa" w:w="4873"/>
          </w:tcPr>
          <w:p>
            <w:r>
              <w:t>Cabinet fictif qui porte le projet. Vingt noms, toujours les mêmes.</w:t>
            </w:r>
          </w:p>
        </w:tc>
      </w:tr>
      <w:tr>
        <w:tc>
          <w:tcPr>
            <w:tcW w:type="dxa" w:w="4873"/>
          </w:tcPr>
          <w:p>
            <w:r>
              <w:t>Ville et région</w:t>
            </w:r>
          </w:p>
        </w:tc>
        <w:tc>
          <w:tcPr>
            <w:tcW w:type="dxa" w:w="4873"/>
          </w:tcPr>
          <w:p>
            <w:r>
              <w:t>Lieu inventé, rattaché à l’Europe, l’Asie, les Amériques, l’Afrique ou l’Océanie.</w:t>
            </w:r>
          </w:p>
        </w:tc>
      </w:tr>
      <w:tr>
        <w:tc>
          <w:tcPr>
            <w:tcW w:type="dxa" w:w="4873"/>
          </w:tcPr>
          <w:p>
            <w:r>
              <w:t>Type</w:t>
            </w:r>
          </w:p>
        </w:tc>
        <w:tc>
          <w:tcPr>
            <w:tcW w:type="dxa" w:w="4873"/>
          </w:tcPr>
          <w:p>
            <w:r>
              <w:t>Musée, logement, campus, gare, tour ou paysage.</w:t>
            </w:r>
          </w:p>
        </w:tc>
      </w:tr>
      <w:tr>
        <w:tc>
          <w:tcPr>
            <w:tcW w:type="dxa" w:w="4873"/>
          </w:tcPr>
          <w:p>
            <w:r>
              <w:t>Statut</w:t>
            </w:r>
          </w:p>
        </w:tc>
        <w:tc>
          <w:tcPr>
            <w:tcW w:type="dxa" w:w="4873"/>
          </w:tcPr>
          <w:p>
            <w:r>
              <w:t>Livré, chantier, concours ou étude.</w:t>
            </w:r>
          </w:p>
        </w:tc>
      </w:tr>
      <w:tr>
        <w:tc>
          <w:tcPr>
            <w:tcW w:type="dxa" w:w="4873"/>
          </w:tcPr>
          <w:p>
            <w:r>
              <w:t>Année</w:t>
            </w:r>
          </w:p>
        </w:tc>
        <w:tc>
          <w:tcPr>
            <w:tcW w:type="dxa" w:w="4873"/>
          </w:tcPr>
          <w:p>
            <w:r>
              <w:t>De 2015 à 2026.</w:t>
            </w:r>
          </w:p>
        </w:tc>
      </w:tr>
      <w:tr>
        <w:tc>
          <w:tcPr>
            <w:tcW w:type="dxa" w:w="4873"/>
          </w:tcPr>
          <w:p>
            <w:r>
              <w:t>Budget</w:t>
            </w:r>
          </w:p>
        </w:tc>
        <w:tc>
          <w:tcPr>
            <w:tcW w:type="dxa" w:w="4873"/>
          </w:tcPr>
          <w:p>
            <w:r>
              <w:t>Montant fictif, en euros.</w:t>
            </w:r>
          </w:p>
        </w:tc>
      </w:tr>
      <w:tr>
        <w:tc>
          <w:tcPr>
            <w:tcW w:type="dxa" w:w="4873"/>
          </w:tcPr>
          <w:p>
            <w:r>
              <w:t>Surface</w:t>
            </w:r>
          </w:p>
        </w:tc>
        <w:tc>
          <w:tcPr>
            <w:tcW w:type="dxa" w:w="4873"/>
          </w:tcPr>
          <w:p>
            <w:r>
              <w:t>Mètres carrés fictifs.</w:t>
            </w:r>
          </w:p>
        </w:tc>
      </w:tr>
      <w:tr>
        <w:tc>
          <w:tcPr>
            <w:tcW w:type="dxa" w:w="4873"/>
          </w:tcPr>
          <w:p>
            <w:r>
              <w:t>Score</w:t>
            </w:r>
          </w:p>
        </w:tc>
        <w:tc>
          <w:tcPr>
            <w:tcW w:type="dxa" w:w="4873"/>
          </w:tcPr>
          <w:p>
            <w:r>
              <w:t>Note de 42 à 99. Elle est un peu plus haute si le projet est livré.</w:t>
            </w:r>
          </w:p>
        </w:tc>
      </w:tr>
    </w:tbl>
    <w:p/>
    <w:p>
      <w:pPr>
        <w:pStyle w:val="Heading1"/>
      </w:pPr>
      <w:r>
        <w:t>Les métriques d’impact</w:t>
      </w:r>
    </w:p>
    <w:p>
      <w:r>
        <w:t>Quatre indicateurs s’ajoutent, calculés à partir de la ligne déjà tirée. Ils ne relancent pas le hasard : une tour pèse plus lourd qu’un paysage, une année récente un peu moins, un projet livré un peu mieux qu’une étude.</w:t>
      </w:r>
    </w:p>
    <w:tbl>
      <w:tblPr>
        <w:tblW w:type="auto" w:w="0"/>
        <w:tblLook w:firstColumn="1" w:firstRow="1" w:lastColumn="0" w:lastRow="0" w:noHBand="0" w:noVBand="1" w:val="04A0"/>
      </w:tblPr>
      <w:tblGrid>
        <w:gridCol w:w="4873"/>
        <w:gridCol w:w="4873"/>
      </w:tblGrid>
      <w:tr>
        <w:tc>
          <w:tcPr>
            <w:tcW w:type="dxa" w:w="4873"/>
          </w:tcPr>
          <w:p>
            <w:r>
              <w:t>Indicateur</w:t>
            </w:r>
          </w:p>
        </w:tc>
        <w:tc>
          <w:tcPr>
            <w:tcW w:type="dxa" w:w="4873"/>
          </w:tcPr>
          <w:p>
            <w:r>
              <w:t>Ce qu’il dit</w:t>
            </w:r>
          </w:p>
        </w:tc>
      </w:tr>
      <w:tr>
        <w:tc>
          <w:tcPr>
            <w:tcW w:type="dxa" w:w="4873"/>
          </w:tcPr>
          <w:p>
            <w:r>
              <w:t>Carbone</w:t>
            </w:r>
          </w:p>
        </w:tc>
        <w:tc>
          <w:tcPr>
            <w:tcW w:type="dxa" w:w="4873"/>
          </w:tcPr>
          <w:p>
            <w:r>
              <w:t>Kilogrammes de CO₂e par mètre carré. La lettre A à G classe cette intensité. A est la plus légère, G la plus lourde.</w:t>
            </w:r>
          </w:p>
        </w:tc>
      </w:tr>
      <w:tr>
        <w:tc>
          <w:tcPr>
            <w:tcW w:type="dxa" w:w="4873"/>
          </w:tcPr>
          <w:p>
            <w:r>
              <w:t>Énergie</w:t>
            </w:r>
          </w:p>
        </w:tc>
        <w:tc>
          <w:tcPr>
            <w:tcW w:type="dxa" w:w="4873"/>
          </w:tcPr>
          <w:p>
            <w:r>
              <w:t>Kilowattheures par mètre carré et par an. Elle suit le même ordre que le carbone.</w:t>
            </w:r>
          </w:p>
        </w:tc>
      </w:tr>
      <w:tr>
        <w:tc>
          <w:tcPr>
            <w:tcW w:type="dxa" w:w="4873"/>
          </w:tcPr>
          <w:p>
            <w:r>
              <w:t>Accessibilité</w:t>
            </w:r>
          </w:p>
        </w:tc>
        <w:tc>
          <w:tcPr>
            <w:tcW w:type="dxa" w:w="4873"/>
          </w:tcPr>
          <w:p>
            <w:r>
              <w:t>Note sur 100. Un logement ou un paysage est plus accueillant qu’une tour.</w:t>
            </w:r>
          </w:p>
        </w:tc>
      </w:tr>
      <w:tr>
        <w:tc>
          <w:tcPr>
            <w:tcW w:type="dxa" w:w="4873"/>
          </w:tcPr>
          <w:p>
            <w:r>
              <w:t>Qualité</w:t>
            </w:r>
          </w:p>
        </w:tc>
        <w:tc>
          <w:tcPr>
            <w:tcW w:type="dxa" w:w="4873"/>
          </w:tcPr>
          <w:p>
            <w:r>
              <w:t>Note sur 100. Elle résume la lisibilité de la fiche, pas un audit extérieur.</w:t>
            </w:r>
          </w:p>
        </w:tc>
      </w:tr>
    </w:tbl>
    <w:p/>
    <w:p>
      <w:r>
        <w:t>Les seuils de la lettre carbone sont fixes : A jusqu’à 250 kg/m², B jusqu’à 400, C jusqu’à 550, D jusqu’à 750, E jusqu’à 1 000, F jusqu’à 1 300, G au-delà. Le carbone et l’énergie affichés en haut de page sont des moyennes pondérées par la surface. L’accessibilité et la qualité sont des moyennes simples.</w:t>
      </w:r>
    </w:p>
    <w:p>
      <w:pPr>
        <w:pStyle w:val="Heading1"/>
      </w:pPr>
      <w:r>
        <w:t>D’où viennent ces idées</w:t>
      </w:r>
    </w:p>
    <w:p>
      <w:r>
        <w:t>Les sources ci-dessous ont servi de vocabulaire. La page ne les interroge pas. Un score affiché ici n’est pas un score EcoIndex, GTmetrix, Opquast ou INR.</w:t>
      </w:r>
    </w:p>
    <w:p>
      <w:pPr>
        <w:pStyle w:val="Heading2"/>
      </w:pPr>
      <w:r>
        <w:t>EcoIndex</w:t>
      </w:r>
    </w:p>
    <w:p>
      <w:r>
        <w:t>EcoIndex estime l’empreinte d’une page web à partir de trois grandeurs : le nombre d’éléments dans la page, le nombre de requêtes et le poids transféré. Il en tire une note sur 100, une lettre de A à G, une estimation d’eau et une estimation de gaz à effet de serre. Le site rappelle que le numérique mondial pèse plusieurs pourcents de l’énergie et des émissions.</w:t>
      </w:r>
    </w:p>
    <w:p>
      <w:r>
        <w:t>Source : https://www.ecoindex.fr/</w:t>
      </w:r>
    </w:p>
    <w:p>
      <w:pPr>
        <w:pStyle w:val="Heading2"/>
      </w:pPr>
      <w:r>
        <w:t>GTmetrix</w:t>
      </w:r>
    </w:p>
    <w:p>
      <w:r>
        <w:t>GTmetrix mesure la performance d’une page : score de performance, score de structure, et les signes vitaux du chargement (affichage du plus grand élément, blocage du fil principal, stabilité visuelle). Atlas n’a pas de temps de chargement à mesurer. L’idée retenue est ailleurs : une note se lit avec une unité, un seuil, et ce qu’elle ne dit pas.</w:t>
      </w:r>
    </w:p>
    <w:p>
      <w:r>
        <w:t>Source : https://gtmetrix.com/</w:t>
      </w:r>
    </w:p>
    <w:p>
      <w:pPr>
        <w:pStyle w:val="Heading2"/>
      </w:pPr>
      <w:r>
        <w:t>Alliance Green IT</w:t>
      </w:r>
    </w:p>
    <w:p>
      <w:r>
        <w:t>L’Alliance Green IT publie des repères sur la sobriété numérique : faire moins, faire durer, éviter le poids inutile. Dans Atlas, la sobriété se lit sur le bâtiment fictif : moins de carbone par mètre carré, moins d’énergie par mètre carré et par an.</w:t>
      </w:r>
    </w:p>
    <w:p>
      <w:r>
        <w:t>Source : https://alliancegreenit.org/</w:t>
      </w:r>
    </w:p>
    <w:p>
      <w:pPr>
        <w:pStyle w:val="Heading2"/>
      </w:pPr>
      <w:r>
        <w:t>Institut du Numérique Responsable</w:t>
      </w:r>
    </w:p>
    <w:p>
      <w:r>
        <w:t>L’Institut du Numérique Responsable tient des outils d’écoconception et d’accessibilité, proches du référentiel général d’écoconception des services numériques. Deux notes d’Atlas s’en inspirent : l’intensité carbone, et l’accessibilité du lieu. Ici, l’accessibilité concerne le bâtiment inventé, pas une page web.</w:t>
      </w:r>
    </w:p>
    <w:p>
      <w:r>
        <w:t>Sources : https://institutnr.org/ et https://institutnr.org/outils-ecoconception-accessibilite/</w:t>
      </w:r>
    </w:p>
    <w:p>
      <w:pPr>
        <w:pStyle w:val="Heading2"/>
      </w:pPr>
      <w:r>
        <w:t>Opquast</w:t>
      </w:r>
    </w:p>
    <w:p>
      <w:r>
        <w:t>La checklist Opquast rassemble des règles d’assurance qualité web, vues du côté de la personne qui lit. La note Qualité d’Atlas reprend cette idée : la fiche est-elle complète et lisible. Elle ne coche aucune des règles Opquast.</w:t>
      </w:r>
    </w:p>
    <w:p>
      <w:r>
        <w:t>Source : https://checklists.opquast.com/fr/assurance-qualite-web/</w:t>
      </w:r>
    </w:p>
    <w:p>
      <w:pPr>
        <w:pStyle w:val="Heading1"/>
      </w:pPr>
      <w:r>
        <w:t>Comment lire la page</w:t>
      </w:r>
    </w:p>
    <w:p>
      <w:r>
        <w:t>Trois vues, un même filtre.</w:t>
      </w:r>
    </w:p>
    <w:p>
      <w:pPr>
        <w:pStyle w:val="ListBullet"/>
      </w:pPr>
      <w:r>
        <w:t>Tableau de bord : les totaux, les courbes, les notes carbone de A à G.</w:t>
      </w:r>
    </w:p>
    <w:p>
      <w:pPr>
        <w:pStyle w:val="ListBullet"/>
      </w:pPr>
      <w:r>
        <w:t>Tableau : une ligne, un tri. Carbone et Qualité sont les deux dernières colonnes.</w:t>
      </w:r>
    </w:p>
    <w:p>
      <w:pPr>
        <w:pStyle w:val="ListBullet"/>
      </w:pPr>
      <w:r>
        <w:t>Carte : les villes. Un clic ne garde qu’une ville.</w:t>
      </w:r>
    </w:p>
    <w:p>
      <w:pPr>
        <w:pStyle w:val="ListBullet"/>
      </w:pPr>
      <w:r>
        <w:t>Filtres : ville ou atelier dans le champ court. Région, type, statut, lettre carbone et années sont sous le bouton Filtres.</w:t>
      </w:r>
    </w:p>
    <w:p>
      <w:pPr>
        <w:pStyle w:val="ListBullet"/>
      </w:pPr>
      <w:r>
        <w:t>Mode daltonien : les couleurs changent, les chiffres non.</w:t>
      </w:r>
    </w:p>
    <w:p>
      <w:r>
        <w:t>Une pastille allumée garde sa catégorie. L’éteindre retire ces lignes de tous les graphiques. Si une recherche donne zéro ligne, une région ou une lettre carbone est peut-être éteinte.</w:t>
      </w:r>
    </w:p>
    <w:p>
      <w:pPr>
        <w:pStyle w:val="Heading1"/>
      </w:pPr>
      <w:r>
        <w:t>Limites</w:t>
      </w:r>
    </w:p>
    <w:p>
      <w:r>
        <w:t>Les opérations n’existent pas. Les facteurs par type de bâtiment sont des ordres de grandeur choisis pour que le tableau se lise, pas des facteurs d’une base carbone officielle. EcoIndex, GTmetrix, l’Alliance Green IT, l’Institut du Numérique Responsable et Opquast n’ont pas analysé cette page. Leurs méthodes restent sur leurs sites.</w:t>
      </w:r>
    </w:p>
    <w:p>
      <w:r>
        <w:rPr>
          <w:i/>
        </w:rPr>
        <w:t>Page concernée : https://nathanbgd.github.io/project/test/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