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wmf" ContentType="image/x-wmf"/>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00"/>
        <w:contextualSpacing/>
        <w:jc w:val="center"/>
        <w:rPr>
          <w:rFonts w:ascii="Garamond" w:hAnsi="Garamond"/>
          <w:sz w:val="22"/>
          <w:szCs w:val="22"/>
        </w:rPr>
      </w:pPr>
      <w:r>
        <w:rPr/>
        <w:drawing>
          <wp:inline distT="0" distB="0" distL="0" distR="0">
            <wp:extent cx="2451735" cy="1111250"/>
            <wp:effectExtent l="0" t="0" r="0" b="0"/>
            <wp:docPr id="1" name="Picture 2" descr="Macintosh HD:Users:ers:Dropbox:ACTIVE:JHU-logos:WSE:small:PDF:whiting.small.horizontal.blac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ers:Dropbox:ACTIVE:JHU-logos:WSE:small:PDF:whiting.small.horizontal.black.pdf"/>
                    <pic:cNvPicPr>
                      <a:picLocks noChangeAspect="1" noChangeArrowheads="1"/>
                    </pic:cNvPicPr>
                  </pic:nvPicPr>
                  <pic:blipFill>
                    <a:blip r:embed="rId2"/>
                    <a:stretch>
                      <a:fillRect/>
                    </a:stretch>
                  </pic:blipFill>
                  <pic:spPr bwMode="auto">
                    <a:xfrm>
                      <a:off x="0" y="0"/>
                      <a:ext cx="2451735" cy="1111250"/>
                    </a:xfrm>
                    <a:prstGeom prst="rect">
                      <a:avLst/>
                    </a:prstGeom>
                  </pic:spPr>
                </pic:pic>
              </a:graphicData>
            </a:graphic>
          </wp:inline>
        </w:drawing>
      </w:r>
    </w:p>
    <w:p>
      <w:pPr>
        <w:pStyle w:val="Normal"/>
        <w:spacing w:before="0" w:after="200"/>
        <w:contextualSpacing/>
        <w:jc w:val="center"/>
        <w:rPr>
          <w:rFonts w:ascii="Garamond" w:hAnsi="Garamond"/>
          <w:b/>
          <w:b/>
          <w:sz w:val="22"/>
          <w:szCs w:val="22"/>
        </w:rPr>
      </w:pPr>
      <w:r>
        <w:rPr>
          <w:rFonts w:ascii="Garamond" w:hAnsi="Garamond"/>
          <w:b/>
          <w:sz w:val="22"/>
          <w:szCs w:val="22"/>
        </w:rPr>
        <w:t>Syllabus</w:t>
      </w:r>
    </w:p>
    <w:p>
      <w:pPr>
        <w:pStyle w:val="Normal"/>
        <w:spacing w:before="0" w:after="200"/>
        <w:contextualSpacing/>
        <w:jc w:val="center"/>
        <w:rPr>
          <w:rFonts w:ascii="Garamond" w:hAnsi="Garamond"/>
          <w:b/>
          <w:b/>
          <w:sz w:val="22"/>
          <w:szCs w:val="22"/>
        </w:rPr>
      </w:pPr>
      <w:r>
        <w:rPr>
          <w:rFonts w:ascii="Garamond" w:hAnsi="Garamond"/>
          <w:b/>
          <w:sz w:val="22"/>
          <w:szCs w:val="22"/>
        </w:rPr>
        <w:t>EN.500.111 Section 9</w:t>
      </w:r>
    </w:p>
    <w:p>
      <w:pPr>
        <w:pStyle w:val="Normal"/>
        <w:spacing w:before="0" w:after="200"/>
        <w:contextualSpacing/>
        <w:jc w:val="center"/>
        <w:rPr>
          <w:rFonts w:ascii="Garamond" w:hAnsi="Garamond"/>
          <w:b/>
          <w:b/>
          <w:sz w:val="22"/>
          <w:szCs w:val="22"/>
        </w:rPr>
      </w:pPr>
      <w:r>
        <w:rPr>
          <w:rFonts w:ascii="Garamond" w:hAnsi="Garamond"/>
          <w:b/>
          <w:sz w:val="22"/>
          <w:szCs w:val="22"/>
        </w:rPr>
        <w:t xml:space="preserve">Melding Mind and Machine: </w:t>
      </w:r>
    </w:p>
    <w:p>
      <w:pPr>
        <w:pStyle w:val="Normal"/>
        <w:spacing w:before="0" w:after="200"/>
        <w:contextualSpacing/>
        <w:jc w:val="center"/>
        <w:rPr>
          <w:rFonts w:ascii="Garamond" w:hAnsi="Garamond"/>
          <w:b/>
          <w:b/>
          <w:sz w:val="22"/>
          <w:szCs w:val="22"/>
        </w:rPr>
      </w:pPr>
      <w:r>
        <w:rPr>
          <w:rFonts w:ascii="Garamond" w:hAnsi="Garamond"/>
          <w:b/>
          <w:sz w:val="22"/>
          <w:szCs w:val="22"/>
        </w:rPr>
        <w:t>Exploring Neurotechnologies that Can Read Our Minds and Alter Our Brains</w:t>
      </w:r>
    </w:p>
    <w:p>
      <w:pPr>
        <w:pStyle w:val="Normal"/>
        <w:spacing w:before="0" w:after="200"/>
        <w:contextualSpacing/>
        <w:jc w:val="center"/>
        <w:rPr>
          <w:rFonts w:ascii="Garamond" w:hAnsi="Garamond"/>
          <w:b/>
          <w:b/>
          <w:sz w:val="22"/>
          <w:szCs w:val="22"/>
        </w:rPr>
      </w:pPr>
      <w:r>
        <w:rPr>
          <w:rFonts w:ascii="Garamond" w:hAnsi="Garamond"/>
          <w:b/>
          <w:sz w:val="22"/>
          <w:szCs w:val="22"/>
        </w:rPr>
        <w:t>Fall, 2014</w:t>
      </w:r>
    </w:p>
    <w:p>
      <w:pPr>
        <w:pStyle w:val="Normal"/>
        <w:spacing w:before="0" w:after="200"/>
        <w:contextualSpacing/>
        <w:jc w:val="center"/>
        <w:rPr>
          <w:rFonts w:ascii="Garamond" w:hAnsi="Garamond"/>
          <w:b/>
          <w:b/>
          <w:sz w:val="22"/>
          <w:szCs w:val="22"/>
        </w:rPr>
      </w:pPr>
      <w:r>
        <w:rPr>
          <w:rFonts w:ascii="Garamond" w:hAnsi="Garamond"/>
          <w:b/>
          <w:sz w:val="22"/>
          <w:szCs w:val="22"/>
        </w:rPr>
        <w:t>(1 credit)</w:t>
      </w:r>
    </w:p>
    <w:p>
      <w:pPr>
        <w:pStyle w:val="Normal"/>
        <w:spacing w:before="0" w:after="200"/>
        <w:contextualSpacing/>
        <w:jc w:val="center"/>
        <w:rPr>
          <w:rFonts w:ascii="Garamond" w:hAnsi="Garamond"/>
          <w:sz w:val="22"/>
          <w:szCs w:val="22"/>
        </w:rPr>
      </w:pPr>
      <w:r>
        <w:rPr>
          <w:rFonts w:ascii="Garamond" w:hAnsi="Garamond"/>
          <w:sz w:val="22"/>
          <w:szCs w:val="22"/>
        </w:rPr>
      </w:r>
    </w:p>
    <w:p>
      <w:pPr>
        <w:pStyle w:val="Normal"/>
        <w:spacing w:before="0" w:after="200"/>
        <w:contextualSpacing/>
        <w:rPr>
          <w:i/>
          <w:i/>
          <w:iCs/>
          <w:u w:val="single"/>
        </w:rPr>
      </w:pPr>
      <w:r>
        <w:rPr>
          <w:rFonts w:ascii="Garamond" w:hAnsi="Garamond"/>
          <w:b/>
          <w:i/>
          <w:iCs/>
          <w:sz w:val="22"/>
          <w:szCs w:val="22"/>
          <w:u w:val="single"/>
        </w:rPr>
        <w:t>HERE I AM ADDING ANOTHER LINE WITH SOME FORMATTING.</w:t>
      </w:r>
    </w:p>
    <w:p>
      <w:pPr>
        <w:pStyle w:val="Normal"/>
        <w:spacing w:before="0" w:after="200"/>
        <w:contextualSpacing/>
        <w:rPr>
          <w:rFonts w:ascii="Garamond" w:hAnsi="Garamond"/>
          <w:b/>
          <w:b/>
          <w:sz w:val="22"/>
          <w:szCs w:val="22"/>
        </w:rPr>
      </w:pPr>
      <w:r>
        <w:rPr>
          <w:rFonts w:ascii="Garamond" w:hAnsi="Garamond"/>
          <w:b/>
          <w:sz w:val="22"/>
          <w:szCs w:val="22"/>
        </w:rPr>
        <w:t>Adding another few items</w:t>
      </w:r>
    </w:p>
    <w:p>
      <w:pPr>
        <w:pStyle w:val="Normal"/>
        <w:numPr>
          <w:ilvl w:val="0"/>
          <w:numId w:val="3"/>
        </w:numPr>
        <w:spacing w:before="0" w:after="200"/>
        <w:contextualSpacing/>
        <w:rPr/>
      </w:pPr>
      <w:r>
        <w:rPr/>
        <w:t>here</w:t>
      </w:r>
    </w:p>
    <w:p>
      <w:pPr>
        <w:pStyle w:val="Normal"/>
        <w:numPr>
          <w:ilvl w:val="0"/>
          <w:numId w:val="3"/>
        </w:numPr>
        <w:spacing w:before="0" w:after="200"/>
        <w:contextualSpacing/>
        <w:rPr/>
      </w:pPr>
      <w:r>
        <w:rPr/>
        <w:t>is</w:t>
      </w:r>
    </w:p>
    <w:p>
      <w:pPr>
        <w:pStyle w:val="Normal"/>
        <w:numPr>
          <w:ilvl w:val="0"/>
          <w:numId w:val="3"/>
        </w:numPr>
        <w:spacing w:before="0" w:after="200"/>
        <w:contextualSpacing/>
        <w:rPr/>
      </w:pPr>
      <w:r>
        <w:rPr/>
        <w:t>a list</w:t>
      </w:r>
    </w:p>
    <w:p>
      <w:pPr>
        <w:pStyle w:val="Normal"/>
        <w:numPr>
          <w:ilvl w:val="0"/>
          <w:numId w:val="3"/>
        </w:numPr>
        <w:spacing w:before="0" w:after="200"/>
        <w:contextualSpacing/>
        <w:rPr/>
      </w:pPr>
      <w:r>
        <w:rPr/>
        <w:t xml:space="preserve">of items that is numbered… </w:t>
      </w:r>
    </w:p>
    <w:p>
      <w:pPr>
        <w:pStyle w:val="Normal"/>
        <w:spacing w:before="0" w:after="200"/>
        <w:contextualSpacing/>
        <w:rPr>
          <w:rFonts w:ascii="Garamond" w:hAnsi="Garamond"/>
          <w:b/>
          <w:b/>
          <w:sz w:val="22"/>
          <w:szCs w:val="22"/>
        </w:rPr>
      </w:pPr>
      <w:r>
        <w:rPr>
          <w:rFonts w:ascii="Garamond" w:hAnsi="Garamond"/>
          <w:b/>
          <w:sz w:val="22"/>
          <w:szCs w:val="22"/>
        </w:rPr>
        <w:t>Description</w:t>
      </w:r>
    </w:p>
    <w:p>
      <w:pPr>
        <w:pStyle w:val="Normal"/>
        <w:spacing w:before="0" w:after="200"/>
        <w:contextualSpacing/>
        <w:rPr>
          <w:rFonts w:ascii="Garamond" w:hAnsi="Garamond" w:cs="Verdana"/>
          <w:sz w:val="20"/>
          <w:szCs w:val="20"/>
        </w:rPr>
      </w:pPr>
      <w:r>
        <w:rPr>
          <w:rFonts w:cs="Verdana" w:ascii="Garamond" w:hAnsi="Garamond"/>
          <w:sz w:val="20"/>
          <w:szCs w:val="20"/>
        </w:rPr>
        <w:t>In this course, we will explore technological developments which have allowed us to measure and manipulate brain activity. In the first part of the course, we will study brain computer interfaces that record signals from the brain and use those signals to perform a task. We will cover the basic principles of such devices and review the cutting-edge research that is being conducted at Hopkins as well as around the world. In the second part of the course, we will study neuromodulation technologies. These technologies will include transcranial magnetic stimulation, deep brain stimulation, and optogenetics. We will explore how neuromodulation has been used as both a tool to study the brain and a treatment for brain disorders.</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Prerequisites</w:t>
      </w:r>
    </w:p>
    <w:p>
      <w:pPr>
        <w:pStyle w:val="Normal"/>
        <w:spacing w:before="0" w:after="200"/>
        <w:contextualSpacing/>
        <w:rPr>
          <w:rFonts w:ascii="Garamond" w:hAnsi="Garamond"/>
          <w:sz w:val="22"/>
          <w:szCs w:val="22"/>
        </w:rPr>
      </w:pPr>
      <w:r>
        <w:rPr>
          <w:rFonts w:ascii="Garamond" w:hAnsi="Garamond"/>
          <w:sz w:val="22"/>
          <w:szCs w:val="22"/>
        </w:rPr>
        <w:t>None</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Instructor</w:t>
      </w:r>
    </w:p>
    <w:p>
      <w:pPr>
        <w:pStyle w:val="Normal"/>
        <w:spacing w:before="0" w:after="200"/>
        <w:contextualSpacing/>
        <w:rPr>
          <w:rFonts w:ascii="Garamond" w:hAnsi="Garamond"/>
          <w:sz w:val="22"/>
          <w:szCs w:val="22"/>
        </w:rPr>
      </w:pPr>
      <w:r>
        <w:rPr>
          <w:rFonts w:ascii="Garamond" w:hAnsi="Garamond"/>
          <w:sz w:val="22"/>
          <w:szCs w:val="22"/>
        </w:rPr>
        <w:t xml:space="preserve">Robert Yaffe, </w:t>
      </w:r>
      <w:hyperlink r:id="rId3">
        <w:r>
          <w:rPr>
            <w:rStyle w:val="InternetLink"/>
            <w:rFonts w:ascii="Garamond" w:hAnsi="Garamond"/>
            <w:sz w:val="22"/>
            <w:szCs w:val="22"/>
          </w:rPr>
          <w:t>yaffer@jhu.edu</w:t>
        </w:r>
      </w:hyperlink>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Meetings</w:t>
      </w:r>
    </w:p>
    <w:p>
      <w:pPr>
        <w:pStyle w:val="Normal"/>
        <w:spacing w:before="0" w:after="200"/>
        <w:contextualSpacing/>
        <w:rPr>
          <w:rFonts w:ascii="Garamond" w:hAnsi="Garamond"/>
          <w:sz w:val="22"/>
          <w:szCs w:val="22"/>
        </w:rPr>
      </w:pPr>
      <w:r>
        <w:rPr>
          <w:rFonts w:ascii="Garamond" w:hAnsi="Garamond"/>
          <w:sz w:val="22"/>
          <w:szCs w:val="22"/>
        </w:rPr>
        <w:t>Thursdays, 5:00–7:00 pm, Maryland 110</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Online Resources</w:t>
      </w:r>
    </w:p>
    <w:p>
      <w:pPr>
        <w:pStyle w:val="Normal"/>
        <w:spacing w:before="0" w:after="200"/>
        <w:contextualSpacing/>
        <w:rPr>
          <w:rFonts w:ascii="Garamond" w:hAnsi="Garamond"/>
          <w:sz w:val="22"/>
          <w:szCs w:val="22"/>
        </w:rPr>
      </w:pPr>
      <w:r>
        <w:rPr>
          <w:rFonts w:ascii="Garamond" w:hAnsi="Garamond"/>
          <w:sz w:val="22"/>
          <w:szCs w:val="22"/>
        </w:rPr>
        <w:t xml:space="preserve">Please log in to Blackboard for all materials related to this course. </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Course Objectives</w:t>
      </w:r>
    </w:p>
    <w:p>
      <w:pPr>
        <w:pStyle w:val="ListParagraph"/>
        <w:numPr>
          <w:ilvl w:val="0"/>
          <w:numId w:val="1"/>
        </w:numPr>
        <w:rPr>
          <w:rFonts w:ascii="Garamond" w:hAnsi="Garamond"/>
          <w:sz w:val="22"/>
          <w:szCs w:val="22"/>
        </w:rPr>
      </w:pPr>
      <w:r>
        <w:rPr>
          <w:rFonts w:ascii="Garamond" w:hAnsi="Garamond"/>
          <w:sz w:val="22"/>
          <w:szCs w:val="22"/>
        </w:rPr>
        <w:t>Students will learn about the basic principles of brain computer interfaces</w:t>
      </w:r>
    </w:p>
    <w:p>
      <w:pPr>
        <w:pStyle w:val="ListParagraph"/>
        <w:numPr>
          <w:ilvl w:val="0"/>
          <w:numId w:val="1"/>
        </w:numPr>
        <w:rPr>
          <w:rFonts w:ascii="Garamond" w:hAnsi="Garamond"/>
          <w:sz w:val="22"/>
          <w:szCs w:val="22"/>
        </w:rPr>
      </w:pPr>
      <w:r>
        <w:rPr>
          <w:rFonts w:ascii="Garamond" w:hAnsi="Garamond"/>
          <w:sz w:val="22"/>
          <w:szCs w:val="22"/>
        </w:rPr>
        <w:t>Students will learn about neuromodulation technologies</w:t>
      </w:r>
    </w:p>
    <w:p>
      <w:pPr>
        <w:pStyle w:val="ListParagraph"/>
        <w:numPr>
          <w:ilvl w:val="0"/>
          <w:numId w:val="1"/>
        </w:numPr>
        <w:rPr>
          <w:rFonts w:ascii="Garamond" w:hAnsi="Garamond"/>
          <w:sz w:val="22"/>
          <w:szCs w:val="22"/>
        </w:rPr>
      </w:pPr>
      <w:r>
        <w:rPr>
          <w:rFonts w:ascii="Garamond" w:hAnsi="Garamond"/>
          <w:sz w:val="22"/>
          <w:szCs w:val="22"/>
        </w:rPr>
        <w:t>Students will learn about ongoing research in these areas</w:t>
      </w:r>
    </w:p>
    <w:p>
      <w:pPr>
        <w:pStyle w:val="Normal"/>
        <w:spacing w:before="0" w:after="200"/>
        <w:contextualSpacing/>
        <w:rPr>
          <w:rFonts w:ascii="Garamond" w:hAnsi="Garamond"/>
          <w:sz w:val="22"/>
          <w:szCs w:val="22"/>
        </w:rPr>
      </w:pPr>
      <w:r>
        <w:rPr>
          <w:rFonts w:ascii="Garamond" w:hAnsi="Garamond"/>
          <w:b/>
          <w:sz w:val="22"/>
          <w:szCs w:val="22"/>
        </w:rPr>
        <w:t>Course Topics</w:t>
      </w:r>
    </w:p>
    <w:p>
      <w:pPr>
        <w:pStyle w:val="ListParagraph"/>
        <w:numPr>
          <w:ilvl w:val="0"/>
          <w:numId w:val="2"/>
        </w:numPr>
        <w:rPr>
          <w:rFonts w:ascii="Garamond" w:hAnsi="Garamond"/>
          <w:sz w:val="22"/>
          <w:szCs w:val="22"/>
        </w:rPr>
      </w:pPr>
      <w:r>
        <w:rPr>
          <w:rFonts w:ascii="Garamond" w:hAnsi="Garamond"/>
          <w:sz w:val="22"/>
          <w:szCs w:val="22"/>
        </w:rPr>
        <w:t>Invasive BCI</w:t>
      </w:r>
    </w:p>
    <w:p>
      <w:pPr>
        <w:pStyle w:val="ListParagraph"/>
        <w:numPr>
          <w:ilvl w:val="0"/>
          <w:numId w:val="2"/>
        </w:numPr>
        <w:rPr>
          <w:rFonts w:ascii="Garamond" w:hAnsi="Garamond"/>
          <w:sz w:val="22"/>
          <w:szCs w:val="22"/>
        </w:rPr>
      </w:pPr>
      <w:r>
        <w:rPr>
          <w:rFonts w:ascii="Garamond" w:hAnsi="Garamond"/>
          <w:sz w:val="22"/>
          <w:szCs w:val="22"/>
        </w:rPr>
        <w:t>Non-invasive BCI</w:t>
      </w:r>
    </w:p>
    <w:p>
      <w:pPr>
        <w:pStyle w:val="ListParagraph"/>
        <w:numPr>
          <w:ilvl w:val="0"/>
          <w:numId w:val="2"/>
        </w:numPr>
        <w:rPr>
          <w:rFonts w:ascii="Garamond" w:hAnsi="Garamond"/>
          <w:sz w:val="22"/>
          <w:szCs w:val="22"/>
        </w:rPr>
      </w:pPr>
      <w:r>
        <w:rPr>
          <w:rFonts w:ascii="Garamond" w:hAnsi="Garamond"/>
          <w:sz w:val="22"/>
          <w:szCs w:val="22"/>
        </w:rPr>
        <w:t>The p300 response</w:t>
      </w:r>
    </w:p>
    <w:p>
      <w:pPr>
        <w:pStyle w:val="ListParagraph"/>
        <w:numPr>
          <w:ilvl w:val="0"/>
          <w:numId w:val="2"/>
        </w:numPr>
        <w:rPr>
          <w:rFonts w:ascii="Garamond" w:hAnsi="Garamond"/>
          <w:sz w:val="22"/>
          <w:szCs w:val="22"/>
        </w:rPr>
      </w:pPr>
      <w:r>
        <w:rPr>
          <w:rFonts w:ascii="Garamond" w:hAnsi="Garamond"/>
          <w:sz w:val="22"/>
          <w:szCs w:val="22"/>
        </w:rPr>
        <w:t>SSVEP (Steady state visual evoked potentials)</w:t>
      </w:r>
    </w:p>
    <w:p>
      <w:pPr>
        <w:pStyle w:val="ListParagraph"/>
        <w:numPr>
          <w:ilvl w:val="0"/>
          <w:numId w:val="2"/>
        </w:numPr>
        <w:rPr>
          <w:rFonts w:ascii="Garamond" w:hAnsi="Garamond"/>
          <w:sz w:val="22"/>
          <w:szCs w:val="22"/>
        </w:rPr>
      </w:pPr>
      <w:r>
        <w:rPr>
          <w:rFonts w:ascii="Garamond" w:hAnsi="Garamond"/>
          <w:sz w:val="22"/>
          <w:szCs w:val="22"/>
        </w:rPr>
        <w:t>Emotiv EEG</w:t>
      </w:r>
    </w:p>
    <w:p>
      <w:pPr>
        <w:pStyle w:val="ListParagraph"/>
        <w:numPr>
          <w:ilvl w:val="0"/>
          <w:numId w:val="2"/>
        </w:numPr>
        <w:rPr>
          <w:rFonts w:ascii="Garamond" w:hAnsi="Garamond"/>
          <w:sz w:val="22"/>
          <w:szCs w:val="22"/>
        </w:rPr>
      </w:pPr>
      <w:r>
        <w:rPr>
          <w:rFonts w:ascii="Garamond" w:hAnsi="Garamond"/>
          <w:sz w:val="22"/>
          <w:szCs w:val="22"/>
        </w:rPr>
        <w:t>Ethics of BCI</w:t>
      </w:r>
    </w:p>
    <w:p>
      <w:pPr>
        <w:pStyle w:val="ListParagraph"/>
        <w:numPr>
          <w:ilvl w:val="0"/>
          <w:numId w:val="2"/>
        </w:numPr>
        <w:rPr>
          <w:rFonts w:ascii="Garamond" w:hAnsi="Garamond"/>
          <w:sz w:val="22"/>
          <w:szCs w:val="22"/>
        </w:rPr>
      </w:pPr>
      <w:r>
        <w:rPr>
          <w:rFonts w:ascii="Garamond" w:hAnsi="Garamond"/>
          <w:sz w:val="22"/>
          <w:szCs w:val="22"/>
        </w:rPr>
        <w:t>Deep brain stimulation</w:t>
      </w:r>
    </w:p>
    <w:p>
      <w:pPr>
        <w:pStyle w:val="ListParagraph"/>
        <w:numPr>
          <w:ilvl w:val="0"/>
          <w:numId w:val="2"/>
        </w:numPr>
        <w:rPr>
          <w:rFonts w:ascii="Garamond" w:hAnsi="Garamond"/>
          <w:sz w:val="22"/>
          <w:szCs w:val="22"/>
        </w:rPr>
      </w:pPr>
      <w:r>
        <w:rPr>
          <w:rFonts w:ascii="Garamond" w:hAnsi="Garamond"/>
          <w:sz w:val="22"/>
          <w:szCs w:val="22"/>
        </w:rPr>
        <w:t>Transcranial magnetic stimulation</w:t>
      </w:r>
    </w:p>
    <w:p>
      <w:pPr>
        <w:pStyle w:val="ListParagraph"/>
        <w:numPr>
          <w:ilvl w:val="0"/>
          <w:numId w:val="2"/>
        </w:numPr>
        <w:rPr>
          <w:rFonts w:ascii="Garamond" w:hAnsi="Garamond"/>
          <w:sz w:val="22"/>
          <w:szCs w:val="22"/>
        </w:rPr>
      </w:pPr>
      <w:r>
        <w:rPr>
          <w:rFonts w:ascii="Garamond" w:hAnsi="Garamond"/>
          <w:sz w:val="22"/>
          <w:szCs w:val="22"/>
        </w:rPr>
        <w:t>Optogenetics</w:t>
      </w:r>
    </w:p>
    <w:p>
      <w:pPr>
        <w:pStyle w:val="ListParagraph"/>
        <w:numPr>
          <w:ilvl w:val="0"/>
          <w:numId w:val="2"/>
        </w:numPr>
        <w:rPr>
          <w:rFonts w:ascii="Garamond" w:hAnsi="Garamond"/>
          <w:sz w:val="22"/>
          <w:szCs w:val="22"/>
        </w:rPr>
      </w:pPr>
      <w:r>
        <w:rPr>
          <w:rFonts w:ascii="Garamond" w:hAnsi="Garamond"/>
          <w:sz w:val="22"/>
          <w:szCs w:val="22"/>
        </w:rPr>
        <w:t>Ethics of neuromodulation</w:t>
      </w:r>
    </w:p>
    <w:p>
      <w:pPr>
        <w:pStyle w:val="ListParagraph"/>
        <w:numPr>
          <w:ilvl w:val="0"/>
          <w:numId w:val="2"/>
        </w:numPr>
        <w:rPr>
          <w:rFonts w:ascii="Garamond" w:hAnsi="Garamond"/>
          <w:sz w:val="22"/>
          <w:szCs w:val="22"/>
        </w:rPr>
      </w:pPr>
      <w:r>
        <w:rPr>
          <w:rFonts w:ascii="Garamond" w:hAnsi="Garamond"/>
          <w:sz w:val="22"/>
          <w:szCs w:val="22"/>
        </w:rPr>
        <w:t>Brain-to-brain interface</w:t>
      </w:r>
    </w:p>
    <w:p>
      <w:pPr>
        <w:pStyle w:val="ListParagraph"/>
        <w:numPr>
          <w:ilvl w:val="0"/>
          <w:numId w:val="2"/>
        </w:numPr>
        <w:rPr>
          <w:rFonts w:ascii="Garamond" w:hAnsi="Garamond"/>
          <w:sz w:val="22"/>
          <w:szCs w:val="22"/>
        </w:rPr>
      </w:pPr>
      <w:r>
        <w:rPr>
          <w:rFonts w:ascii="Garamond" w:hAnsi="Garamond"/>
          <w:sz w:val="22"/>
          <w:szCs w:val="22"/>
        </w:rPr>
        <w:t>And more!</w:t>
      </w:r>
    </w:p>
    <w:p>
      <w:pPr>
        <w:pStyle w:val="Normal"/>
        <w:spacing w:before="0" w:after="200"/>
        <w:contextualSpacing/>
        <w:rPr>
          <w:rFonts w:ascii="Garamond" w:hAnsi="Garamond"/>
          <w:b/>
          <w:b/>
          <w:sz w:val="22"/>
          <w:szCs w:val="22"/>
        </w:rPr>
      </w:pPr>
      <w:r>
        <w:rPr>
          <w:rFonts w:ascii="Garamond" w:hAnsi="Garamond"/>
          <w:b/>
          <w:sz w:val="22"/>
          <w:szCs w:val="22"/>
        </w:rPr>
      </w:r>
    </w:p>
    <w:p>
      <w:pPr>
        <w:pStyle w:val="Normal"/>
        <w:spacing w:before="0" w:after="200"/>
        <w:contextualSpacing/>
        <w:rPr>
          <w:rFonts w:ascii="Garamond" w:hAnsi="Garamond"/>
          <w:b/>
          <w:b/>
          <w:sz w:val="22"/>
          <w:szCs w:val="22"/>
        </w:rPr>
      </w:pPr>
      <w:r>
        <w:rPr>
          <w:rFonts w:ascii="Garamond" w:hAnsi="Garamond"/>
          <w:b/>
          <w:sz w:val="22"/>
          <w:szCs w:val="22"/>
        </w:rPr>
        <w:t>Course Expectations &amp; Grading</w:t>
      </w:r>
    </w:p>
    <w:p>
      <w:pPr>
        <w:pStyle w:val="Normal"/>
        <w:spacing w:before="0" w:after="200"/>
        <w:contextualSpacing/>
        <w:rPr>
          <w:rFonts w:ascii="Garamond" w:hAnsi="Garamond"/>
          <w:sz w:val="22"/>
          <w:szCs w:val="22"/>
        </w:rPr>
      </w:pPr>
      <w:r>
        <w:rPr>
          <w:rFonts w:ascii="Garamond" w:hAnsi="Garamond"/>
          <w:sz w:val="22"/>
          <w:szCs w:val="22"/>
        </w:rPr>
        <w:t xml:space="preserve">This course is graded Pass/Fail (S/U). Attendance is mandatory. Please let the instructor know if you will miss a class. Your grade will be determined based on attendance and class participation. We will have many discussions, so there will be plenty of opportunities for participation. There will be assigned readings/videos each week. Come to class prepared to discuss that week’s topic. </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Key Dates</w:t>
      </w:r>
    </w:p>
    <w:p>
      <w:pPr>
        <w:pStyle w:val="Normal"/>
        <w:spacing w:before="0" w:after="200"/>
        <w:contextualSpacing/>
        <w:rPr>
          <w:rFonts w:ascii="Garamond" w:hAnsi="Garamond"/>
          <w:sz w:val="22"/>
          <w:szCs w:val="22"/>
        </w:rPr>
      </w:pPr>
      <w:r>
        <w:rPr>
          <w:rFonts w:ascii="Garamond" w:hAnsi="Garamond"/>
          <w:sz w:val="22"/>
          <w:szCs w:val="22"/>
        </w:rPr>
        <w:t>No class on October 16</w:t>
      </w:r>
      <w:r>
        <w:rPr>
          <w:rFonts w:ascii="Garamond" w:hAnsi="Garamond"/>
          <w:sz w:val="22"/>
          <w:szCs w:val="22"/>
          <w:vertAlign w:val="superscript"/>
        </w:rPr>
        <w:t>th</w:t>
      </w:r>
      <w:r>
        <w:rPr>
          <w:rFonts w:ascii="Garamond" w:hAnsi="Garamond"/>
          <w:sz w:val="22"/>
          <w:szCs w:val="22"/>
        </w:rPr>
        <w:t>. No class on November 6</w:t>
      </w:r>
      <w:r>
        <w:rPr>
          <w:rFonts w:ascii="Garamond" w:hAnsi="Garamond"/>
          <w:sz w:val="22"/>
          <w:szCs w:val="22"/>
          <w:vertAlign w:val="superscript"/>
        </w:rPr>
        <w:t>th</w:t>
      </w:r>
      <w:r>
        <w:rPr>
          <w:rFonts w:ascii="Garamond" w:hAnsi="Garamond"/>
          <w:sz w:val="22"/>
          <w:szCs w:val="22"/>
        </w:rPr>
        <w:t>. Makeup class December 4</w:t>
      </w:r>
      <w:r>
        <w:rPr>
          <w:rFonts w:ascii="Garamond" w:hAnsi="Garamond"/>
          <w:sz w:val="22"/>
          <w:szCs w:val="22"/>
          <w:vertAlign w:val="superscript"/>
        </w:rPr>
        <w:t>th</w:t>
      </w:r>
      <w:r>
        <w:rPr>
          <w:rFonts w:ascii="Garamond" w:hAnsi="Garamond"/>
          <w:sz w:val="22"/>
          <w:szCs w:val="22"/>
        </w:rPr>
        <w:t xml:space="preserve">.  </w:t>
      </w:r>
    </w:p>
    <w:p>
      <w:pPr>
        <w:pStyle w:val="Normal"/>
        <w:spacing w:before="0" w:after="200"/>
        <w:contextualSpacing/>
        <w:rPr>
          <w:rFonts w:ascii="Garamond" w:hAnsi="Garamond"/>
          <w:sz w:val="22"/>
          <w:szCs w:val="22"/>
        </w:rPr>
      </w:pPr>
      <w:r>
        <w:rPr>
          <w:rFonts w:ascii="Garamond" w:hAnsi="Garamond"/>
          <w:sz w:val="22"/>
          <w:szCs w:val="22"/>
        </w:rPr>
        <w:t>Tentative Schedule</w:t>
      </w:r>
    </w:p>
    <w:p>
      <w:pPr>
        <w:pStyle w:val="Normal"/>
        <w:spacing w:before="0" w:after="200"/>
        <w:contextualSpacing/>
        <w:rPr>
          <w:rFonts w:ascii="Garamond" w:hAnsi="Garamond"/>
          <w:sz w:val="22"/>
          <w:szCs w:val="22"/>
        </w:rPr>
      </w:pPr>
      <w:r>
        <w:rPr>
          <w:rFonts w:ascii="Garamond" w:hAnsi="Garamond"/>
          <w:sz w:val="22"/>
          <w:szCs w:val="22"/>
        </w:rPr>
        <w:t>October 9</w:t>
      </w:r>
      <w:r>
        <w:rPr>
          <w:rFonts w:ascii="Garamond" w:hAnsi="Garamond"/>
          <w:sz w:val="22"/>
          <w:szCs w:val="22"/>
          <w:vertAlign w:val="superscript"/>
        </w:rPr>
        <w:t>th</w:t>
      </w:r>
      <w:r>
        <w:rPr>
          <w:rFonts w:ascii="Garamond" w:hAnsi="Garamond"/>
          <w:sz w:val="22"/>
          <w:szCs w:val="22"/>
        </w:rPr>
        <w:t>: Intro to BCI</w:t>
      </w:r>
    </w:p>
    <w:p>
      <w:pPr>
        <w:pStyle w:val="Normal"/>
        <w:spacing w:before="0" w:after="200"/>
        <w:contextualSpacing/>
        <w:rPr>
          <w:rFonts w:ascii="Garamond" w:hAnsi="Garamond"/>
          <w:sz w:val="22"/>
          <w:szCs w:val="22"/>
        </w:rPr>
      </w:pPr>
      <w:r>
        <w:rPr>
          <w:rFonts w:ascii="Garamond" w:hAnsi="Garamond"/>
          <w:sz w:val="22"/>
          <w:szCs w:val="22"/>
        </w:rPr>
        <w:t>October 23</w:t>
      </w:r>
      <w:r>
        <w:rPr>
          <w:rFonts w:ascii="Garamond" w:hAnsi="Garamond"/>
          <w:sz w:val="22"/>
          <w:szCs w:val="22"/>
          <w:vertAlign w:val="superscript"/>
        </w:rPr>
        <w:t>rd</w:t>
      </w:r>
      <w:r>
        <w:rPr>
          <w:rFonts w:ascii="Garamond" w:hAnsi="Garamond"/>
          <w:sz w:val="22"/>
          <w:szCs w:val="22"/>
        </w:rPr>
        <w:t>: p300 and SSVEP based BCIs</w:t>
      </w:r>
    </w:p>
    <w:p>
      <w:pPr>
        <w:pStyle w:val="Normal"/>
        <w:spacing w:before="0" w:after="200"/>
        <w:contextualSpacing/>
        <w:rPr>
          <w:rFonts w:ascii="Garamond" w:hAnsi="Garamond"/>
          <w:sz w:val="22"/>
          <w:szCs w:val="22"/>
        </w:rPr>
      </w:pPr>
      <w:r>
        <w:rPr>
          <w:rFonts w:ascii="Garamond" w:hAnsi="Garamond"/>
          <w:sz w:val="22"/>
          <w:szCs w:val="22"/>
        </w:rPr>
        <w:t>October 30</w:t>
      </w:r>
      <w:r>
        <w:rPr>
          <w:rFonts w:ascii="Garamond" w:hAnsi="Garamond"/>
          <w:sz w:val="22"/>
          <w:szCs w:val="22"/>
          <w:vertAlign w:val="superscript"/>
        </w:rPr>
        <w:t>th</w:t>
      </w:r>
      <w:r>
        <w:rPr>
          <w:rFonts w:ascii="Garamond" w:hAnsi="Garamond"/>
          <w:sz w:val="22"/>
          <w:szCs w:val="22"/>
        </w:rPr>
        <w:t>: Demo of Emotiv EEG BCI</w:t>
      </w:r>
    </w:p>
    <w:p>
      <w:pPr>
        <w:pStyle w:val="Normal"/>
        <w:spacing w:before="0" w:after="200"/>
        <w:contextualSpacing/>
        <w:rPr>
          <w:rFonts w:ascii="Garamond" w:hAnsi="Garamond"/>
          <w:sz w:val="22"/>
          <w:szCs w:val="22"/>
        </w:rPr>
      </w:pPr>
      <w:r>
        <w:rPr>
          <w:rFonts w:ascii="Garamond" w:hAnsi="Garamond"/>
          <w:sz w:val="22"/>
          <w:szCs w:val="22"/>
        </w:rPr>
        <w:t>November 13</w:t>
      </w:r>
      <w:r>
        <w:rPr>
          <w:rFonts w:ascii="Garamond" w:hAnsi="Garamond"/>
          <w:sz w:val="22"/>
          <w:szCs w:val="22"/>
          <w:vertAlign w:val="superscript"/>
        </w:rPr>
        <w:t>th</w:t>
      </w:r>
      <w:r>
        <w:rPr>
          <w:rFonts w:ascii="Garamond" w:hAnsi="Garamond"/>
          <w:sz w:val="22"/>
          <w:szCs w:val="22"/>
        </w:rPr>
        <w:t>: Deep brain stimulation and transcranial magnetic stimulation</w:t>
      </w:r>
    </w:p>
    <w:p>
      <w:pPr>
        <w:pStyle w:val="Normal"/>
        <w:spacing w:before="0" w:after="200"/>
        <w:contextualSpacing/>
        <w:rPr>
          <w:rFonts w:ascii="Garamond" w:hAnsi="Garamond"/>
          <w:sz w:val="22"/>
          <w:szCs w:val="22"/>
        </w:rPr>
      </w:pPr>
      <w:r>
        <w:rPr>
          <w:rFonts w:ascii="Garamond" w:hAnsi="Garamond"/>
          <w:sz w:val="22"/>
          <w:szCs w:val="22"/>
        </w:rPr>
        <w:t>November 20</w:t>
      </w:r>
      <w:r>
        <w:rPr>
          <w:rFonts w:ascii="Garamond" w:hAnsi="Garamond"/>
          <w:sz w:val="22"/>
          <w:szCs w:val="22"/>
          <w:vertAlign w:val="superscript"/>
        </w:rPr>
        <w:t>th</w:t>
      </w:r>
      <w:r>
        <w:rPr>
          <w:rFonts w:ascii="Garamond" w:hAnsi="Garamond"/>
          <w:sz w:val="22"/>
          <w:szCs w:val="22"/>
        </w:rPr>
        <w:t>: Optogenetics</w:t>
      </w:r>
    </w:p>
    <w:p>
      <w:pPr>
        <w:pStyle w:val="Normal"/>
        <w:spacing w:before="0" w:after="200"/>
        <w:contextualSpacing/>
        <w:rPr>
          <w:rFonts w:ascii="Garamond" w:hAnsi="Garamond"/>
          <w:sz w:val="22"/>
          <w:szCs w:val="22"/>
        </w:rPr>
      </w:pPr>
      <w:r>
        <w:rPr>
          <w:rFonts w:ascii="Garamond" w:hAnsi="Garamond"/>
          <w:sz w:val="22"/>
          <w:szCs w:val="22"/>
        </w:rPr>
        <w:t>December 4</w:t>
      </w:r>
      <w:r>
        <w:rPr>
          <w:rFonts w:ascii="Garamond" w:hAnsi="Garamond"/>
          <w:sz w:val="22"/>
          <w:szCs w:val="22"/>
          <w:vertAlign w:val="superscript"/>
        </w:rPr>
        <w:t>th</w:t>
      </w:r>
      <w:r>
        <w:rPr>
          <w:rFonts w:ascii="Garamond" w:hAnsi="Garamond"/>
          <w:sz w:val="22"/>
          <w:szCs w:val="22"/>
        </w:rPr>
        <w:t>: Brain-to-Brain interfaces</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Assignments &amp; Readings</w:t>
      </w:r>
    </w:p>
    <w:p>
      <w:pPr>
        <w:pStyle w:val="Normal"/>
        <w:spacing w:before="0" w:after="200"/>
        <w:contextualSpacing/>
        <w:rPr>
          <w:rFonts w:ascii="Garamond" w:hAnsi="Garamond"/>
          <w:sz w:val="22"/>
          <w:szCs w:val="22"/>
        </w:rPr>
      </w:pPr>
      <w:r>
        <w:rPr>
          <w:rFonts w:ascii="Garamond" w:hAnsi="Garamond"/>
          <w:sz w:val="22"/>
          <w:szCs w:val="22"/>
        </w:rPr>
        <w:t>These will be</w:t>
      </w:r>
      <w:bookmarkStart w:id="0" w:name="_GoBack"/>
      <w:bookmarkEnd w:id="0"/>
      <w:r>
        <w:rPr>
          <w:rFonts w:ascii="Garamond" w:hAnsi="Garamond"/>
          <w:sz w:val="22"/>
          <w:szCs w:val="22"/>
        </w:rPr>
        <w:t xml:space="preserve"> posted on the Blackboard site for this course. </w:t>
      </w:r>
    </w:p>
    <w:p>
      <w:pPr>
        <w:pStyle w:val="Normal"/>
        <w:spacing w:before="0" w:after="200"/>
        <w:contextualSpacing/>
        <w:rPr>
          <w:rFonts w:ascii="Garamond" w:hAnsi="Garamond"/>
          <w:sz w:val="22"/>
          <w:szCs w:val="22"/>
        </w:rPr>
      </w:pPr>
      <w:r>
        <w:rPr/>
      </w:r>
    </w:p>
    <w:sectPr>
      <w:type w:val="nextPage"/>
      <w:pgSz w:w="12240" w:h="15840"/>
      <w:pgMar w:left="1800" w:right="180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200"/>
      <w:jc w:val="left"/>
    </w:pPr>
    <w:rPr>
      <w:rFonts w:ascii="Cambria" w:hAnsi="Cambria" w:eastAsia="ＭＳ 明朝" w:cs="" w:asciiTheme="minorHAnsi" w:cstheme="minorBidi" w:eastAsiaTheme="minorEastAsia" w:hAnsiTheme="minorHAnsi"/>
      <w:color w:val="auto"/>
      <w:kern w:val="0"/>
      <w:sz w:val="24"/>
      <w:szCs w:val="24"/>
      <w:lang w:val="en-US" w:eastAsia="ja-JP"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10c7e"/>
    <w:rPr>
      <w:rFonts w:ascii="Lucida Grande" w:hAnsi="Lucida Grande"/>
      <w:sz w:val="18"/>
      <w:szCs w:val="18"/>
    </w:rPr>
  </w:style>
  <w:style w:type="character" w:styleId="InternetLink">
    <w:name w:val="Hyperlink"/>
    <w:basedOn w:val="DefaultParagraphFont"/>
    <w:uiPriority w:val="99"/>
    <w:unhideWhenUsed/>
    <w:rsid w:val="00486dba"/>
    <w:rPr>
      <w:color w:val="0000FF" w:themeColor="hyperlink"/>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BalloonText">
    <w:name w:val="Balloon Text"/>
    <w:basedOn w:val="Normal"/>
    <w:link w:val="BalloonTextChar"/>
    <w:uiPriority w:val="99"/>
    <w:semiHidden/>
    <w:unhideWhenUsed/>
    <w:qFormat/>
    <w:rsid w:val="00710c7e"/>
    <w:pPr>
      <w:spacing w:before="0" w:after="0"/>
    </w:pPr>
    <w:rPr>
      <w:rFonts w:ascii="Lucida Grande" w:hAnsi="Lucida Grande"/>
      <w:sz w:val="18"/>
      <w:szCs w:val="18"/>
    </w:rPr>
  </w:style>
  <w:style w:type="paragraph" w:styleId="ListParagraph">
    <w:name w:val="List Paragraph"/>
    <w:basedOn w:val="Normal"/>
    <w:uiPriority w:val="34"/>
    <w:qFormat/>
    <w:rsid w:val="00486db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mailto:yaffer@jhu.edu"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LibreOffice/7.3.5.2$MacOSX_AARCH64 LibreOffice_project/184fe81b8c8c30d8b5082578aee2fed2ea847c01</Application>
  <AppVersion>15.0000</AppVersion>
  <Pages>2</Pages>
  <Words>403</Words>
  <Characters>2183</Characters>
  <CharactersWithSpaces>2521</CharactersWithSpaces>
  <Paragraphs>53</Paragraphs>
  <Company>Johns Hopkins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2014-10-09T16:42:00Z</dcterms:created>
  <dc:creator>Edward Scheinerman</dc:creator>
  <dc:description/>
  <dc:language>en-US</dc:language>
  <cp:lastModifiedBy/>
  <dcterms:modified xsi:type="dcterms:W3CDTF">2024-05-03T14:06:19Z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