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Garamond" w:hAnsi="Garamond"/>
          <w:sz w:val="22"/>
          <w:szCs w:val="22"/>
        </w:rPr>
      </w:pPr>
      <w:r>
        <w:rPr/>
        <w:softHyphen/>
      </w:r>
      <w:r>
        <w:rPr/>
        <w:drawing>
          <wp:inline distT="0" distB="0" distL="0" distR="0">
            <wp:extent cx="2451735" cy="1111250"/>
            <wp:effectExtent l="0" t="0" r="0" b="0"/>
            <wp:docPr id="1"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ers:Dropbox:ACTIVE:JHU-logos:WSE:small:PDF:whiting.small.horizontal.black.pdf"/>
                    <pic:cNvPicPr>
                      <a:picLocks noChangeAspect="1" noChangeArrowheads="1"/>
                    </pic:cNvPicPr>
                  </pic:nvPicPr>
                  <pic:blipFill>
                    <a:blip r:embed="rId2"/>
                    <a:stretch>
                      <a:fillRect/>
                    </a:stretch>
                  </pic:blipFill>
                  <pic:spPr bwMode="auto">
                    <a:xfrm>
                      <a:off x="0" y="0"/>
                      <a:ext cx="2451735" cy="1111250"/>
                    </a:xfrm>
                    <a:prstGeom prst="rect">
                      <a:avLst/>
                    </a:prstGeom>
                  </pic:spPr>
                </pic:pic>
              </a:graphicData>
            </a:graphic>
          </wp:inline>
        </w:drawing>
      </w:r>
    </w:p>
    <w:p>
      <w:pPr>
        <w:pStyle w:val="Normal"/>
        <w:spacing w:before="0" w:after="200"/>
        <w:contextualSpacing/>
        <w:jc w:val="center"/>
        <w:rPr>
          <w:rFonts w:ascii="Garamond" w:hAnsi="Garamond"/>
          <w:b/>
          <w:b/>
          <w:sz w:val="22"/>
          <w:szCs w:val="22"/>
        </w:rPr>
      </w:pPr>
      <w:r>
        <w:rPr>
          <w:rFonts w:ascii="Garamond" w:hAnsi="Garamond"/>
          <w:b/>
          <w:sz w:val="22"/>
          <w:szCs w:val="22"/>
        </w:rPr>
        <w:t>Syllabus</w:t>
      </w:r>
    </w:p>
    <w:p>
      <w:pPr>
        <w:pStyle w:val="Normal"/>
        <w:spacing w:before="0" w:after="200"/>
        <w:contextualSpacing/>
        <w:jc w:val="center"/>
        <w:rPr>
          <w:rFonts w:ascii="Garamond" w:hAnsi="Garamond"/>
          <w:b/>
          <w:b/>
          <w:sz w:val="22"/>
          <w:szCs w:val="22"/>
        </w:rPr>
      </w:pPr>
      <w:r>
        <w:rPr>
          <w:rFonts w:ascii="Garamond" w:hAnsi="Garamond"/>
          <w:b/>
          <w:sz w:val="22"/>
          <w:szCs w:val="22"/>
        </w:rPr>
        <w:t>EN.500.111 Section 9</w:t>
      </w:r>
    </w:p>
    <w:p>
      <w:pPr>
        <w:pStyle w:val="Normal"/>
        <w:spacing w:before="0" w:after="200"/>
        <w:contextualSpacing/>
        <w:jc w:val="center"/>
        <w:rPr>
          <w:rFonts w:ascii="Garamond" w:hAnsi="Garamond"/>
          <w:b/>
          <w:b/>
          <w:sz w:val="22"/>
          <w:szCs w:val="22"/>
        </w:rPr>
      </w:pPr>
      <w:r>
        <w:rPr>
          <w:rFonts w:ascii="Garamond" w:hAnsi="Garamond"/>
          <w:b/>
          <w:sz w:val="22"/>
          <w:szCs w:val="22"/>
        </w:rPr>
        <w:t xml:space="preserve">Melding Mind and Machine: </w:t>
      </w:r>
    </w:p>
    <w:p>
      <w:pPr>
        <w:pStyle w:val="Normal"/>
        <w:spacing w:before="0" w:after="200"/>
        <w:contextualSpacing/>
        <w:jc w:val="center"/>
        <w:rPr>
          <w:rFonts w:ascii="Garamond" w:hAnsi="Garamond"/>
          <w:b/>
          <w:b/>
          <w:sz w:val="22"/>
          <w:szCs w:val="22"/>
        </w:rPr>
      </w:pPr>
      <w:r>
        <w:rPr>
          <w:rFonts w:ascii="Garamond" w:hAnsi="Garamond"/>
          <w:b/>
          <w:sz w:val="22"/>
          <w:szCs w:val="22"/>
        </w:rPr>
        <w:t>Exploring Neurotechnologies that Can Read Our Minds and Alter Our Brains</w:t>
      </w:r>
    </w:p>
    <w:p>
      <w:pPr>
        <w:pStyle w:val="Normal"/>
        <w:spacing w:before="0" w:after="200"/>
        <w:contextualSpacing/>
        <w:jc w:val="center"/>
        <w:rPr>
          <w:rFonts w:ascii="Garamond" w:hAnsi="Garamond"/>
          <w:b/>
          <w:b/>
          <w:sz w:val="22"/>
          <w:szCs w:val="22"/>
        </w:rPr>
      </w:pPr>
      <w:r>
        <w:rPr>
          <w:rFonts w:ascii="Garamond" w:hAnsi="Garamond"/>
          <w:b/>
          <w:sz w:val="22"/>
          <w:szCs w:val="22"/>
        </w:rPr>
        <w:t>Fall, 2014</w:t>
      </w:r>
    </w:p>
    <w:p>
      <w:pPr>
        <w:pStyle w:val="Normal"/>
        <w:spacing w:before="0" w:after="200"/>
        <w:contextualSpacing/>
        <w:jc w:val="center"/>
        <w:rPr>
          <w:rFonts w:ascii="Garamond" w:hAnsi="Garamond"/>
          <w:b/>
          <w:b/>
          <w:sz w:val="22"/>
          <w:szCs w:val="22"/>
        </w:rPr>
      </w:pPr>
      <w:r>
        <w:rPr>
          <w:rFonts w:ascii="Garamond" w:hAnsi="Garamond"/>
          <w:b/>
          <w:sz w:val="22"/>
          <w:szCs w:val="22"/>
        </w:rPr>
        <w:t>(1 credit)</w:t>
      </w:r>
    </w:p>
    <w:p>
      <w:pPr>
        <w:pStyle w:val="Normal"/>
        <w:spacing w:before="0" w:after="200"/>
        <w:contextualSpacing/>
        <w:jc w:val="center"/>
        <w:rPr>
          <w:rFonts w:ascii="Garamond" w:hAnsi="Garamond"/>
          <w:sz w:val="22"/>
          <w:szCs w:val="22"/>
        </w:rPr>
      </w:pPr>
      <w:r>
        <w:rPr>
          <w:rFonts w:ascii="Garamond" w:hAnsi="Garamond"/>
          <w:sz w:val="22"/>
          <w:szCs w:val="22"/>
        </w:rPr>
      </w:r>
    </w:p>
    <w:p>
      <w:pPr>
        <w:pStyle w:val="Normal"/>
        <w:spacing w:before="0" w:after="200"/>
        <w:contextualSpacing/>
        <w:rPr>
          <w:b w:val="false"/>
          <w:b w:val="false"/>
          <w:bCs w:val="false"/>
          <w:i w:val="false"/>
          <w:i w:val="false"/>
          <w:iCs w:val="false"/>
          <w:u w:val="none"/>
        </w:rPr>
      </w:pPr>
      <w:r>
        <w:rPr>
          <w:rFonts w:ascii="Garamond" w:hAnsi="Garamond"/>
          <w:b w:val="false"/>
          <w:bCs w:val="false"/>
          <w:i w:val="false"/>
          <w:iCs w:val="false"/>
          <w:sz w:val="22"/>
          <w:szCs w:val="22"/>
          <w:u w:val="none"/>
        </w:rPr>
        <w:t xml:space="preserve">Here we are making a bunch of Q2 edits. Yadda yadda. Legal. </w:t>
      </w:r>
    </w:p>
    <w:p>
      <w:pPr>
        <w:pStyle w:val="Normal"/>
        <w:spacing w:before="0" w:after="200"/>
        <w:contextualSpacing/>
        <w:rPr>
          <w:b w:val="false"/>
          <w:b w:val="false"/>
          <w:bCs w:val="false"/>
          <w:i w:val="false"/>
          <w:i w:val="false"/>
          <w:iCs w:val="false"/>
          <w:u w:val="none"/>
        </w:rPr>
      </w:pPr>
      <w:r>
        <w:rPr/>
      </w:r>
    </w:p>
    <w:p>
      <w:pPr>
        <w:pStyle w:val="Normal"/>
        <w:spacing w:before="0" w:after="200"/>
        <w:contextualSpacing/>
        <w:rPr>
          <w:b w:val="false"/>
          <w:b w:val="false"/>
          <w:bCs w:val="false"/>
          <w:i w:val="false"/>
          <w:i w:val="false"/>
          <w:iCs w:val="false"/>
          <w:u w:val="none"/>
        </w:rPr>
      </w:pPr>
      <w:r>
        <w:rPr>
          <w:rFonts w:ascii="Garamond" w:hAnsi="Garamond"/>
          <w:b w:val="false"/>
          <w:bCs w:val="false"/>
          <w:i w:val="false"/>
          <w:iCs w:val="false"/>
          <w:sz w:val="22"/>
          <w:szCs w:val="22"/>
          <w:u w:val="none"/>
        </w:rPr>
        <w:t>Official Copy Final V2</w:t>
      </w:r>
    </w:p>
    <w:p>
      <w:pPr>
        <w:pStyle w:val="Normal"/>
        <w:spacing w:before="0" w:after="200"/>
        <w:contextualSpacing/>
        <w:rPr>
          <w:i/>
          <w:i/>
          <w:iCs/>
          <w:u w:val="single"/>
        </w:rPr>
      </w:pPr>
      <w:r>
        <w:rPr>
          <w:i/>
          <w:iCs/>
          <w:u w:val="single"/>
        </w:rPr>
      </w:r>
    </w:p>
    <w:p>
      <w:pPr>
        <w:pStyle w:val="Normal"/>
        <w:spacing w:before="0" w:after="200"/>
        <w:contextualSpacing/>
        <w:rPr>
          <w:i/>
          <w:i/>
          <w:iCs/>
          <w:u w:val="single"/>
        </w:rPr>
      </w:pPr>
      <w:r>
        <w:rPr>
          <w:rFonts w:ascii="Garamond" w:hAnsi="Garamond"/>
          <w:b/>
          <w:i/>
          <w:iCs/>
          <w:sz w:val="22"/>
          <w:szCs w:val="22"/>
          <w:u w:val="single"/>
        </w:rPr>
        <w:t>HERE I AM ADDING ANOTHER LINE WITH SOME FORMATTING.</w:t>
      </w:r>
    </w:p>
    <w:p>
      <w:pPr>
        <w:pStyle w:val="Normal"/>
        <w:spacing w:before="0" w:after="200"/>
        <w:contextualSpacing/>
        <w:rPr>
          <w:rFonts w:ascii="Garamond" w:hAnsi="Garamond"/>
          <w:b/>
          <w:b/>
          <w:sz w:val="22"/>
          <w:szCs w:val="22"/>
        </w:rPr>
      </w:pPr>
      <w:r>
        <w:rPr>
          <w:rFonts w:ascii="Garamond" w:hAnsi="Garamond"/>
          <w:b/>
          <w:sz w:val="22"/>
          <w:szCs w:val="22"/>
        </w:rPr>
        <w:t>Adding another few items:</w:t>
      </w:r>
    </w:p>
    <w:p>
      <w:pPr>
        <w:pStyle w:val="Normal"/>
        <w:numPr>
          <w:ilvl w:val="0"/>
          <w:numId w:val="3"/>
        </w:numPr>
        <w:spacing w:before="0" w:after="200"/>
        <w:contextualSpacing/>
        <w:rPr/>
      </w:pPr>
      <w:r>
        <w:rPr/>
        <w:t>here</w:t>
      </w:r>
    </w:p>
    <w:p>
      <w:pPr>
        <w:pStyle w:val="Normal"/>
        <w:numPr>
          <w:ilvl w:val="0"/>
          <w:numId w:val="3"/>
        </w:numPr>
        <w:spacing w:before="0" w:after="200"/>
        <w:contextualSpacing/>
        <w:rPr/>
      </w:pPr>
      <w:r>
        <w:rPr/>
        <w:t>is</w:t>
      </w:r>
    </w:p>
    <w:p>
      <w:pPr>
        <w:pStyle w:val="Normal"/>
        <w:numPr>
          <w:ilvl w:val="0"/>
          <w:numId w:val="3"/>
        </w:numPr>
        <w:spacing w:before="0" w:after="200"/>
        <w:contextualSpacing/>
        <w:rPr/>
      </w:pPr>
      <w:r>
        <w:rPr/>
        <w:t>a list</w:t>
      </w:r>
    </w:p>
    <w:p>
      <w:pPr>
        <w:pStyle w:val="Normal"/>
        <w:numPr>
          <w:ilvl w:val="0"/>
          <w:numId w:val="3"/>
        </w:numPr>
        <w:spacing w:before="0" w:after="200"/>
        <w:contextualSpacing/>
        <w:rPr/>
      </w:pPr>
      <w:r>
        <w:rPr/>
        <w:t xml:space="preserve">of items that is numbered… </w:t>
      </w:r>
    </w:p>
    <w:p>
      <w:pPr>
        <w:pStyle w:val="Normal"/>
        <w:numPr>
          <w:ilvl w:val="0"/>
          <w:numId w:val="3"/>
        </w:numPr>
        <w:spacing w:before="0" w:after="200"/>
        <w:contextualSpacing/>
        <w:rPr/>
      </w:pPr>
      <w:r>
        <w:rPr/>
        <w:t xml:space="preserve">And one more item. </w:t>
      </w:r>
    </w:p>
    <w:p>
      <w:pPr>
        <w:pStyle w:val="Normal"/>
        <w:numPr>
          <w:ilvl w:val="0"/>
          <w:numId w:val="3"/>
        </w:numPr>
        <w:spacing w:before="0" w:after="200"/>
        <w:contextualSpacing/>
        <w:rPr/>
      </w:pPr>
      <w:r>
        <w:rPr/>
        <w:t>Adding anther item here.</w:t>
      </w:r>
    </w:p>
    <w:p>
      <w:pPr>
        <w:pStyle w:val="Normal"/>
        <w:spacing w:before="0" w:after="200"/>
        <w:contextualSpacing/>
        <w:rPr>
          <w:rFonts w:ascii="Garamond" w:hAnsi="Garamond"/>
          <w:b/>
          <w:b/>
          <w:sz w:val="22"/>
          <w:szCs w:val="22"/>
        </w:rPr>
      </w:pPr>
      <w:r>
        <w:rPr>
          <w:rFonts w:ascii="Garamond" w:hAnsi="Garamond"/>
          <w:b/>
          <w:sz w:val="22"/>
          <w:szCs w:val="22"/>
        </w:rPr>
        <w:t>Description</w:t>
      </w:r>
    </w:p>
    <w:p>
      <w:pPr>
        <w:pStyle w:val="Normal"/>
        <w:spacing w:before="0" w:after="200"/>
        <w:contextualSpacing/>
        <w:rPr>
          <w:rFonts w:ascii="Garamond" w:hAnsi="Garamond" w:cs="Verdana"/>
          <w:sz w:val="20"/>
          <w:szCs w:val="20"/>
        </w:rPr>
      </w:pPr>
      <w:r>
        <w:rPr>
          <w:rFonts w:cs="Verdana" w:ascii="Garamond" w:hAnsi="Garamond"/>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Prerequisites</w:t>
      </w:r>
    </w:p>
    <w:p>
      <w:pPr>
        <w:pStyle w:val="Normal"/>
        <w:spacing w:before="0" w:after="200"/>
        <w:contextualSpacing/>
        <w:rPr>
          <w:rFonts w:ascii="Garamond" w:hAnsi="Garamond"/>
          <w:sz w:val="22"/>
          <w:szCs w:val="22"/>
        </w:rPr>
      </w:pPr>
      <w:r>
        <w:rPr>
          <w:rFonts w:ascii="Garamond" w:hAnsi="Garamond"/>
          <w:sz w:val="22"/>
          <w:szCs w:val="22"/>
        </w:rPr>
        <w:t>None</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Instructor</w:t>
      </w:r>
    </w:p>
    <w:p>
      <w:pPr>
        <w:pStyle w:val="Normal"/>
        <w:spacing w:before="0" w:after="200"/>
        <w:contextualSpacing/>
        <w:rPr>
          <w:rFonts w:ascii="Garamond" w:hAnsi="Garamond"/>
          <w:sz w:val="22"/>
          <w:szCs w:val="22"/>
        </w:rPr>
      </w:pPr>
      <w:r>
        <w:rPr>
          <w:rFonts w:ascii="Garamond" w:hAnsi="Garamond"/>
          <w:sz w:val="22"/>
          <w:szCs w:val="22"/>
        </w:rPr>
        <w:t xml:space="preserve">Robert Yaffe, </w:t>
      </w:r>
      <w:hyperlink r:id="rId3">
        <w:r>
          <w:rPr>
            <w:rStyle w:val="InternetLink"/>
            <w:rFonts w:ascii="Garamond" w:hAnsi="Garamond"/>
            <w:sz w:val="22"/>
            <w:szCs w:val="22"/>
          </w:rPr>
          <w:t>yaffer@jhu.edu</w:t>
        </w:r>
      </w:hyperlink>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Meetings</w:t>
      </w:r>
    </w:p>
    <w:p>
      <w:pPr>
        <w:pStyle w:val="Normal"/>
        <w:spacing w:before="0" w:after="200"/>
        <w:contextualSpacing/>
        <w:rPr>
          <w:rFonts w:ascii="Garamond" w:hAnsi="Garamond"/>
          <w:sz w:val="22"/>
          <w:szCs w:val="22"/>
        </w:rPr>
      </w:pPr>
      <w:r>
        <w:rPr>
          <w:rFonts w:ascii="Garamond" w:hAnsi="Garamond"/>
          <w:sz w:val="22"/>
          <w:szCs w:val="22"/>
        </w:rPr>
        <w:t>Thursdays, 5:00–7:00 pm, Maryland 110</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Online Resources</w:t>
      </w:r>
    </w:p>
    <w:p>
      <w:pPr>
        <w:pStyle w:val="Normal"/>
        <w:spacing w:before="0" w:after="200"/>
        <w:contextualSpacing/>
        <w:rPr>
          <w:rFonts w:ascii="Garamond" w:hAnsi="Garamond"/>
          <w:sz w:val="22"/>
          <w:szCs w:val="22"/>
        </w:rPr>
      </w:pPr>
      <w:r>
        <w:rPr>
          <w:rFonts w:ascii="Garamond" w:hAnsi="Garamond"/>
          <w:sz w:val="22"/>
          <w:szCs w:val="22"/>
        </w:rPr>
        <w:t xml:space="preserve">Please log in to Blackboard for all materials related to this course.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Objectives</w:t>
      </w:r>
    </w:p>
    <w:p>
      <w:pPr>
        <w:pStyle w:val="ListParagraph"/>
        <w:numPr>
          <w:ilvl w:val="0"/>
          <w:numId w:val="1"/>
        </w:numPr>
        <w:rPr>
          <w:rFonts w:ascii="Garamond" w:hAnsi="Garamond"/>
          <w:sz w:val="22"/>
          <w:szCs w:val="22"/>
        </w:rPr>
      </w:pPr>
      <w:r>
        <w:rPr>
          <w:rFonts w:ascii="Garamond" w:hAnsi="Garamond"/>
          <w:sz w:val="22"/>
          <w:szCs w:val="22"/>
        </w:rPr>
        <w:t>Students will learn about the basic principles of brain computer interfaces</w:t>
      </w:r>
    </w:p>
    <w:p>
      <w:pPr>
        <w:pStyle w:val="ListParagraph"/>
        <w:numPr>
          <w:ilvl w:val="0"/>
          <w:numId w:val="1"/>
        </w:numPr>
        <w:rPr>
          <w:rFonts w:ascii="Garamond" w:hAnsi="Garamond"/>
          <w:sz w:val="22"/>
          <w:szCs w:val="22"/>
        </w:rPr>
      </w:pPr>
      <w:r>
        <w:rPr>
          <w:rFonts w:ascii="Garamond" w:hAnsi="Garamond"/>
          <w:sz w:val="22"/>
          <w:szCs w:val="22"/>
        </w:rPr>
        <w:t>Students will learn about neuromodulation technologies</w:t>
      </w:r>
    </w:p>
    <w:p>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pPr>
        <w:pStyle w:val="Normal"/>
        <w:spacing w:before="0" w:after="200"/>
        <w:contextualSpacing/>
        <w:rPr>
          <w:rFonts w:ascii="Garamond" w:hAnsi="Garamond"/>
          <w:sz w:val="22"/>
          <w:szCs w:val="22"/>
        </w:rPr>
      </w:pPr>
      <w:r>
        <w:rPr>
          <w:rFonts w:ascii="Garamond" w:hAnsi="Garamond"/>
          <w:b/>
          <w:sz w:val="22"/>
          <w:szCs w:val="22"/>
        </w:rPr>
        <w:t>Course Topics</w:t>
      </w:r>
    </w:p>
    <w:p>
      <w:pPr>
        <w:pStyle w:val="ListParagraph"/>
        <w:numPr>
          <w:ilvl w:val="0"/>
          <w:numId w:val="2"/>
        </w:numPr>
        <w:rPr>
          <w:rFonts w:ascii="Garamond" w:hAnsi="Garamond"/>
          <w:sz w:val="22"/>
          <w:szCs w:val="22"/>
        </w:rPr>
      </w:pPr>
      <w:r>
        <w:rPr>
          <w:rFonts w:ascii="Garamond" w:hAnsi="Garamond"/>
          <w:sz w:val="22"/>
          <w:szCs w:val="22"/>
        </w:rPr>
        <w:t>Invasive BCI</w:t>
      </w:r>
    </w:p>
    <w:p>
      <w:pPr>
        <w:pStyle w:val="ListParagraph"/>
        <w:numPr>
          <w:ilvl w:val="0"/>
          <w:numId w:val="2"/>
        </w:numPr>
        <w:rPr>
          <w:rFonts w:ascii="Garamond" w:hAnsi="Garamond"/>
          <w:sz w:val="22"/>
          <w:szCs w:val="22"/>
        </w:rPr>
      </w:pPr>
      <w:r>
        <w:rPr>
          <w:rFonts w:ascii="Garamond" w:hAnsi="Garamond"/>
          <w:sz w:val="22"/>
          <w:szCs w:val="22"/>
        </w:rPr>
        <w:t>Non-invasive BCI</w:t>
      </w:r>
    </w:p>
    <w:p>
      <w:pPr>
        <w:pStyle w:val="ListParagraph"/>
        <w:numPr>
          <w:ilvl w:val="0"/>
          <w:numId w:val="2"/>
        </w:numPr>
        <w:rPr>
          <w:rFonts w:ascii="Garamond" w:hAnsi="Garamond"/>
          <w:sz w:val="22"/>
          <w:szCs w:val="22"/>
        </w:rPr>
      </w:pPr>
      <w:r>
        <w:rPr>
          <w:rFonts w:ascii="Garamond" w:hAnsi="Garamond"/>
          <w:sz w:val="22"/>
          <w:szCs w:val="22"/>
        </w:rPr>
        <w:t>The p300 response</w:t>
      </w:r>
    </w:p>
    <w:p>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pPr>
        <w:pStyle w:val="ListParagraph"/>
        <w:numPr>
          <w:ilvl w:val="0"/>
          <w:numId w:val="2"/>
        </w:numPr>
        <w:rPr>
          <w:rFonts w:ascii="Garamond" w:hAnsi="Garamond"/>
          <w:sz w:val="22"/>
          <w:szCs w:val="22"/>
        </w:rPr>
      </w:pPr>
      <w:r>
        <w:rPr>
          <w:rFonts w:ascii="Garamond" w:hAnsi="Garamond"/>
          <w:sz w:val="22"/>
          <w:szCs w:val="22"/>
        </w:rPr>
        <w:t>Emotiv EEG</w:t>
      </w:r>
    </w:p>
    <w:p>
      <w:pPr>
        <w:pStyle w:val="ListParagraph"/>
        <w:numPr>
          <w:ilvl w:val="0"/>
          <w:numId w:val="2"/>
        </w:numPr>
        <w:rPr>
          <w:rFonts w:ascii="Garamond" w:hAnsi="Garamond"/>
          <w:sz w:val="22"/>
          <w:szCs w:val="22"/>
        </w:rPr>
      </w:pPr>
      <w:r>
        <w:rPr>
          <w:rFonts w:ascii="Garamond" w:hAnsi="Garamond"/>
          <w:sz w:val="22"/>
          <w:szCs w:val="22"/>
        </w:rPr>
        <w:t>Ethics of BCI</w:t>
      </w:r>
    </w:p>
    <w:p>
      <w:pPr>
        <w:pStyle w:val="ListParagraph"/>
        <w:numPr>
          <w:ilvl w:val="0"/>
          <w:numId w:val="2"/>
        </w:numPr>
        <w:rPr>
          <w:rFonts w:ascii="Garamond" w:hAnsi="Garamond"/>
          <w:sz w:val="22"/>
          <w:szCs w:val="22"/>
        </w:rPr>
      </w:pPr>
      <w:r>
        <w:rPr>
          <w:rFonts w:ascii="Garamond" w:hAnsi="Garamond"/>
          <w:sz w:val="22"/>
          <w:szCs w:val="22"/>
        </w:rPr>
        <w:t>Deep brain stimulation</w:t>
      </w:r>
    </w:p>
    <w:p>
      <w:pPr>
        <w:pStyle w:val="ListParagraph"/>
        <w:numPr>
          <w:ilvl w:val="0"/>
          <w:numId w:val="2"/>
        </w:numPr>
        <w:rPr>
          <w:rFonts w:ascii="Garamond" w:hAnsi="Garamond"/>
          <w:sz w:val="22"/>
          <w:szCs w:val="22"/>
        </w:rPr>
      </w:pPr>
      <w:r>
        <w:rPr>
          <w:rFonts w:ascii="Garamond" w:hAnsi="Garamond"/>
          <w:sz w:val="22"/>
          <w:szCs w:val="22"/>
        </w:rPr>
        <w:t>Transcranial magnetic stimulation</w:t>
      </w:r>
    </w:p>
    <w:p>
      <w:pPr>
        <w:pStyle w:val="ListParagraph"/>
        <w:numPr>
          <w:ilvl w:val="0"/>
          <w:numId w:val="2"/>
        </w:numPr>
        <w:rPr>
          <w:rFonts w:ascii="Garamond" w:hAnsi="Garamond"/>
          <w:sz w:val="22"/>
          <w:szCs w:val="22"/>
        </w:rPr>
      </w:pPr>
      <w:r>
        <w:rPr>
          <w:rFonts w:ascii="Garamond" w:hAnsi="Garamond"/>
          <w:sz w:val="22"/>
          <w:szCs w:val="22"/>
        </w:rPr>
        <w:t>Optogenetics</w:t>
      </w:r>
    </w:p>
    <w:p>
      <w:pPr>
        <w:pStyle w:val="ListParagraph"/>
        <w:numPr>
          <w:ilvl w:val="0"/>
          <w:numId w:val="2"/>
        </w:numPr>
        <w:rPr>
          <w:rFonts w:ascii="Garamond" w:hAnsi="Garamond"/>
          <w:sz w:val="22"/>
          <w:szCs w:val="22"/>
        </w:rPr>
      </w:pPr>
      <w:r>
        <w:rPr>
          <w:rFonts w:ascii="Garamond" w:hAnsi="Garamond"/>
          <w:sz w:val="22"/>
          <w:szCs w:val="22"/>
        </w:rPr>
        <w:t>Ethics of neuromodulation</w:t>
      </w:r>
    </w:p>
    <w:p>
      <w:pPr>
        <w:pStyle w:val="ListParagraph"/>
        <w:numPr>
          <w:ilvl w:val="0"/>
          <w:numId w:val="2"/>
        </w:numPr>
        <w:rPr>
          <w:rFonts w:ascii="Garamond" w:hAnsi="Garamond"/>
          <w:sz w:val="22"/>
          <w:szCs w:val="22"/>
        </w:rPr>
      </w:pPr>
      <w:r>
        <w:rPr>
          <w:rFonts w:ascii="Garamond" w:hAnsi="Garamond"/>
          <w:sz w:val="22"/>
          <w:szCs w:val="22"/>
        </w:rPr>
        <w:t>Brain-to-brain interface</w:t>
      </w:r>
    </w:p>
    <w:p>
      <w:pPr>
        <w:pStyle w:val="ListParagraph"/>
        <w:numPr>
          <w:ilvl w:val="0"/>
          <w:numId w:val="2"/>
        </w:numPr>
        <w:rPr>
          <w:rFonts w:ascii="Garamond" w:hAnsi="Garamond"/>
          <w:sz w:val="22"/>
          <w:szCs w:val="22"/>
        </w:rPr>
      </w:pPr>
      <w:r>
        <w:rPr>
          <w:rFonts w:ascii="Garamond" w:hAnsi="Garamond"/>
          <w:sz w:val="22"/>
          <w:szCs w:val="22"/>
        </w:rPr>
        <w:t>And more!</w:t>
      </w:r>
    </w:p>
    <w:p>
      <w:pPr>
        <w:pStyle w:val="Normal"/>
        <w:spacing w:before="0" w:after="200"/>
        <w:contextualSpacing/>
        <w:rPr>
          <w:rFonts w:ascii="Garamond" w:hAnsi="Garamond"/>
          <w:b/>
          <w:b/>
          <w:sz w:val="22"/>
          <w:szCs w:val="22"/>
        </w:rPr>
      </w:pPr>
      <w:r>
        <w:rPr>
          <w:rFonts w:ascii="Garamond" w:hAnsi="Garamond"/>
          <w:b/>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Expectations &amp; Grading</w:t>
      </w:r>
    </w:p>
    <w:p>
      <w:pPr>
        <w:pStyle w:val="Normal"/>
        <w:spacing w:before="0" w:after="200"/>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We will have many discussions, so there will be plenty of opportunities for participation. There will be assigned readings/videos each week. Come to class prepared to discuss that week’s topic.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Key Dates</w:t>
      </w:r>
    </w:p>
    <w:p>
      <w:pPr>
        <w:pStyle w:val="Normal"/>
        <w:spacing w:before="0" w:after="200"/>
        <w:contextualSpacing/>
        <w:rPr>
          <w:rFonts w:ascii="Garamond" w:hAnsi="Garamond"/>
          <w:sz w:val="22"/>
          <w:szCs w:val="22"/>
        </w:rPr>
      </w:pPr>
      <w:r>
        <w:rPr>
          <w:rFonts w:ascii="Garamond" w:hAnsi="Garamond"/>
          <w:sz w:val="22"/>
          <w:szCs w:val="22"/>
        </w:rPr>
        <w:t>No class on October 16</w:t>
      </w:r>
      <w:r>
        <w:rPr>
          <w:rFonts w:ascii="Garamond" w:hAnsi="Garamond"/>
          <w:sz w:val="22"/>
          <w:szCs w:val="22"/>
          <w:vertAlign w:val="superscript"/>
        </w:rPr>
        <w:t>th</w:t>
      </w:r>
      <w:r>
        <w:rPr>
          <w:rFonts w:ascii="Garamond" w:hAnsi="Garamond"/>
          <w:sz w:val="22"/>
          <w:szCs w:val="22"/>
        </w:rPr>
        <w:t>. No class on November 6</w:t>
      </w:r>
      <w:r>
        <w:rPr>
          <w:rFonts w:ascii="Garamond" w:hAnsi="Garamond"/>
          <w:sz w:val="22"/>
          <w:szCs w:val="22"/>
          <w:vertAlign w:val="superscript"/>
        </w:rPr>
        <w:t>th</w:t>
      </w:r>
      <w:r>
        <w:rPr>
          <w:rFonts w:ascii="Garamond" w:hAnsi="Garamond"/>
          <w:sz w:val="22"/>
          <w:szCs w:val="22"/>
        </w:rPr>
        <w:t>. Makeup class December 4</w:t>
      </w:r>
      <w:r>
        <w:rPr>
          <w:rFonts w:ascii="Garamond" w:hAnsi="Garamond"/>
          <w:sz w:val="22"/>
          <w:szCs w:val="22"/>
          <w:vertAlign w:val="superscript"/>
        </w:rPr>
        <w:t>th</w:t>
      </w:r>
      <w:r>
        <w:rPr>
          <w:rFonts w:ascii="Garamond" w:hAnsi="Garamond"/>
          <w:sz w:val="22"/>
          <w:szCs w:val="22"/>
        </w:rPr>
        <w:t xml:space="preserve">.  </w:t>
      </w:r>
    </w:p>
    <w:p>
      <w:pPr>
        <w:pStyle w:val="Normal"/>
        <w:spacing w:before="0" w:after="200"/>
        <w:contextualSpacing/>
        <w:rPr>
          <w:rFonts w:ascii="Garamond" w:hAnsi="Garamond"/>
          <w:sz w:val="22"/>
          <w:szCs w:val="22"/>
        </w:rPr>
      </w:pPr>
      <w:r>
        <w:rPr>
          <w:rFonts w:ascii="Garamond" w:hAnsi="Garamond"/>
          <w:sz w:val="22"/>
          <w:szCs w:val="22"/>
        </w:rPr>
        <w:t>Tentative Schedule</w:t>
      </w:r>
    </w:p>
    <w:p>
      <w:pPr>
        <w:pStyle w:val="Normal"/>
        <w:spacing w:before="0" w:after="200"/>
        <w:contextualSpacing/>
        <w:rPr>
          <w:rFonts w:ascii="Garamond" w:hAnsi="Garamond"/>
          <w:sz w:val="22"/>
          <w:szCs w:val="22"/>
        </w:rPr>
      </w:pPr>
      <w:r>
        <w:rPr>
          <w:rFonts w:ascii="Garamond" w:hAnsi="Garamond"/>
          <w:sz w:val="22"/>
          <w:szCs w:val="22"/>
        </w:rPr>
        <w:t>October 9</w:t>
      </w:r>
      <w:r>
        <w:rPr>
          <w:rFonts w:ascii="Garamond" w:hAnsi="Garamond"/>
          <w:sz w:val="22"/>
          <w:szCs w:val="22"/>
          <w:vertAlign w:val="superscript"/>
        </w:rPr>
        <w:t>th</w:t>
      </w:r>
      <w:r>
        <w:rPr>
          <w:rFonts w:ascii="Garamond" w:hAnsi="Garamond"/>
          <w:sz w:val="22"/>
          <w:szCs w:val="22"/>
        </w:rPr>
        <w:t>: Intro to BCI</w:t>
      </w:r>
    </w:p>
    <w:p>
      <w:pPr>
        <w:pStyle w:val="Normal"/>
        <w:spacing w:before="0" w:after="200"/>
        <w:contextualSpacing/>
        <w:rPr>
          <w:rFonts w:ascii="Garamond" w:hAnsi="Garamond"/>
          <w:sz w:val="22"/>
          <w:szCs w:val="22"/>
        </w:rPr>
      </w:pPr>
      <w:r>
        <w:rPr>
          <w:rFonts w:ascii="Garamond" w:hAnsi="Garamond"/>
          <w:sz w:val="22"/>
          <w:szCs w:val="22"/>
        </w:rPr>
        <w:t>October 23</w:t>
      </w:r>
      <w:r>
        <w:rPr>
          <w:rFonts w:ascii="Garamond" w:hAnsi="Garamond"/>
          <w:sz w:val="22"/>
          <w:szCs w:val="22"/>
          <w:vertAlign w:val="superscript"/>
        </w:rPr>
        <w:t>rd</w:t>
      </w:r>
      <w:r>
        <w:rPr>
          <w:rFonts w:ascii="Garamond" w:hAnsi="Garamond"/>
          <w:sz w:val="22"/>
          <w:szCs w:val="22"/>
        </w:rPr>
        <w:t>: p300 and SSVEP based BCIs</w:t>
      </w:r>
    </w:p>
    <w:p>
      <w:pPr>
        <w:pStyle w:val="Normal"/>
        <w:spacing w:before="0" w:after="200"/>
        <w:contextualSpacing/>
        <w:rPr>
          <w:rFonts w:ascii="Garamond" w:hAnsi="Garamond"/>
          <w:sz w:val="22"/>
          <w:szCs w:val="22"/>
        </w:rPr>
      </w:pPr>
      <w:r>
        <w:rPr>
          <w:rFonts w:ascii="Garamond" w:hAnsi="Garamond"/>
          <w:sz w:val="22"/>
          <w:szCs w:val="22"/>
        </w:rPr>
        <w:t>October 30</w:t>
      </w:r>
      <w:r>
        <w:rPr>
          <w:rFonts w:ascii="Garamond" w:hAnsi="Garamond"/>
          <w:sz w:val="22"/>
          <w:szCs w:val="22"/>
          <w:vertAlign w:val="superscript"/>
        </w:rPr>
        <w:t>th</w:t>
      </w:r>
      <w:r>
        <w:rPr>
          <w:rFonts w:ascii="Garamond" w:hAnsi="Garamond"/>
          <w:sz w:val="22"/>
          <w:szCs w:val="22"/>
        </w:rPr>
        <w:t>: Demo of Emotiv EEG BCI</w:t>
      </w:r>
    </w:p>
    <w:p>
      <w:pPr>
        <w:pStyle w:val="Normal"/>
        <w:spacing w:before="0" w:after="200"/>
        <w:contextualSpacing/>
        <w:rPr>
          <w:rFonts w:ascii="Garamond" w:hAnsi="Garamond"/>
          <w:sz w:val="22"/>
          <w:szCs w:val="22"/>
        </w:rPr>
      </w:pPr>
      <w:r>
        <w:rPr>
          <w:rFonts w:ascii="Garamond" w:hAnsi="Garamond"/>
          <w:sz w:val="22"/>
          <w:szCs w:val="22"/>
        </w:rPr>
        <w:t>November 13</w:t>
      </w:r>
      <w:r>
        <w:rPr>
          <w:rFonts w:ascii="Garamond" w:hAnsi="Garamond"/>
          <w:sz w:val="22"/>
          <w:szCs w:val="22"/>
          <w:vertAlign w:val="superscript"/>
        </w:rPr>
        <w:t>th</w:t>
      </w:r>
      <w:r>
        <w:rPr>
          <w:rFonts w:ascii="Garamond" w:hAnsi="Garamond"/>
          <w:sz w:val="22"/>
          <w:szCs w:val="22"/>
        </w:rPr>
        <w:t>: Deep brain stimulation and transcranial magnetic stimulation</w:t>
      </w:r>
    </w:p>
    <w:p>
      <w:pPr>
        <w:pStyle w:val="Normal"/>
        <w:spacing w:before="0" w:after="200"/>
        <w:contextualSpacing/>
        <w:rPr>
          <w:rFonts w:ascii="Garamond" w:hAnsi="Garamond"/>
          <w:sz w:val="22"/>
          <w:szCs w:val="22"/>
        </w:rPr>
      </w:pPr>
      <w:r>
        <w:rPr>
          <w:rFonts w:ascii="Garamond" w:hAnsi="Garamond"/>
          <w:sz w:val="22"/>
          <w:szCs w:val="22"/>
        </w:rPr>
        <w:t>November 20</w:t>
      </w:r>
      <w:r>
        <w:rPr>
          <w:rFonts w:ascii="Garamond" w:hAnsi="Garamond"/>
          <w:sz w:val="22"/>
          <w:szCs w:val="22"/>
          <w:vertAlign w:val="superscript"/>
        </w:rPr>
        <w:t>th</w:t>
      </w:r>
      <w:r>
        <w:rPr>
          <w:rFonts w:ascii="Garamond" w:hAnsi="Garamond"/>
          <w:sz w:val="22"/>
          <w:szCs w:val="22"/>
        </w:rPr>
        <w:t>: Optogenetics</w:t>
      </w:r>
    </w:p>
    <w:p>
      <w:pPr>
        <w:pStyle w:val="Normal"/>
        <w:spacing w:before="0" w:after="200"/>
        <w:contextualSpacing/>
        <w:rPr>
          <w:rFonts w:ascii="Garamond" w:hAnsi="Garamond"/>
          <w:sz w:val="22"/>
          <w:szCs w:val="22"/>
        </w:rPr>
      </w:pPr>
      <w:r>
        <w:rPr>
          <w:rFonts w:ascii="Garamond" w:hAnsi="Garamond"/>
          <w:sz w:val="22"/>
          <w:szCs w:val="22"/>
        </w:rPr>
        <w:t>December 4</w:t>
      </w:r>
      <w:r>
        <w:rPr>
          <w:rFonts w:ascii="Garamond" w:hAnsi="Garamond"/>
          <w:sz w:val="22"/>
          <w:szCs w:val="22"/>
          <w:vertAlign w:val="superscript"/>
        </w:rPr>
        <w:t>th</w:t>
      </w:r>
      <w:r>
        <w:rPr>
          <w:rFonts w:ascii="Garamond" w:hAnsi="Garamond"/>
          <w:sz w:val="22"/>
          <w:szCs w:val="22"/>
        </w:rPr>
        <w:t>: Brain-to-Brain interfaces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Assignments &amp; Readings</w:t>
      </w:r>
    </w:p>
    <w:p>
      <w:pPr>
        <w:pStyle w:val="Normal"/>
        <w:spacing w:before="0" w:after="200"/>
        <w:contextualSpacing/>
        <w:rPr>
          <w:rFonts w:ascii="Garamond" w:hAnsi="Garamond"/>
          <w:sz w:val="22"/>
          <w:szCs w:val="22"/>
        </w:rPr>
      </w:pPr>
      <w:r>
        <w:rPr>
          <w:rFonts w:ascii="Garamond" w:hAnsi="Garamond"/>
          <w:sz w:val="22"/>
          <w:szCs w:val="22"/>
        </w:rPr>
        <w:t>These will be</w:t>
      </w:r>
      <w:bookmarkStart w:id="0" w:name="_GoBack"/>
      <w:bookmarkEnd w:id="0"/>
      <w:r>
        <w:rPr>
          <w:rFonts w:ascii="Garamond" w:hAnsi="Garamond"/>
          <w:sz w:val="22"/>
          <w:szCs w:val="22"/>
        </w:rPr>
        <w:t xml:space="preserve"> posted on the Blackboard site for this course. </w:t>
      </w:r>
    </w:p>
    <w:p>
      <w:pPr>
        <w:pStyle w:val="Normal"/>
        <w:spacing w:before="0" w:after="200"/>
        <w:contextualSpacing/>
        <w:rPr>
          <w:rFonts w:ascii="Garamond" w:hAnsi="Garamond"/>
          <w:sz w:val="22"/>
          <w:szCs w:val="22"/>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0c7e"/>
    <w:rPr>
      <w:rFonts w:ascii="Lucida Grande" w:hAnsi="Lucida Grande"/>
      <w:sz w:val="18"/>
      <w:szCs w:val="18"/>
    </w:rPr>
  </w:style>
  <w:style w:type="character" w:styleId="InternetLink">
    <w:name w:val="Hyperlink"/>
    <w:basedOn w:val="DefaultParagraphFont"/>
    <w:uiPriority w:val="99"/>
    <w:unhideWhenUsed/>
    <w:rsid w:val="00486dba"/>
    <w:rPr>
      <w:color w:val="0000FF" w:themeColor="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710c7e"/>
    <w:pPr>
      <w:spacing w:before="0" w:after="0"/>
    </w:pPr>
    <w:rPr>
      <w:rFonts w:ascii="Lucida Grande" w:hAnsi="Lucida Grande"/>
      <w:sz w:val="18"/>
      <w:szCs w:val="18"/>
    </w:rPr>
  </w:style>
  <w:style w:type="paragraph" w:styleId="ListParagraph">
    <w:name w:val="List Paragraph"/>
    <w:basedOn w:val="Normal"/>
    <w:uiPriority w:val="34"/>
    <w:qFormat/>
    <w:rsid w:val="00486d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yaffer@jhu.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LibreOffice/7.3.5.2$MacOSX_AARCH64 LibreOffice_project/184fe81b8c8c30d8b5082578aee2fed2ea847c01</Application>
  <AppVersion>15.0000</AppVersion>
  <Pages>2</Pages>
  <Words>430</Words>
  <Characters>2292</Characters>
  <CharactersWithSpaces>2652</CharactersWithSpaces>
  <Paragraphs>57</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2014-10-09T16:42:00Z</dcterms:created>
  <dc:creator>Edward Scheinerman</dc:creator>
  <dc:description/>
  <dc:language>en-US</dc:language>
  <cp:lastModifiedBy/>
  <dcterms:modified xsi:type="dcterms:W3CDTF">2024-05-03T15:00:01Z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