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tiff" ContentType="image/tiff"/>
  <Override PartName="/word/media/rId51.tiff" ContentType="image/tiff"/>
  <Override PartName="/word/media/rId56.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statistical power for detecting subtle community shifts and, crucially, supplies interpretable feature-weight profiles that clarify which taxa drive group separation. On the DietSwap dataset, MeLSI was the only method to achieve significance at α=0.05, demonstrating that adaptive weighting can detect diet-induced community shifts that fixed metrics miss. Across all datasets, the learned feature weights identified biologically relevant taxa — providing actionable insight that no fixed distance metric can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importance of feature</w:t>
      </w:r>
      <w:r>
        <w:t xml:space="preserve"> </w:t>
      </w:r>
      <m:oMath>
        <m:r>
          <m:t>j</m:t>
        </m:r>
      </m:oMath>
      <w:r>
        <w:t xml:space="preserv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importance scores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feature importance scores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learned metric weight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pre-filtering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pre-filtering score, maintaining high statistical power while reducing dimensionality. This pre-filtering score</w:t>
      </w:r>
      <w:r>
        <w:t xml:space="preserve"> </w:t>
      </w:r>
      <m:oMath>
        <m:sSub>
          <m:e>
            <m:r>
              <m:t>I</m:t>
            </m:r>
          </m:e>
          <m:sub>
            <m:r>
              <m:t>j</m:t>
            </m:r>
          </m:sub>
        </m:sSub>
      </m:oMath>
      <w:r>
        <w:t xml:space="preserve"> </w:t>
      </w:r>
      <w:r>
        <w:t xml:space="preserve">is used solely for feature selection and is distinct from the learned metric weights</w:t>
      </w:r>
      <w:r>
        <w:t xml:space="preserve"> </w:t>
      </w:r>
      <m:oMath>
        <m:sSub>
          <m:e>
            <m:r>
              <m:t>M</m:t>
            </m:r>
          </m:e>
          <m:sub>
            <m:r>
              <m:t>j</m:t>
            </m:r>
            <m:r>
              <m:t>j</m:t>
            </m:r>
          </m:sub>
        </m:sSub>
      </m:oMath>
      <w:r>
        <w:t xml:space="preserve">, which are optimized during metric learning (see Optimization Objective) and represent each feature’s contribution to the final distance metric.</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Feature importance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 = 560) versus females (n = 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 = 37) to the traditional high-fiber diet group (DI, n = 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higher empirical power for count-based methods at medium and large effects (Table 2). CLR is particularly appropriate when signals are distributed across multiple taxa rather than concentrated in highly abundant taxa, and when interpretability through learned metric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Weighted/Unweighted UniFrac were provided with random phylogenetic trees for synthetic benchmarks. UniFrac was not evaluated on real-world datasets because the publicly available dataset objects for Atlas1006, DietSwap, and SKIOME lack phylogenetic trees.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is available as a Bioconductor R package (installable via BiocManager::install(</w:t>
      </w:r>
      <w:r>
        <w:t xml:space="preserve">“MeLSI”</w:t>
      </w:r>
      <w:r>
        <w:t xml:space="preserve">)) and at https://github.com/NathanBresette/MeLSI under the MIT license. All validation scripts, reproducibility materials, supplementary tables, and figures are available at https://github.com/NathanBresette/MelsiALL. The Atlas1006 and DietSwap datasets are available through the R microbiome package (https://microbiome.github.io/).</w:t>
      </w:r>
    </w:p>
    <w:bookmarkEnd w:id="38"/>
    <w:bookmarkStart w:id="63"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1"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Empirical Power (%) Across Methods, Effect Sizes, and Sample Sizes</w:t>
      </w:r>
    </w:p>
    <w:tbl>
      <w:tblPr>
        <w:tblStyle w:val="Table"/>
        <w:tblW w:type="pct" w:w="5000"/>
        <w:tblLayout w:type="fixed"/>
        <w:tblLook w:firstRow="1" w:lastRow="0" w:firstColumn="0" w:lastColumn="0" w:noHBand="0" w:noVBand="0" w:val="0020"/>
      </w:tblPr>
      <w:tblGrid>
        <w:gridCol w:w="1240"/>
        <w:gridCol w:w="477"/>
        <w:gridCol w:w="667"/>
        <w:gridCol w:w="1049"/>
        <w:gridCol w:w="1240"/>
        <w:gridCol w:w="858"/>
        <w:gridCol w:w="1145"/>
        <w:gridCol w:w="1240"/>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w:t>
            </w:r>
          </w:p>
        </w:tc>
        <w:tc>
          <w:tcPr/>
          <w:p>
            <w:pPr>
              <w:pStyle w:val="Compact"/>
            </w:pPr>
            <w:r>
              <w:t xml:space="preserve">Euclidean</w:t>
            </w:r>
          </w:p>
        </w:tc>
        <w:tc>
          <w:tcPr/>
          <w:p>
            <w:pPr>
              <w:pStyle w:val="Compact"/>
            </w:pPr>
            <w:r>
              <w:t xml:space="preserve">Bray-Curtis</w:t>
            </w:r>
          </w:p>
        </w:tc>
        <w:tc>
          <w:tcPr/>
          <w:p>
            <w:pPr>
              <w:pStyle w:val="Compact"/>
            </w:pPr>
            <w:r>
              <w:t xml:space="preserve">Jaccard</w:t>
            </w:r>
          </w:p>
        </w:tc>
        <w:tc>
          <w:tcPr/>
          <w:p>
            <w:pPr>
              <w:pStyle w:val="Compact"/>
            </w:pPr>
            <w:r>
              <w:t xml:space="preserve">W. UniFrac</w:t>
            </w:r>
          </w:p>
        </w:tc>
        <w:tc>
          <w:tcPr/>
          <w:p>
            <w:pPr>
              <w:pStyle w:val="Compact"/>
            </w:pPr>
            <w:r>
              <w:t xml:space="preserve">UW. UniFrac</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8</w:t>
            </w:r>
          </w:p>
        </w:tc>
        <w:tc>
          <w:tcPr/>
          <w:p>
            <w:pPr>
              <w:pStyle w:val="Compact"/>
            </w:pPr>
            <w:r>
              <w:t xml:space="preserve">20</w:t>
            </w:r>
          </w:p>
        </w:tc>
        <w:tc>
          <w:tcPr/>
          <w:p>
            <w:pPr>
              <w:pStyle w:val="Compact"/>
            </w:pPr>
            <w:r>
              <w:t xml:space="preserve">0</w:t>
            </w:r>
          </w:p>
        </w:tc>
        <w:tc>
          <w:tcPr/>
          <w:p>
            <w:pPr>
              <w:pStyle w:val="Compact"/>
            </w:pPr>
            <w:r>
              <w:t xml:space="preserve">10</w:t>
            </w:r>
          </w:p>
        </w:tc>
        <w:tc>
          <w:tcPr/>
          <w:p>
            <w:pPr>
              <w:pStyle w:val="Compact"/>
            </w:pPr>
            <w:r>
              <w:t xml:space="preserve">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8</w:t>
            </w:r>
          </w:p>
        </w:tc>
        <w:tc>
          <w:tcPr/>
          <w:p>
            <w:pPr>
              <w:pStyle w:val="Compact"/>
            </w:pPr>
            <w:r>
              <w:t xml:space="preserve">20</w:t>
            </w:r>
          </w:p>
        </w:tc>
        <w:tc>
          <w:tcPr/>
          <w:p>
            <w:pPr>
              <w:pStyle w:val="Compact"/>
            </w:pPr>
            <w:r>
              <w:t xml:space="preserve">6</w:t>
            </w:r>
          </w:p>
        </w:tc>
        <w:tc>
          <w:tcPr/>
          <w:p>
            <w:pPr>
              <w:pStyle w:val="Compact"/>
            </w:pPr>
            <w:r>
              <w:t xml:space="preserve">8</w:t>
            </w:r>
          </w:p>
        </w:tc>
        <w:tc>
          <w:tcPr/>
          <w:p>
            <w:pPr>
              <w:pStyle w:val="Compact"/>
            </w:pPr>
            <w:r>
              <w:t xml:space="preserve">4</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16</w:t>
            </w:r>
          </w:p>
        </w:tc>
        <w:tc>
          <w:tcPr/>
          <w:p>
            <w:pPr>
              <w:pStyle w:val="Compact"/>
            </w:pPr>
            <w:r>
              <w:t xml:space="preserve">54</w:t>
            </w:r>
          </w:p>
        </w:tc>
        <w:tc>
          <w:tcPr/>
          <w:p>
            <w:pPr>
              <w:pStyle w:val="Compact"/>
            </w:pPr>
            <w:r>
              <w:t xml:space="preserve">6</w:t>
            </w:r>
          </w:p>
        </w:tc>
        <w:tc>
          <w:tcPr/>
          <w:p>
            <w:pPr>
              <w:pStyle w:val="Compact"/>
            </w:pPr>
            <w:r>
              <w:t xml:space="preserve">20</w:t>
            </w:r>
          </w:p>
        </w:tc>
        <w:tc>
          <w:tcPr/>
          <w:p>
            <w:pPr>
              <w:pStyle w:val="Compact"/>
            </w:pPr>
            <w:r>
              <w:t xml:space="preserve">4</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32</w:t>
            </w:r>
          </w:p>
        </w:tc>
        <w:tc>
          <w:tcPr/>
          <w:p>
            <w:pPr>
              <w:pStyle w:val="Compact"/>
            </w:pPr>
            <w:r>
              <w:t xml:space="preserve">74</w:t>
            </w:r>
          </w:p>
        </w:tc>
        <w:tc>
          <w:tcPr/>
          <w:p>
            <w:pPr>
              <w:pStyle w:val="Compact"/>
            </w:pPr>
            <w:r>
              <w:t xml:space="preserve">0</w:t>
            </w:r>
          </w:p>
        </w:tc>
        <w:tc>
          <w:tcPr/>
          <w:p>
            <w:pPr>
              <w:pStyle w:val="Compact"/>
            </w:pPr>
            <w:r>
              <w:t xml:space="preserve">32</w:t>
            </w:r>
          </w:p>
        </w:tc>
        <w:tc>
          <w:tcPr/>
          <w:p>
            <w:pPr>
              <w:pStyle w:val="Compact"/>
            </w:pPr>
            <w:r>
              <w:t xml:space="preserve">2</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52</w:t>
            </w:r>
          </w:p>
        </w:tc>
        <w:tc>
          <w:tcPr/>
          <w:p>
            <w:pPr>
              <w:pStyle w:val="Compact"/>
            </w:pPr>
            <w:r>
              <w:t xml:space="preserve">100</w:t>
            </w:r>
          </w:p>
        </w:tc>
        <w:tc>
          <w:tcPr/>
          <w:p>
            <w:pPr>
              <w:pStyle w:val="Compact"/>
            </w:pPr>
            <w:r>
              <w:t xml:space="preserve">4</w:t>
            </w:r>
          </w:p>
        </w:tc>
        <w:tc>
          <w:tcPr/>
          <w:p>
            <w:pPr>
              <w:pStyle w:val="Compact"/>
            </w:pPr>
            <w:r>
              <w:t xml:space="preserve">82</w:t>
            </w:r>
          </w:p>
        </w:tc>
        <w:tc>
          <w:tcPr/>
          <w:p>
            <w:pPr>
              <w:pStyle w:val="Compact"/>
            </w:pPr>
            <w:r>
              <w:t xml:space="preserve">4</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100</w:t>
            </w:r>
          </w:p>
        </w:tc>
        <w:tc>
          <w:tcPr/>
          <w:p>
            <w:pPr>
              <w:pStyle w:val="Compact"/>
            </w:pPr>
            <w:r>
              <w:t xml:space="preserve">2</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98</w:t>
            </w:r>
          </w:p>
        </w:tc>
        <w:tc>
          <w:tcPr/>
          <w:p>
            <w:pPr>
              <w:pStyle w:val="Compact"/>
            </w:pPr>
            <w:r>
              <w:t xml:space="preserve">100</w:t>
            </w:r>
          </w:p>
        </w:tc>
        <w:tc>
          <w:tcPr/>
          <w:p>
            <w:pPr>
              <w:pStyle w:val="Compact"/>
            </w:pPr>
            <w:r>
              <w:t xml:space="preserve">10</w:t>
            </w:r>
          </w:p>
        </w:tc>
        <w:tc>
          <w:tcPr/>
          <w:p>
            <w:pPr>
              <w:pStyle w:val="Compact"/>
            </w:pPr>
            <w:r>
              <w:t xml:space="preserve">98</w:t>
            </w:r>
          </w:p>
        </w:tc>
        <w:tc>
          <w:tcPr/>
          <w:p>
            <w:pPr>
              <w:pStyle w:val="Compact"/>
            </w:pPr>
            <w:r>
              <w:t xml:space="preserve">8</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4</w:t>
            </w:r>
          </w:p>
        </w:tc>
        <w:tc>
          <w:tcPr/>
          <w:p>
            <w:pPr>
              <w:pStyle w:val="Compact"/>
            </w:pPr>
            <w:r>
              <w:t xml:space="preserve">100</w:t>
            </w:r>
          </w:p>
        </w:tc>
        <w:tc>
          <w:tcPr/>
          <w:p>
            <w:pPr>
              <w:pStyle w:val="Compact"/>
            </w:pPr>
            <w:r>
              <w:t xml:space="preserve">4</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6</w:t>
            </w:r>
          </w:p>
        </w:tc>
        <w:tc>
          <w:tcPr/>
          <w:p>
            <w:pPr>
              <w:pStyle w:val="Compact"/>
            </w:pPr>
            <w:r>
              <w:t xml:space="preserve">100</w:t>
            </w:r>
          </w:p>
        </w:tc>
        <w:tc>
          <w:tcPr/>
          <w:p>
            <w:pPr>
              <w:pStyle w:val="Compact"/>
            </w:pPr>
            <w:r>
              <w:t xml:space="preserve">6</w:t>
            </w:r>
          </w:p>
        </w:tc>
      </w:tr>
    </w:tbl>
    <w:p>
      <w:pPr>
        <w:pStyle w:val="BodyText"/>
      </w:pPr>
      <w:r>
        <w:t xml:space="preserve">Abbreviations: n, sample size per group; Power, percentage of 50 simulations with p &lt; 0.05. MeLSI and Euclidean use CLR-transformed data; Bray-Curtis, Jaccard, and UniFrac use raw counts. MeLSI used 200 internal permutations; traditional methods used 999 permutations. See Supplementary Tables S1-S2 for signal taxa recovery metrics and per-method F-statistics.</w:t>
      </w:r>
    </w:p>
    <w:p>
      <w:pPr>
        <w:pStyle w:val="BodyText"/>
      </w:pPr>
      <w:r>
        <w:t xml:space="preserve">Several patterns emerge from these results. First, Bray-Curtis and Weighted UniFrac consistently achieved the highest power, particularly at medium effects (Bray-Curtis: 74-100%, Weighted UniFrac: 32-100% vs. MeLSI’s 16-96%), reflecting their direct sensitivity to abundance fold changes in raw count data. Second, Jaccard and Unweighted UniFrac showed near-zero power across all conditions because these presence/absence metrics cannot detect fold-change effects — when signal taxa are already present in both groups, multiplying their abundances does not change their binary presence/absence profiles. Third, at large effect sizes with sufficient sample sizes (n</w:t>
      </w:r>
      <w:r>
        <w:t xml:space="preserve"> </w:t>
      </w:r>
      <m:oMath>
        <m:r>
          <m:rPr>
            <m:sty m:val="p"/>
          </m:rPr>
          <m:t>≥</m:t>
        </m:r>
      </m:oMath>
      <w:r>
        <w:t xml:space="preserve"> </w:t>
      </w:r>
      <w:r>
        <w:t xml:space="preserve">100), all abundance-sensitive methods (MeLSI, Euclidean, Bray-Curtis, Weighted UniFrac) converged to 100% power, reflecting the expected behavior that sufficiently strong signals are detectable by any reasonable method. Fourth, MeLSI and Euclidean distance showed comparable power across conditions, as both operate on CLR-transformed data — the most direct apples-to-apples comparison among the methods tested. We note that PERMANOVA F-statistics computed from different distance metrics are not directly comparable because each metric defines a distinct geometric space, so cross-metric F-statistic comparisons should be interpreted cautiously. MeLSI’s distinct advantage is interpretability: learned feature weights identify which taxa drive group separation (Supplementary Table S1), information that fixed metrics cannot provide.</w:t>
      </w:r>
    </w:p>
    <w:bookmarkStart w:id="40" w:name="signal-taxa-recovery"/>
    <w:p>
      <w:pPr>
        <w:pStyle w:val="Heading4"/>
      </w:pPr>
      <w:r>
        <w:t xml:space="preserve">Signal taxa recovery</w:t>
      </w:r>
    </w:p>
    <w:p>
      <w:pPr>
        <w:pStyle w:val="FirstParagraph"/>
      </w:pPr>
      <w:r>
        <w:t xml:space="preserve">MeLSI’s learned feature weights provide a unique interpretability advantage by identifying which taxa drive group differences. Supplementary Table S1 reports recovery metrics across all simulated conditions. Recovery performance varied substantially with effect size and sample size. At small effects (1.5× fold change in 5 taxa), recovery was modest: Precision at 5 ranged from 0.104 to 0.148 and AUC-ROC from 0.641 to 0.673 across sample sizes, reflecting the inherent difficulty of identifying specific signal taxa when the effect is subtle. At medium effects (2.0× fold change in 10 taxa), performance improved substantially, with Precision at 5 increasing from 0.356 (n=50) to 0.660 (n=200) and AUC-ROC from 0.733 to 0.842, demonstrating that MeLSI’s feature weight learning becomes increasingly reliable as sample size grows. At large effects (3.0× fold change in 20 taxa), recovery was strong: Precision at 5 reached 0.876-1.000, Mean Rank decreased to 14.4-26.2 (out of 200 taxa), and AUC-ROC reached 0.858-0.960. For context, random assignment would yield Precision at 5 of 0.025-0.100 and AUC-ROC of 0.500, so even the modest small-effect recovery represents meaningful signal detection above chance. These results indicate that MeLSI’s learned weights are most reliable as a feature ranking tool when effects are moderate to large — precisely the conditions where identifying the specific taxa driving group separation is most biologically actionable.</w:t>
      </w:r>
    </w:p>
    <w:bookmarkEnd w:id="40"/>
    <w:bookmarkEnd w:id="41"/>
    <w:bookmarkStart w:id="42"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 = 200 taxa and varied n from 20 to 500. For dimensionality scaling, we fixed n = 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 (s)</w:t>
            </w:r>
          </w:p>
        </w:tc>
      </w:tr>
      <w:tr>
        <w:tc>
          <w:tcPr/>
          <w:p>
            <w:pPr>
              <w:pStyle w:val="Compact"/>
            </w:pPr>
            <w:r>
              <w:rPr>
                <w:b/>
                <w:bCs/>
              </w:rPr>
              <w:t xml:space="preserve">Varying n (p = 200)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 = 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r>
      <w:tr>
        <w:tc>
          <w:tcPr/>
          <w:p>
            <w:pPr>
              <w:pStyle w:val="Compact"/>
            </w:pPr>
            <w:r>
              <w:t xml:space="preserve">n = 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r>
      <w:tr>
        <w:tc>
          <w:tcPr/>
          <w:p>
            <w:pPr>
              <w:pStyle w:val="Compact"/>
            </w:pPr>
            <w:r>
              <w:t xml:space="preserve">n = 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r>
      <w:tr>
        <w:tc>
          <w:tcPr/>
          <w:p>
            <w:pPr>
              <w:pStyle w:val="Compact"/>
            </w:pPr>
            <w:r>
              <w:t xml:space="preserve">n = 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r>
      <w:tr>
        <w:tc>
          <w:tcPr/>
          <w:p>
            <w:pPr>
              <w:pStyle w:val="Compact"/>
            </w:pPr>
            <w:r>
              <w:t xml:space="preserve">n = 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r>
      <w:tr>
        <w:tc>
          <w:tcPr/>
          <w:p>
            <w:pPr>
              <w:pStyle w:val="Compact"/>
            </w:pPr>
            <w:r>
              <w:rPr>
                <w:b/>
                <w:bCs/>
              </w:rPr>
              <w:t xml:space="preserve">Varying p (n = 100)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 = 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r>
      <w:tr>
        <w:tc>
          <w:tcPr/>
          <w:p>
            <w:pPr>
              <w:pStyle w:val="Compact"/>
            </w:pPr>
            <w:r>
              <w:t xml:space="preserve">p = 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r>
      <w:tr>
        <w:tc>
          <w:tcPr/>
          <w:p>
            <w:pPr>
              <w:pStyle w:val="Compact"/>
            </w:pPr>
            <w:r>
              <w:t xml:space="preserve">p = 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r>
      <w:tr>
        <w:tc>
          <w:tcPr/>
          <w:p>
            <w:pPr>
              <w:pStyle w:val="Compact"/>
            </w:pPr>
            <w:r>
              <w:t xml:space="preserve">p = 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r>
      <w:tr>
        <w:tc>
          <w:tcPr/>
          <w:p>
            <w:pPr>
              <w:pStyle w:val="Compact"/>
            </w:pPr>
            <w:r>
              <w:t xml:space="preserve">p = 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r>
    </w:tbl>
    <w:p>
      <w:pPr>
        <w:pStyle w:val="BodyText"/>
      </w:pPr>
      <w:r>
        <w:t xml:space="preserve">Abbreviations: n, sample size; p, number of taxa/features; F, MeLSI PERMANOVA F-statistic; Time, computation time in seconds. Values shown as mean across 10 simulations per condition. See Supplementary Table S3 for individual method F-statistics.</w:t>
      </w:r>
    </w:p>
    <w:p>
      <w:pPr>
        <w:pStyle w:val="BodyText"/>
      </w:pPr>
      <w:r>
        <w:t xml:space="preserve">MeLSI’s F-statistics increased monotonically with sample size, demonstrating appropriate signal detection with larger datasets. Computation time scaled as O(n²) with sample size and O(p²) with dimensionality, but pre-filtering substantially mitigates the dimensionality scaling. For very high-dimensional datasets (p&gt;1000), we recommend pre-filtering, feature aggregation, or traditional methods if interpretability is not prioritized.</w:t>
      </w:r>
    </w:p>
    <w:bookmarkEnd w:id="42"/>
    <w:bookmarkStart w:id="43"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3"/>
    <w:bookmarkStart w:id="44"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 Correlation was introduced using a block structure: the 200 taxa were divided into 10 blocks of 20 taxa each, with uniform pairwise correlation</w:t>
      </w:r>
      <w:r>
        <w:t xml:space="preserve"> </w:t>
      </w:r>
      <m:oMath>
        <m:r>
          <m:t>r</m:t>
        </m:r>
      </m:oMath>
      <w:r>
        <w:t xml:space="preserve"> </w:t>
      </w:r>
      <w:r>
        <w:t xml:space="preserve">imposed among taxa within each block and independence between blocks. This design mimics realistic microbiome correlation patterns where functionally related or co-occurring taxa (e.g., within the same ecological guild or metabolic pathway) exhibit positive correlation while taxonomically distant groups remain independent. Within each block, correlated multivariate normal noise was generated (using Cholesky decomposition) and added to log-transformed abundances, scaled to preserve the original signal structure. Signal taxa were randomly distributed across blocks, so some blocks contained signal taxa and others did not, reflecting the realistic scenario where correlated taxa may or may not include differentially abundant species.</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489"/>
        <w:gridCol w:w="1489"/>
        <w:gridCol w:w="235"/>
        <w:gridCol w:w="1333"/>
        <w:gridCol w:w="705"/>
        <w:gridCol w:w="1097"/>
        <w:gridCol w:w="862"/>
        <w:gridCol w:w="705"/>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r>
    </w:tbl>
    <w:p>
      <w:pPr>
        <w:pStyle w:val="BodyText"/>
      </w:pPr>
      <w:r>
        <w:t xml:space="preserve">Abbreviations: n, number of simulations per correlation level; F, PERMANOVA F-statistic (mean across 50 simulations); Precision at 10, proportion of top-10 features that are true signals; Recall at 10, proportion of true signals found in top-10 features; AUC-ROC, area under receiver operating characteristic curve. Sample size fixed at 100 samples, 200 taxa, medium effect size.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These results indicate that the ensemble approach, which aggregates signal across multiple learners with different bootstrap samples and feature subsets, naturally accommodates correlated features without requiring explicit correlation modeling.</w:t>
      </w:r>
    </w:p>
    <w:bookmarkEnd w:id="44"/>
    <w:bookmarkStart w:id="45"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 = 100 samples per condition) with varying effect sizes and dimensionalities (small: 1.5× fold change in 5 taxa, p = 500; medium: 2.0× in 10 taxa, p = 200; large: 3.0× in 20 taxa, p = 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5"/>
    <w:bookmarkStart w:id="61"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50" w:name="atlas1006-dataset"/>
    <w:p>
      <w:pPr>
        <w:pStyle w:val="Heading4"/>
      </w:pPr>
      <w:r>
        <w:t xml:space="preserve">Atlas1006 dataset</w:t>
      </w:r>
    </w:p>
    <w:p>
      <w:pPr>
        <w:pStyle w:val="FirstParagraph"/>
      </w:pPr>
      <w:r>
        <w:t xml:space="preserve">On the Atlas1006 dataset (1,114 Western European adults, male vs. female), all methods except Jaccard detected significant sex-associated community differences: MeLSI (F = 4.841, p = 0.005), Euclidean (F = 4.711, p = 0.001), Bray-Curtis (F = 4.442, p = 0.001), Jaccard (F = 1.791, p = 0.144). These results are consistent with previously documented microbiome variation between males and females (29, 30). F-statistics from different distance metrics are not directly comparable because each defines a distinct geometric space; significance (p-values) provides the appropriate basis for comparison.</w:t>
      </w:r>
    </w:p>
    <w:bookmarkStart w:id="49" w:name="feature-importance"/>
    <w:p>
      <w:pPr>
        <w:pStyle w:val="Heading5"/>
      </w:pPr>
      <w:r>
        <w:t xml:space="preserve">Feature importance</w:t>
      </w:r>
    </w:p>
    <w:p>
      <w:pPr>
        <w:pStyle w:val="FirstParagraph"/>
      </w:pPr>
      <w:r>
        <w:t xml:space="preserve">MeLSI provides interpretable feature importance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drawing>
          <wp:inline>
            <wp:extent cx="5334000" cy="3810000"/>
            <wp:effectExtent b="0" l="0" r="0" t="0"/>
            <wp:docPr descr="" title="" id="47" name="Picture"/>
            <a:graphic>
              <a:graphicData uri="http://schemas.openxmlformats.org/drawingml/2006/picture">
                <pic:pic>
                  <pic:nvPicPr>
                    <pic:cNvPr descr="figures/atlas1006_figure1.tif"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1.</w:t>
      </w:r>
      <w:r>
        <w:t xml:space="preserve"> </w:t>
      </w:r>
      <w:r>
        <w:t xml:space="preserve">Atlas1006 dataset (Male vs. Female, n=1,114). (A) Top 15 taxa ranked by MeLSI learned metric weights, colored by directionality (group with higher mean CLR abundance). Taxa from Bacteroidaceae, Lachnospiraceae, and Ruminococcaceae families show strongest contributions. (B) PCoA ordination using MeLSI learned distance (F=4.841, p=0.005). (C) PCoA ordination using Euclidean distance on CLR-transformed data (F=4.711, p=0.001). (D) PCoA ordination using Bray-Curtis dissimilarity (F=4.442, p=0.001). Dashed ellipses show 95% confidence ellipses. Note: PCoA1/PCoA2 axes are on different scales across panels because each distance metric defines a distinct geometric space.</w:t>
      </w:r>
      <w:r>
        <w:t xml:space="preserve"> </w:t>
      </w:r>
    </w:p>
    <w:p>
      <w:pPr>
        <w:pStyle w:val="BodyText"/>
      </w:pPr>
      <w:r>
        <w:t xml:space="preserve">The diagonal elements of the learned metric matrix</w:t>
      </w:r>
      <w:r>
        <w:t xml:space="preserve"> </w:t>
      </w:r>
      <m:oMath>
        <m:r>
          <m:rPr>
            <m:sty m:val="b"/>
          </m:rPr>
          <m:t>M</m:t>
        </m:r>
      </m:oMath>
      <w:r>
        <w:t xml:space="preserve"> </w:t>
      </w:r>
      <w:r>
        <w:t xml:space="preserve">represent the learned metric weights: higher values indicate taxa that contribute more to group separation. These metric weights are distinct from the pre-filtering scores</w:t>
      </w:r>
      <w:r>
        <w:t xml:space="preserve"> </w:t>
      </w:r>
      <m:oMath>
        <m:sSub>
          <m:e>
            <m:r>
              <m:t>I</m:t>
            </m:r>
          </m:e>
          <m:sub>
            <m:r>
              <m:t>j</m:t>
            </m:r>
          </m:sub>
        </m:sSub>
      </m:oMath>
      <w:r>
        <w:t xml:space="preserve"> </w:t>
      </w:r>
      <w:r>
        <w:t xml:space="preserve">used for feature selection (see Methods). MeLSI automatically calculates directionality and effect sizes on CLR-transformed data. Directionality is determined by identifying which group has the higher mean abundance on CLR-transformed data. Effect size is reported as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The learned distance matrices can also be used for PCoA ordination to visualize group separation (Figures 1-3), enabling direct visual comparison with traditional metrics on the same datasets.</w:t>
      </w:r>
    </w:p>
    <w:bookmarkEnd w:id="49"/>
    <w:bookmarkEnd w:id="50"/>
    <w:bookmarkStart w:id="55" w:name="dietswap-dataset"/>
    <w:p>
      <w:pPr>
        <w:pStyle w:val="Heading4"/>
      </w:pPr>
      <w:r>
        <w:t xml:space="preserve">DietSwap dataset</w:t>
      </w:r>
    </w:p>
    <w:p>
      <w:pPr>
        <w:pStyle w:val="FirstParagraph"/>
      </w:pPr>
      <w:r>
        <w:t xml:space="preserve">On the DietSwap dataset (Western vs. high-fiber diets), MeLSI was the only method to detect a significant community difference at</w:t>
      </w:r>
      <w:r>
        <w:t xml:space="preserve"> </w:t>
      </w:r>
      <m:oMath>
        <m:r>
          <m:t>α</m:t>
        </m:r>
      </m:oMath>
      <w:r>
        <w:t xml:space="preserve">=0.05: MeLSI (F = 3.063, p = 0.015), Bray-Curtis (F = 2.153, p = 0.066), Jaccard (F = 1.921, p = 0.100), Euclidean (F = 1.670, p = 0.077). Phylogenetic methods (Weighted/Unweighted UniFrac) were not evaluated because the publicly available dataset object lacks a phylogenetic tree. This demonstrates a case where MeLSI’s adaptive weighting captures diet-induced compositional shifts that fixed metrics detect only marginally.</w:t>
      </w:r>
    </w:p>
    <w:bookmarkStart w:id="54" w:name="feature-importance-1"/>
    <w:p>
      <w:pPr>
        <w:pStyle w:val="Heading5"/>
      </w:pPr>
      <w:r>
        <w:t xml:space="preserve">Feature importance</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p>
      <w:pPr>
        <w:pStyle w:val="BodyText"/>
      </w:pPr>
      <w:r>
        <w:drawing>
          <wp:inline>
            <wp:extent cx="5334000" cy="3810000"/>
            <wp:effectExtent b="0" l="0" r="0" t="0"/>
            <wp:docPr descr="" title="" id="52" name="Picture"/>
            <a:graphic>
              <a:graphicData uri="http://schemas.openxmlformats.org/drawingml/2006/picture">
                <pic:pic>
                  <pic:nvPicPr>
                    <pic:cNvPr descr="figures/dietswap_figure2.tif"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2.</w:t>
      </w:r>
      <w:r>
        <w:t xml:space="preserve"> </w:t>
      </w:r>
      <w:r>
        <w:t xml:space="preserve">DietSwap dataset (Western vs. High-fiber diet, n=74). (A) Top 15 taxa by MeLSI learned metric weights, colored by directionality. (B) PCoA ordination using MeLSI learned distance (F=3.063, p=0.015). (C) PCoA ordination using Euclidean distance on CLR-transformed data (F=1.670, p=0.077). (D) PCoA ordination using Bray-Curtis dissimilarity (F=2.153, p=0.066). Dashed ellipses show 95% confidence ellipses. MeLSI was the only method achieving significance at</w:t>
      </w:r>
      <w:r>
        <w:t xml:space="preserve"> </w:t>
      </w:r>
      <m:oMath>
        <m:r>
          <m:t>α</m:t>
        </m:r>
      </m:oMath>
      <w:r>
        <w:t xml:space="preserve">=0.05.</w:t>
      </w:r>
      <w:r>
        <w:t xml:space="preserve"> </w:t>
      </w:r>
    </w:p>
    <w:bookmarkEnd w:id="54"/>
    <w:bookmarkEnd w:id="55"/>
    <w:bookmarkStart w:id="60" w:name="skiome-dataset"/>
    <w:p>
      <w:pPr>
        <w:pStyle w:val="Heading4"/>
      </w:pPr>
      <w:r>
        <w:t xml:space="preserve">SKIOME dataset</w:t>
      </w:r>
    </w:p>
    <w:p>
      <w:pPr>
        <w:pStyle w:val="FirstParagraph"/>
      </w:pPr>
      <w:r>
        <w:t xml:space="preserve">To validate multi-group capability, we analyzed the SKIOME skin microbiome dataset (PRJNA554499, 511 samples, 3 groups: Atopic_Dermatitis, Healthy, Psoriasis). MeLSI’s omnibus test detected significant differences (F = 4.972, p = 0.005), as did Euclidean distance (F = 4.897, p = 0.001), Bray-Curtis (F = 16.275, p = 0.001), and Jaccard (F = 11.058, p = 0.001). All pairwise comparisons remained significant after FDR correction (p = 0.005 for all pairs). The most informative comparison is MeLSI versus Euclidean, as both operate in CLR-transformed space: MeLSI (F = 4.972) performed essentially identically to unweighted Euclidean (F = 4.897). This equivalence is itself a biologically meaningful finding: it indicates that the signal in the SKIOME dataset is broadly distributed across many taxa rather than concentrated in a small subset. In such cases, a weighted metric offers no detection advantage, and MeLSI correctly learns this — assigning relatively uniform weights rather than artificially inflating a few taxa. This reflects statistical integrity, not a limitation. Bray-Curtis and Jaccard yield substantially larger pseudo-F statistics because count-based and presence/absence metrics define fundamentally different geometric spaces; these values are not directly comparable to CLR-based F-statistics. Regardless, while Bray-Curtis provides only an omnibus p-value, MeLSI additionally provides learned feature weights identifying which taxa drive group separation (Figure 3A), enabling biological interpretation within a single unified framework.</w:t>
      </w:r>
    </w:p>
    <w:bookmarkStart w:id="59" w:name="feature-importance-2"/>
    <w:p>
      <w:pPr>
        <w:pStyle w:val="Heading5"/>
      </w:pPr>
      <w:r>
        <w:t xml:space="preserve">Feature importance</w:t>
      </w:r>
    </w:p>
    <w:p>
      <w:pPr>
        <w:pStyle w:val="FirstParagraph"/>
      </w:pPr>
      <w:r>
        <w:t xml:space="preserve">Figure 3 displays feature importance weights and PCoA ordination, demonstrating MeLSI’s interpretability for multi-group analyses. The learned metric weights identified Staphylococcus (family Staphylococcaceae) as the most influential taxon, consistent with its known role in atopic dermatitis pathogenesis. This validates MeLSI’s utility beyond two-group comparisons and across different body sites (skin vs. gut microbiome).</w:t>
      </w:r>
    </w:p>
    <w:p>
      <w:pPr>
        <w:pStyle w:val="BodyText"/>
      </w:pPr>
      <w:r>
        <w:drawing>
          <wp:inline>
            <wp:extent cx="5334000" cy="3810000"/>
            <wp:effectExtent b="0" l="0" r="0" t="0"/>
            <wp:docPr descr="" title="" id="57" name="Picture"/>
            <a:graphic>
              <a:graphicData uri="http://schemas.openxmlformats.org/drawingml/2006/picture">
                <pic:pic>
                  <pic:nvPicPr>
                    <pic:cNvPr descr="figures/skiome_figure3.tif"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3.</w:t>
      </w:r>
      <w:r>
        <w:t xml:space="preserve"> </w:t>
      </w:r>
      <w:r>
        <w:t xml:space="preserve">SKIOME multi-group validation (Atopic Dermatitis, Healthy, Psoriasis; n=511). (A) Top 15 taxa by MeLSI learned metric weights, colored by group with highest mean abundance. (B) PCoA ordination using MeLSI learned distance (F=4.972, p=0.005). (C) PCoA ordination using Euclidean distance on CLR-transformed data (F=4.897, p=0.001). (D) PCoA ordination using Bray-Curtis dissimilarity (F=16.275, p=0.001). Dashed ellipses show 95% confidence ellipses. All methods detected significant differences; Bray-Curtis showed the strongest visual separation.</w:t>
      </w:r>
      <w:r>
        <w:t xml:space="preserve"> </w:t>
      </w:r>
    </w:p>
    <w:bookmarkEnd w:id="59"/>
    <w:bookmarkEnd w:id="60"/>
    <w:bookmarkEnd w:id="61"/>
    <w:bookmarkStart w:id="62"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 = 100-500, p = 200-500) required 2-15 minutes, and large datasets (n = 1000+, p = 100-500) took 15-60 minutes. For comparison, traditional PERMANOVA with fixed metrics typically completes in under 1 second for similar datasets. MeLSI’s additional computation time is justified by its interpretability advantage: learned feature weights identify which taxa drive group separation, information that fixed distance metrics cannot provide. Pre-filtering improves F-statistics by 36-37% while reducing computation time by 16-40% (Table 6). For typical microbiome studies (n = 50-200, p = 100-500), MeLSI completes in 2-30 minutes (Table 3), representing a modest time investment relative to overall study timelines. For very large studies (n&gt;500) or when only rapid screening is needed without feature-level interpretation, traditional methods may be preferable.</w:t>
      </w:r>
    </w:p>
    <w:bookmarkEnd w:id="62"/>
    <w:bookmarkEnd w:id="63"/>
    <w:bookmarkStart w:id="67" w:name="conclusions"/>
    <w:p>
      <w:pPr>
        <w:pStyle w:val="Heading2"/>
      </w:pPr>
      <w:r>
        <w:t xml:space="preserve">CONCLUSIONS</w:t>
      </w:r>
    </w:p>
    <w:bookmarkStart w:id="64"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On real data, MeLSI achieved significant detection on the DietSwap dataset where all traditional metrics remained marginal (MeLSI p = 0.015 vs. traditional p</w:t>
      </w:r>
      <w:r>
        <w:t xml:space="preserve"> </w:t>
      </w:r>
      <m:oMath>
        <m:r>
          <m:rPr>
            <m:sty m:val="p"/>
          </m:rPr>
          <m:t>≥</m:t>
        </m:r>
      </m:oMath>
      <w:r>
        <w:t xml:space="preserve"> </w:t>
      </w:r>
      <w:r>
        <w:t xml:space="preserve">0.066), and comparable significance on Atlas1006 and SKIOME. In synthetic benchmarks, Bray-Curtis and Weighted UniFrac showed higher empirical power than MeLSI at medium effect sizes (Table 2), reflecting the inherent advantage of count-based metrics for detecting fold-change signals in raw abundance data. This power difference is partly attributable to MeLSI using 200 permutations versus 999 for traditional methods; despite this conservative setting, MeLSI demonstrated comparable power to Euclidean distance (both CLR-based) while providing interpretability that no fixed metric offers.</w:t>
      </w:r>
    </w:p>
    <w:p>
      <w:pPr>
        <w:pStyle w:val="BodyText"/>
      </w:pPr>
      <w:r>
        <w:t xml:space="preserve">MeLSI’s key innovation is interpretability: learned metric weights identify biologically relevant taxa (e.g., Bacteroidaceae, Lachnospiraceae, Ruminococcaceae in sex-associated differences), turning omnibus PERMANOVA results into actionable biological insights. The mechanism by which learned weights improve analysis is straightforward: by assigning higher weights to taxa with strong between-group differences and lower weights to noise taxa, the weighted distance metric effectively increases the signal-to-noise ratio in the distance calculation. This concentrates the PERMANOVA analysis on the most informative features, analogous to how a domain expert might focus on key taxa — but learned directly from data rather than requiring prior knowledge. This weighting is particularly beneficial when a small subset of taxa drives group differences while many uninformative taxa add noise, as is typical in microbiome studies. MeLSI is recommended when: (1) interpretability through feature weights is needed to identify biologically relevant taxa, (2) traditional methods yield marginal results (p-values near 0.05), (3) signals are distributed across multiple taxa rather than concentrated in highly abundant taxa, and (4) the researcher seeks both a significance test and a ranked list of taxa driving group separation. Traditional methods (Bray-Curtis, UniFrac) are preferable for: (1) large-scale screening studies where speed is critical, (2) when only omnibus significance testing is needed without feature-level interpretation, and (3) when fold-change signals are large and concentrated in abundant taxa. Critically, unlike prediction-focused machine learning (e.g., Random Forest, neural networks), MeLSI is an inference-focused approach: every learned metric undergoes rigorous permutation testing to ensure that p-values remain valid despite the adaptive nature of the method.</w:t>
      </w:r>
    </w:p>
    <w:bookmarkEnd w:id="64"/>
    <w:bookmarkStart w:id="65"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65"/>
    <w:bookmarkStart w:id="66" w:name="software-availability"/>
    <w:p>
      <w:pPr>
        <w:pStyle w:val="Heading3"/>
      </w:pPr>
      <w:r>
        <w:t xml:space="preserve">Software availability</w:t>
      </w:r>
    </w:p>
    <w:p>
      <w:pPr>
        <w:pStyle w:val="FirstParagraph"/>
      </w:pPr>
      <w:r>
        <w:t xml:space="preserve">MeLSI is freely available as a Bioconductor R package (installable via BiocManager::install(</w:t>
      </w:r>
      <w:r>
        <w:t xml:space="preserve">“MeLSI”</w:t>
      </w:r>
      <w:r>
        <w:t xml:space="preserve">)) and at https://github.com/NathanBresette/MeLSI under the MIT license. The package includes comprehensive documentation, tutorial vignettes, and example datasets. All validation scripts, reproducibility materials, supplementary tables, and figures are available at https://github.com/NathanBresette/MelsiALL.</w:t>
      </w:r>
    </w:p>
    <w:bookmarkEnd w:id="66"/>
    <w:bookmarkEnd w:id="67"/>
    <w:bookmarkStart w:id="68"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 F-statistics and power for all six methods across all conditions</w:t>
      </w:r>
    </w:p>
    <w:p>
      <w:pPr>
        <w:pStyle w:val="Compact"/>
        <w:numPr>
          <w:ilvl w:val="0"/>
          <w:numId w:val="1010"/>
        </w:numPr>
      </w:pPr>
      <w:r>
        <w:rPr>
          <w:b/>
          <w:bCs/>
        </w:rPr>
        <w:t xml:space="preserve">Supplementary Table S3</w:t>
      </w:r>
      <w:r>
        <w:t xml:space="preserve">: Individual method comparisons for scalability analysis — F-statistics for all six methods across all conditions</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allowing readers to compare MeLSI against each traditional method individually across all simulated conditions.</w:t>
      </w:r>
    </w:p>
    <w:bookmarkEnd w:id="68"/>
    <w:bookmarkStart w:id="69"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9"/>
    <w:bookmarkStart w:id="70"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70"/>
    <w:bookmarkStart w:id="71"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73"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73"/>
    <w:bookmarkStart w:id="74"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University of Missouri Metagenomics Center,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74"/>
    <w:bookmarkStart w:id="75"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tiff" /><Relationship Type="http://schemas.openxmlformats.org/officeDocument/2006/relationships/image" Id="rId51" Target="media/rId51.tiff" /><Relationship Type="http://schemas.openxmlformats.org/officeDocument/2006/relationships/image" Id="rId56" Target="media/rId56.tif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2026-03-27T14:08:59Z</dcterms:created>
  <dcterms:modified xsi:type="dcterms:W3CDTF">2026-03-27T14:08:59Z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