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 xml:space="preserve">Drift Detection, Diagnosis and Reliability Analysis for Deployed Machine Learning Models</w:t>
      </w:r>
    </w:p>
    <w:p>
      <w:pPr>
        <w:pStyle w:val="author"/>
      </w:pPr>
      <w:r>
        <w:t xml:space="preserve">Rahul Guhagarkar, Nathan Cherian, Alok Pal, Akul Patre and Sanjay Mirchandani</w:t>
      </w:r>
    </w:p>
    <w:p>
      <w:pPr>
        <w:pStyle w:val="address"/>
      </w:pPr>
      <w:r>
        <w:t xml:space="preserve">Department of Computer Engineering, Vivekanand Education Society's Institute of Technology, Hashu Advani Memorial Complex, Collector's Colony, Chembur, Mumbai 400074, India</w:t>
      </w:r>
      <w:r>
        <w:br/>
      </w:r>
      <w:r>
        <w:rPr>
          <w:rStyle w:val="e-mail"/>
        </w:rPr>
        <w:t>2023.rahul.guhagarkar@ves.ac.in</w:t>
      </w:r>
    </w:p>
    <w:p>
      <w:pPr>
        <w:pStyle w:val="abstract"/>
        <w:spacing w:after="0"/>
        <w:ind w:firstLine="0"/>
      </w:pPr>
      <w:r>
        <w:rPr>
          <w:b/>
          <w:bCs/>
        </w:rPr>
        <w:t xml:space="preserve">Abstract. </w:t>
      </w: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At its heart sits a diagnosis made only of hypothesis tests, all held to one family-wise error rate. Its first stage uses no labels and tells covariate shift from prior shift. The second stage is new: given a few hundred late labels, it asks whether the errors have moved in a way the model’s own confidence cannot account for, the mark that sets concept drift apart from label noise. With drift injected into two census tasks and two model families, the diagnosis named the type in 85.7 to 94.3% of windows, ahead of common monitoring rules. A learned meta-classifier did better on drift it had seen, yet fell to 31.1 to 51.2% on held-out drift mechanisms, where our tests still reached 62.4 to 81.5%. On four real datasets with documented changes, the pipeline flagged no control window and pointed to the known events.</w:t>
      </w:r>
    </w:p>
    <w:p>
      <w:pPr>
        <w:pStyle w:val="keywords"/>
      </w:pPr>
      <w:r>
        <w:rPr>
          <w:b/>
          <w:bCs/>
        </w:rPr>
        <w:t xml:space="preserve">Keywords:</w:t>
      </w:r>
      <w:r>
        <w:t xml:space="preserve"> Concept Drift, Label Shift, Model Monitoring, Drift Diagnosis, Hypothesis Testing.</w:t>
      </w:r>
    </w:p>
    <w:p>
      <w:pPr>
        <w:pStyle w:val="heading1"/>
      </w:pPr>
      <w:r>
        <w:t xml:space="preserve">Introduction</w:t>
      </w:r>
    </w:p>
    <w:p>
      <w:pPr>
        <w:pStyle w:val="p1a"/>
      </w:pPr>
      <w:r>
        <w:t xml:space="preserve">Nobody announces it when a deployed classifier starts to slip. The production data simply wander away from the training data, while the labels that would expose the loss tend to turn up weeks or months later </w:t>
      </w:r>
      <w:r>
        <w:t xml:space="preserve">[1]</w:t>
      </w:r>
      <w:r>
        <w:t xml:space="preserve">. A monitor has to catch the change and make sense of it before those labels exist.</w:t>
      </w:r>
    </w:p>
    <w:p>
      <w:pPr>
        <w:pStyle w:val="Normal"/>
      </w:pPr>
      <w:r>
        <w:t xml:space="preserve">Existing monitors do the first part of that job well. They flag a changed distribution </w:t>
      </w:r>
      <w:r>
        <w:t xml:space="preserve">[1]</w:t>
      </w:r>
      <w:r>
        <w:t xml:space="preserve"> and give a fair estimate of how much accuracy has gone </w:t>
      </w:r>
      <w:r>
        <w:t xml:space="preserve">[2, 3]</w:t>
      </w:r>
      <w:r>
        <w:t xml:space="preserve">. Far fewer say what kind of change took place. That gap matters, since each kind has its own remedy. Moreno-Torres et al. </w:t>
      </w:r>
      <w:r>
        <w:t xml:space="preserve">[4]</w:t>
      </w:r>
      <w:r>
        <w:t xml:space="preserve"> distinguish three types of dataset shift. Under covariate shift the inputs drift but the mapping from inputs to labels holds, so reweighting the training data is often enough. Under prior shift it is only the class balance that moves, which recalibration usually fixes. Concept drift alters the mapping itself; nothing short of fresh labels will repair it. To these we add label noise as a fourth type. Here the labels used to grade the model are themselves corrupted, so the fault lies in how labels are collected rather than in the model.</w:t>
      </w:r>
    </w:p>
    <w:p>
      <w:pPr>
        <w:pStyle w:val="Normal"/>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Normal"/>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 Fig. </w:t>
      </w:r>
      <w:r>
        <w:t xml:space="preserve">1</w:t>
      </w:r>
      <w:r>
        <w:t xml:space="preserve"> lays out the stages of the pipeline.</w:t>
      </w:r>
    </w:p>
    <w:p>
      <w:pPr>
        <w:pStyle w:val="image"/>
        <w:keepNext/>
      </w:pPr>
      <w:r>
        <w:drawing>
          <wp:inline distT="0" distB="0" distL="0" distR="0">
            <wp:extent cx="2736000" cy="1385029"/>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736000" cy="1385029"/>
                    </a:xfrm>
                    <a:prstGeom prst="rect">
                      <a:avLst/>
                    </a:prstGeom>
                  </pic:spPr>
                </pic:pic>
              </a:graphicData>
            </a:graphic>
          </wp:inline>
        </w:drawing>
      </w:r>
    </w:p>
    <w:p>
      <w:pPr>
        <w:pStyle w:val="figurecaption"/>
      </w:pPr>
      <w:r>
        <w:rPr>
          <w:b/>
        </w:rPr>
        <w:t xml:space="preserve">Fig. 1.</w:t>
      </w:r>
      <w:r>
        <w:t xml:space="preserve"> </w:t>
      </w:r>
      <w:r>
        <w:t xml:space="preserve">Stages of the monitoring pipeline, from the inputs (A) to the advice on retraining (F).</w:t>
      </w:r>
    </w:p>
    <w:p>
      <w:pPr>
        <w:pStyle w:val="p1a"/>
      </w:pPr>
      <w:r>
        <w:t xml:space="preserve">The core of the pipeline is the step that names the drift type, which is also the main subject of this paper. Nothing in this step is learned from examples of drift: it is a handful of hypothesis tests that share one significance level and one family-wise error rate. The first stage, which needs no labels, combines existing tools. After testing the inputs and the predictions for a shift, it estimates the new class balance with black-box shift estimation (BBSE) </w:t>
      </w:r>
      <w:r>
        <w:t xml:space="preserve">[5]</w:t>
      </w:r>
      <w:r>
        <w:t xml:space="preserve"> and, borrowing an idea from Roschewitz et al. </w:t>
      </w:r>
      <w:r>
        <w:t xml:space="preserve">[6]</w:t>
      </w:r>
      <w:r>
        <w:t xml:space="preserve">, checks whether that balance alone accounts for the change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Normal"/>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numitem"/>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numitem"/>
      </w:pPr>
      <w:r>
        <w:t xml:space="preserve">A hierarchical procedure that combines this audit with a label-free stage and names four drift types under family-wise error control.</w:t>
      </w:r>
    </w:p>
    <w:p>
      <w:pPr>
        <w:pStyle w:val="numitem"/>
      </w:pPr>
      <w:r>
        <w:t xml:space="preserve">A benchmark covering two tabular tasks and two model families, with matched as well as held-out drift mechanisms. It shows that tests built on the definitions of the types carry over to new drift, while a learned rule does not.</w:t>
      </w:r>
    </w:p>
    <w:p>
      <w:pPr>
        <w:pStyle w:val="numitem"/>
      </w:pPr>
      <w:r>
        <w:t xml:space="preserve">An end-to-end monitoring pipeline that covers detection, accuracy estimation, root cause analysis, diagnosis, reliability scoring and remediation triage, evaluated on four real drifts with documented causes.</w:t>
      </w:r>
    </w:p>
    <w:p>
      <w:pPr>
        <w:pStyle w:val="p1a"/>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heading1"/>
      </w:pPr>
      <w:r>
        <w:t xml:space="preserve">Related Work</w:t>
      </w:r>
    </w:p>
    <w:p>
      <w:pPr>
        <w:pStyle w:val="p1a"/>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tablecaption"/>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40" w:type="dxa"/>
          <w:right w:w="40" w:type="dxa"/>
        </w:tblCellMar>
        <w:tblLook w:val="0000" w:firstRow="0" w:lastRow="0" w:firstColumn="0" w:lastColumn="0" w:noHBand="0" w:noVBand="0"/>
      </w:tblPr>
      <w:tblGrid>
        <w:gridCol w:w="1588"/>
        <w:gridCol w:w="878"/>
        <w:gridCol w:w="878"/>
        <w:gridCol w:w="878"/>
        <w:gridCol w:w="878"/>
        <w:gridCol w:w="878"/>
        <w:gridCol w:w="878"/>
      </w:tblGrid>
      <w:tr>
        <w:trPr>
          <w:cantSplit/>
          <w:tblHeader/>
          <w:jc w:val="center"/>
        </w:trPr>
        <w:tc>
          <w:tcPr>
            <w:tcW w:w="1588" w:type="dxa"/>
            <w:tcBorders>
              <w:top w:val="single" w:sz="12" w:space="0" w:color="000000"/>
            </w:tcBorders>
            <w:vAlign w:val="center"/>
          </w:tcPr>
          <w:p>
            <w:pPr>
              <w:pStyle w:val="Normal"/>
              <w:keepNext/>
              <w:spacing w:before="4" w:after="4" w:line="200" w:lineRule="atLeast"/>
              <w:ind w:firstLine="0"/>
              <w:jc w:val="left"/>
            </w:pPr>
            <w:r>
              <w:rPr>
                <w:sz w:val="16"/>
                <w:szCs w:val="16"/>
              </w:rPr>
              <w:t xml:space="preserve">Method</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Error rate stated</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Accuracy estimate</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Localizes features</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Types named</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Concept vs noise</w:t>
            </w:r>
          </w:p>
        </w:tc>
        <w:tc>
          <w:tcPr>
            <w:tcW w:w="878" w:type="dxa"/>
            <w:tcBorders>
              <w:top w:val="single" w:sz="12" w:space="0" w:color="000000"/>
            </w:tcBorders>
            <w:vAlign w:val="center"/>
          </w:tcPr>
          <w:p>
            <w:pPr>
              <w:pStyle w:val="Normal"/>
              <w:keepNext/>
              <w:spacing w:before="4" w:after="4" w:line="200" w:lineRule="atLeast"/>
              <w:ind w:firstLine="0"/>
              <w:jc w:val="center"/>
            </w:pPr>
            <w:r>
              <w:rPr>
                <w:sz w:val="16"/>
                <w:szCs w:val="16"/>
              </w:rPr>
              <w:t xml:space="preserve">Held-out drift</w:t>
            </w:r>
          </w:p>
        </w:tc>
      </w:tr>
      <w:tr>
        <w:trPr>
          <w:cantSplit/>
          <w:jc w:val="center"/>
        </w:trPr>
        <w:tc>
          <w:tcPr>
            <w:tcW w:w="1588" w:type="dxa"/>
            <w:tcBorders>
              <w:top w:val="single" w:sz="6" w:space="0" w:color="000000"/>
            </w:tcBorders>
            <w:vAlign w:val="center"/>
          </w:tcPr>
          <w:p>
            <w:pPr>
              <w:pStyle w:val="Normal"/>
              <w:keepNext/>
              <w:spacing w:before="4" w:after="4" w:line="200" w:lineRule="atLeast"/>
              <w:ind w:firstLine="0"/>
              <w:jc w:val="left"/>
            </w:pPr>
            <w:r>
              <w:rPr>
                <w:sz w:val="16"/>
                <w:szCs w:val="16"/>
              </w:rPr>
              <w:t xml:space="preserve">BBSD </w:t>
            </w:r>
            <w:r>
              <w:rPr>
                <w:sz w:val="16"/>
                <w:szCs w:val="16"/>
              </w:rPr>
              <w:t xml:space="preserve">[1]</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limited</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878"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r>
      <w:tr>
        <w:trPr>
          <w:cantSplit/>
          <w:jc w:val="center"/>
        </w:trPr>
        <w:tc>
          <w:tcPr>
            <w:tcW w:w="1588" w:type="dxa"/>
            <w:tcBorders/>
            <w:vAlign w:val="center"/>
          </w:tcPr>
          <w:p>
            <w:pPr>
              <w:pStyle w:val="Normal"/>
              <w:keepNext/>
              <w:spacing w:before="4" w:after="4" w:line="200" w:lineRule="atLeast"/>
              <w:ind w:firstLine="0"/>
              <w:jc w:val="left"/>
            </w:pPr>
            <w:r>
              <w:rPr>
                <w:sz w:val="16"/>
                <w:szCs w:val="16"/>
              </w:rPr>
              <w:t xml:space="preserve">BBSE </w:t>
            </w:r>
            <w:r>
              <w:rPr>
                <w:sz w:val="16"/>
                <w:szCs w:val="16"/>
              </w:rPr>
              <w:t xml:space="preserve">[5]</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prior</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r>
      <w:tr>
        <w:trPr>
          <w:cantSplit/>
          <w:jc w:val="center"/>
        </w:trPr>
        <w:tc>
          <w:tcPr>
            <w:tcW w:w="1588" w:type="dxa"/>
            <w:tcBorders/>
            <w:vAlign w:val="center"/>
          </w:tcPr>
          <w:p>
            <w:pPr>
              <w:pStyle w:val="Normal"/>
              <w:keepNext/>
              <w:spacing w:before="4" w:after="4" w:line="200" w:lineRule="atLeast"/>
              <w:ind w:firstLine="0"/>
              <w:jc w:val="left"/>
            </w:pPr>
            <w:r>
              <w:rPr>
                <w:sz w:val="16"/>
                <w:szCs w:val="16"/>
              </w:rPr>
              <w:t xml:space="preserve">CBPE </w:t>
            </w:r>
            <w:r>
              <w:rPr>
                <w:sz w:val="16"/>
                <w:szCs w:val="16"/>
              </w:rPr>
              <w:t xml:space="preserve">[3]</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r>
      <w:tr>
        <w:trPr>
          <w:cantSplit/>
          <w:jc w:val="center"/>
        </w:trPr>
        <w:tc>
          <w:tcPr>
            <w:tcW w:w="1588" w:type="dxa"/>
            <w:tcBorders/>
            <w:vAlign w:val="center"/>
          </w:tcPr>
          <w:p>
            <w:pPr>
              <w:pStyle w:val="Normal"/>
              <w:keepNext/>
              <w:spacing w:before="4" w:after="4" w:line="200" w:lineRule="atLeast"/>
              <w:ind w:firstLine="0"/>
              <w:jc w:val="left"/>
            </w:pPr>
            <w:r>
              <w:rPr>
                <w:sz w:val="16"/>
                <w:szCs w:val="16"/>
              </w:rPr>
              <w:t xml:space="preserve">DetectShift </w:t>
            </w:r>
            <w:r>
              <w:rPr>
                <w:sz w:val="16"/>
                <w:szCs w:val="16"/>
              </w:rPr>
              <w:t xml:space="preserve">[7]</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needs labels</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r>
      <w:tr>
        <w:trPr>
          <w:cantSplit/>
          <w:jc w:val="center"/>
        </w:trPr>
        <w:tc>
          <w:tcPr>
            <w:tcW w:w="1588" w:type="dxa"/>
            <w:tcBorders/>
            <w:vAlign w:val="center"/>
          </w:tcPr>
          <w:p>
            <w:pPr>
              <w:pStyle w:val="Normal"/>
              <w:keepNext/>
              <w:spacing w:before="4" w:after="4" w:line="200" w:lineRule="atLeast"/>
              <w:ind w:firstLine="0"/>
              <w:jc w:val="left"/>
            </w:pPr>
            <w:r>
              <w:rPr>
                <w:sz w:val="16"/>
                <w:szCs w:val="16"/>
              </w:rPr>
              <w:t xml:space="preserve">Roschewitz et al. </w:t>
            </w:r>
            <w:r>
              <w:rPr>
                <w:sz w:val="16"/>
                <w:szCs w:val="16"/>
              </w:rPr>
              <w:t xml:space="preserve">[6]</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prior, cov.</w:t>
            </w:r>
          </w:p>
        </w:tc>
        <w:tc>
          <w:tcPr>
            <w:tcW w:w="878" w:type="dxa"/>
            <w:tcBorders/>
            <w:vAlign w:val="center"/>
          </w:tcPr>
          <w:p>
            <w:pPr>
              <w:pStyle w:val="Normal"/>
              <w:keepNext/>
              <w:spacing w:before="4" w:after="4" w:line="200" w:lineRule="atLeast"/>
              <w:ind w:firstLine="0"/>
              <w:jc w:val="center"/>
            </w:pPr>
            <w:r>
              <w:rPr>
                <w:sz w:val="16"/>
                <w:szCs w:val="16"/>
              </w:rPr>
              <w:t xml:space="preserve">–</w:t>
            </w:r>
          </w:p>
        </w:tc>
        <w:tc>
          <w:tcPr>
            <w:tcW w:w="878" w:type="dxa"/>
            <w:tcBorders/>
            <w:vAlign w:val="center"/>
          </w:tcPr>
          <w:p>
            <w:pPr>
              <w:pStyle w:val="Normal"/>
              <w:keepNext/>
              <w:spacing w:before="4" w:after="4" w:line="200" w:lineRule="atLeast"/>
              <w:ind w:firstLine="0"/>
              <w:jc w:val="center"/>
            </w:pPr>
            <w:r>
              <w:rPr>
                <w:sz w:val="16"/>
                <w:szCs w:val="16"/>
              </w:rPr>
              <w:t xml:space="preserve">–</w:t>
            </w:r>
          </w:p>
        </w:tc>
      </w:tr>
      <w:tr>
        <w:trPr>
          <w:cantSplit/>
          <w:jc w:val="center"/>
        </w:trPr>
        <w:tc>
          <w:tcPr>
            <w:tcW w:w="1588" w:type="dxa"/>
            <w:tcBorders>
              <w:bottom w:val="single" w:sz="12" w:space="0" w:color="000000"/>
            </w:tcBorders>
            <w:vAlign w:val="center"/>
          </w:tcPr>
          <w:p>
            <w:pPr>
              <w:pStyle w:val="Normal"/>
              <w:spacing w:before="4" w:after="4" w:line="200" w:lineRule="atLeast"/>
              <w:ind w:firstLine="0"/>
              <w:jc w:val="left"/>
            </w:pPr>
            <w:r>
              <w:rPr>
                <w:sz w:val="16"/>
                <w:szCs w:val="16"/>
              </w:rPr>
              <w:t xml:space="preserve">Ours</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four</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878"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r>
    </w:tbl>
    <w:p>
      <w:pPr>
        <w:spacing w:after="0" w:line="120" w:lineRule="exact"/>
      </w:pPr>
    </w:p>
    <w:p>
      <w:pPr>
        <w:pStyle w:val="p1a"/>
      </w:pPr>
      <w:r>
        <w:t xml:space="preserve">Each existing method covers one or two of the columns. Roschewitz et al. come closest, separating prior from covariate shift without labels, while DetectShift names types only when the production data are labeled.</w:t>
      </w:r>
    </w:p>
    <w:p>
      <w:pPr>
        <w:pStyle w:val="Normal"/>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Normal"/>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Normal"/>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Normal"/>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Normal"/>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Our benchmark holds out drift mechanisms to limit the risk of favoring the tests.</w:t>
      </w:r>
    </w:p>
    <w:p>
      <w:pPr>
        <w:pStyle w:val="Normal"/>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heading1"/>
      </w:pPr>
      <w:r>
        <w:t xml:space="preserve">Method</w:t>
      </w:r>
    </w:p>
    <w:p>
      <w:pPr>
        <w:pStyle w:val="p1a"/>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The stages are those of Fig. </w:t>
      </w:r>
      <w:r>
        <w:t xml:space="preserve">1</w:t>
      </w:r>
      <w:r>
        <w:t xml:space="preserve">.</w:t>
      </w:r>
    </w:p>
    <w:p>
      <w:pPr>
        <w:pStyle w:val="Normal"/>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heading2"/>
      </w:pPr>
      <w:r>
        <w:t xml:space="preserve">Notation and Drift Types</w:t>
      </w:r>
    </w:p>
    <w:p>
      <w:pPr>
        <w:pStyle w:val="p1a"/>
      </w:pPr>
      <w:r>
        <w:t xml:space="preserve">To test for a drift type we first have to say exactly what that type changes. Write </w:t>
      </w:r>
      <m:oMath>
        <m:r>
          <m:t>P</m:t>
        </m:r>
        <m:r>
          <m:rPr>
            <m:sty m:val="p"/>
          </m:rPr>
          <m:t>(</m:t>
        </m:r>
        <m:r>
          <m:t>X</m:t>
        </m:r>
        <m:r>
          <m:rPr>
            <m:sty m:val="p"/>
          </m:rPr>
          <m:t>,</m:t>
        </m:r>
        <m:r>
          <m:t>Y</m:t>
        </m:r>
        <m:r>
          <m:rPr>
            <m:sty m:val="p"/>
          </m:rPr>
          <m:t>)</m:t>
        </m:r>
      </m:oMath>
      <w:r>
        <w:t xml:space="preserve"> for the distribution of inputs </w:t>
      </w:r>
      <m:oMath>
        <m:r>
          <m:t>X</m:t>
        </m:r>
      </m:oMath>
      <w:r>
        <w:t xml:space="preserve"> and labels </w:t>
      </w:r>
      <m:oMath>
        <m:r>
          <m:t>Y</m:t>
        </m:r>
      </m:oMath>
      <w:r>
        <w:t xml:space="preserve"> behind the reference data. A production window (a batch of rows from a later period or from another region) is drawn from </w:t>
      </w:r>
      <m:oMath>
        <m:r>
          <m:t>Q</m:t>
        </m:r>
        <m:r>
          <m:rPr>
            <m:sty m:val="p"/>
          </m:rPr>
          <m:t>(</m:t>
        </m:r>
        <m:r>
          <m:t>X</m:t>
        </m:r>
        <m:r>
          <m:rPr>
            <m:sty m:val="p"/>
          </m:rPr>
          <m:t>,</m:t>
        </m:r>
        <m:r>
          <m:t>Y</m:t>
        </m:r>
        <m:r>
          <m:rPr>
            <m:sty m:val="p"/>
          </m:rPr>
          <m:t>)</m:t>
        </m:r>
      </m:oMath>
      <w:r>
        <w:t xml:space="preserve">. On every row the model outputs a predicted label </w:t>
      </w:r>
      <m:oMath>
        <m:acc>
          <m:accPr>
            <m:chr m:val="̂"/>
          </m:accPr>
          <m:e>
            <m:r>
              <m:t>y</m:t>
            </m:r>
          </m:e>
        </m:acc>
      </m:oMath>
      <w:r>
        <w:t xml:space="preserve"> together with a confidence </w:t>
      </w:r>
      <m:oMath>
        <m:r>
          <m:t>c</m:t>
        </m:r>
      </m:oMath>
      <w:r>
        <w:t xml:space="preserve">, taken as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Label noise is different again: the true distribution does not move at all, yet each label we observe may have been flipped with some probability. Two more terms recur below. An audit means a random sample of </w:t>
      </w:r>
      <m:oMath>
        <m:r>
          <m:t>m</m:t>
        </m:r>
      </m:oMath>
      <w:r>
        <w:t xml:space="preserve"> production rows whose labels come in late. A control window is drawn from the reference distribution itself, so no alarm should fire on it.</w:t>
      </w:r>
    </w:p>
    <w:p>
      <w:pPr>
        <w:pStyle w:val="heading2"/>
      </w:pPr>
      <w:r>
        <w:t xml:space="preserve">Reference Split, Detection and Estimation</w:t>
      </w:r>
    </w:p>
    <w:p>
      <w:pPr>
        <w:pStyle w:val="p1a"/>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Normal"/>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Normal"/>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equation"/>
        <w:tabs>
          <w:tab w:val="center" w:pos="3459"/>
          <w:tab w:val="right" w:pos="6918"/>
        </w:tabs>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1a"/>
      </w:pPr>
      <w:r>
        <w:t xml:space="preserve">As alternatives to Eq. (</w:t>
      </w:r>
      <w:r>
        <w:t xml:space="preserve">1</w:t>
      </w:r>
      <w:r>
        <w:t xml:space="preserve">), AC, DoC and ATC (with the negative entropy score) are fitted on the same calibration part </w:t>
      </w:r>
      <w:r>
        <w:t xml:space="preserve">[2, 11, 12]</w:t>
      </w:r>
      <w:r>
        <w:t xml:space="preserve">.</w:t>
      </w:r>
    </w:p>
    <w:p>
      <w:pPr>
        <w:pStyle w:val="Normal"/>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heading2"/>
      </w:pPr>
      <w:r>
        <w:t xml:space="preserve">Drift Type Diagnosis</w:t>
      </w:r>
    </w:p>
    <w:p>
      <w:pPr>
        <w:pStyle w:val="p1a"/>
      </w:pPr>
      <w:r>
        <w:t xml:space="preserve">Stage D turns an alarm into one of the four types and thereby into a response. It follows the decision path in Fig. </w:t>
      </w:r>
      <w:r>
        <w:t xml:space="preserve">2</w:t>
      </w:r>
      <w:r>
        <w:t xml:space="preserve">.</w:t>
      </w:r>
    </w:p>
    <w:p>
      <w:pPr>
        <w:pStyle w:val="image"/>
        <w:keepNext/>
      </w:pPr>
      <w:r>
        <w:drawing>
          <wp:inline distT="0" distB="0" distL="0" distR="0">
            <wp:extent cx="2736000" cy="150875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2736000" cy="1508752"/>
                    </a:xfrm>
                    <a:prstGeom prst="rect">
                      <a:avLst/>
                    </a:prstGeom>
                  </pic:spPr>
                </pic:pic>
              </a:graphicData>
            </a:graphic>
          </wp:inline>
        </w:drawing>
      </w:r>
    </w:p>
    <w:p>
      <w:pPr>
        <w:pStyle w:val="figurecaption"/>
        <w:jc w:val="both"/>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1a"/>
      </w:pPr>
      <w:r>
        <w:t xml:space="preserve">The questions in the upper row use no labels and separate covariate shift from prior shift. The lower row separates concept drift from label noise. It runs only when no label-free test rejects and an audit is available.</w:t>
      </w:r>
    </w:p>
    <w:p>
      <w:pPr>
        <w:pStyle w:val="Normal"/>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weight starts out split evenly, one third per block. Inside the feature block it is divided again among the individual features. A test that rejects hands its weight on to those still waiting, which is how the family-wise error rate survives every label-free decision. We pool in this way on purpose. A permutation test cannot return a p value below </w:t>
      </w:r>
      <m:oMath>
        <m:r>
          <m:t>1</m:t>
        </m:r>
        <m:r>
          <m:rPr>
            <m:sty m:val="p"/>
          </m:rPr>
          <m:t>/</m:t>
        </m:r>
        <m:r>
          <m:rPr>
            <m:sty m:val="p"/>
          </m:rPr>
          <m:t>(</m:t>
        </m:r>
        <m:r>
          <m:t>B</m:t>
        </m:r>
        <m:r>
          <m:rPr>
            <m:sty m:val="p"/>
          </m:rPr>
          <m:t>+</m:t>
        </m:r>
        <m:r>
          <m:t>1</m:t>
        </m:r>
        <m:r>
          <m:rPr>
            <m:sty m:val="p"/>
          </m:rPr>
          <m:t>)</m:t>
        </m:r>
      </m:oMath>
      <w:r>
        <w:t xml:space="preserve">, so without pooling the MMD test would have little chance against dozens of feature tests. If nothing rejects, the stage stops and reports no shift.</w:t>
      </w:r>
    </w:p>
    <w:p>
      <w:pPr>
        <w:pStyle w:val="Normal"/>
      </w:pPr>
      <w:r>
        <w:t xml:space="preserve">A rejection raises the next question: could a change in the class balance alone produce what we see? To find out, BBSE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equation"/>
        <w:tabs>
          <w:tab w:val="center" w:pos="3459"/>
          <w:tab w:val="right" w:pos="6918"/>
        </w:tabs>
      </w:pPr>
      <w:r>
        <w:tab/>
      </w:r>
      <m:oMath>
        <m:r>
          <m:t>C</m:t>
        </m:r>
        <m:r>
          <m:t> </m:t>
        </m:r>
        <m:r>
          <m:t>w</m:t>
        </m:r>
        <m:r>
          <m:rPr>
            <m:sty m:val="p"/>
          </m:rPr>
          <m:t>=</m:t>
        </m:r>
        <m:r>
          <m:t>μ</m:t>
        </m:r>
      </m:oMath>
      <w:r>
        <w:t xml:space="preserve">.</w:t>
      </w:r>
      <w:r>
        <w:tab/>
      </w:r>
      <w:r>
        <w:t xml:space="preserve">(2)</w:t>
      </w:r>
    </w:p>
    <w:p>
      <w:pPr>
        <w:pStyle w:val="p1a"/>
      </w:pPr>
      <w:r>
        <w:t xml:space="preserve">If the shift really is a pure prior shift, each class keeps its own input distribution. Reweighting every reference row by the weight </w:t>
      </w:r>
      <m:oMath>
        <m:sSub>
          <m:e>
            <m:r>
              <m:t>w</m:t>
            </m:r>
          </m:e>
          <m:sub>
            <m:r>
              <m:t>y</m:t>
            </m:r>
          </m:sub>
        </m:sSub>
      </m:oMath>
      <w:r>
        <w:t xml:space="preserve"> of its class, as given by Eq. (</w:t>
      </w:r>
      <w:r>
        <w:t xml:space="preserve">2</w:t>
      </w:r>
      <w:r>
        <w:t xml:space="preserve">), ought then to reproduce the production inputs. Checking this is the label shift consistency test, which borrows the prevalence adjustment idea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Normal"/>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Normal"/>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heading2"/>
      </w:pPr>
      <w:r>
        <w:t xml:space="preserve">Root Cause Analysis</w:t>
      </w:r>
    </w:p>
    <w:p>
      <w:pPr>
        <w:pStyle w:val="p1a"/>
      </w:pPr>
      <w:r>
        <w:t xml:space="preserve">The drift type suggests what kind of fix to consider, but not where the trouble started. Root cause analysis fills that gap by asking which inputs the model now leans on more, or less, than before. The answer narrows the search for a cause without proving one. For tabular models we compute SHAP values </w:t>
      </w:r>
      <w:r>
        <w:t xml:space="preserve">[14]</w:t>
      </w:r>
      <w:r>
        <w:t xml:space="preserve"> of the deployed model with its preprocessing and compare the mean absolute attribution of every feature on reference and production rows, each change with a percentile bootstrap interval Bonferroni adjusted over the features. For image models, CAM </w:t>
      </w:r>
      <w:r>
        <w:t xml:space="preserve">[15]</w:t>
      </w:r>
      <w:r>
        <w:t xml:space="preserve"> highlights the image regions behind the prediction of the linear head.</w:t>
      </w:r>
    </w:p>
    <w:p>
      <w:pPr>
        <w:pStyle w:val="heading2"/>
      </w:pPr>
      <w:r>
        <w:t xml:space="preserve">Reliability and Remediation Triage</w:t>
      </w:r>
    </w:p>
    <w:p>
      <w:pPr>
        <w:pStyle w:val="p1a"/>
      </w:pPr>
      <w:r>
        <w:t xml:space="preserve">Everything so far speaks about a window as a whole. A monitoring team usually wants two more things from it: to know which individual predictions to doubt and whether a cheap retrain would win the accuracy back. For single predictions we combine three signals, each scaled to lie between 0 and 1: the confidence risk </w:t>
      </w:r>
      <m:oMath>
        <m:r>
          <m:t>1</m:t>
        </m:r>
        <m:r>
          <m:rPr>
            <m:sty m:val="p"/>
          </m:rPr>
          <m:t>−</m:t>
        </m:r>
        <m:r>
          <m:t>c</m:t>
        </m:r>
      </m:oMath>
      <w:r>
        <w:t xml:space="preserve">, the instability of the prediction under small perturbations of the input and an OOD score that blends an Isolation Forest </w:t>
      </w:r>
      <w:r>
        <w:t xml:space="preserve">[16]</w:t>
      </w:r>
      <w:r>
        <w:t xml:space="preserve"> with a standardized distance. A logistic regression on the calibration part maps the three signals to a probability of error. We fit it only if the calibration part contains at least ten wrong predictions per signal </w:t>
      </w:r>
      <w:r>
        <w:t xml:space="preserve">[28]</w:t>
      </w:r>
      <w:r>
        <w:t xml:space="preserve">. With fewer, the risk falls back to </w:t>
      </w:r>
      <m:oMath>
        <m:r>
          <m:t>1</m:t>
        </m:r>
        <m:r>
          <m:rPr>
            <m:sty m:val="p"/>
          </m:rPr>
          <m:t>−</m:t>
        </m:r>
        <m:r>
          <m:t>c</m:t>
        </m:r>
      </m:oMath>
      <w:r>
        <w:t xml:space="preserve">.</w:t>
      </w:r>
    </w:p>
    <w:p>
      <w:pPr>
        <w:pStyle w:val="Normal"/>
      </w:pPr>
      <w:r>
        <w:t xml:space="preserve">The triage, for its part, has to judge without production labels whether retraining is worth the trouble. It does so with two probes. The first relies on density ratio weights, which come from a classifier trained to tell reference rows from production rows; the weights are fitted on separate folds and capped at 20 times their mean </w:t>
      </w:r>
      <w:r>
        <w:t xml:space="preserve">[19]</w:t>
      </w:r>
      <w:r>
        <w:t xml:space="preserve">. A model retrained with them is set against an unweighted model on a held-out 30% of the reference, weighted in the same way </w:t>
      </w:r>
      <w:r>
        <w:t xml:space="preserve">[17, 18]</w:t>
      </w:r>
      <w:r>
        <w:t xml:space="preserve">. The second probe needs late labels from an earlier window. Where they exist, it retrains on them and checks the result on a held-out part of that same window. A retrain is recommended only if some probe predicts a gain that stays significant after Holm correction across the probes.</w:t>
      </w:r>
    </w:p>
    <w:p>
      <w:pPr>
        <w:pStyle w:val="heading1"/>
      </w:pPr>
      <w:r>
        <w:t xml:space="preserve">Experimental Setup</w:t>
      </w:r>
    </w:p>
    <w:p>
      <w:pPr>
        <w:pStyle w:val="p1a"/>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Normal"/>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one in the error control of the label-free stage and one in how the audit counted nominal categories. Both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w:t>
      </w:r>
    </w:p>
    <w:p>
      <w:pPr>
        <w:pStyle w:val="heading2"/>
      </w:pPr>
      <w:r>
        <w:t xml:space="preserve">Models</w:t>
      </w:r>
    </w:p>
    <w:p>
      <w:pPr>
        <w:pStyle w:val="p1a"/>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[29]</w:t>
      </w:r>
      <w:r>
        <w:t xml:space="preserve"> from scikit-learn </w:t>
      </w:r>
      <w:r>
        <w:t xml:space="preserve">[30]</w:t>
      </w:r>
      <w:r>
        <w:t xml:space="preserve"> with default settings, no early stopping and native splits on nominal codes. For CLEAR-10 both models work on the frozen embeddings. SHAP is reported for LR only, since for GB the exact explainer would take hours per window.</w:t>
      </w:r>
    </w:p>
    <w:p>
      <w:pPr>
        <w:pStyle w:val="heading2"/>
      </w:pPr>
      <w:r>
        <w:t xml:space="preserve">Datasets</w:t>
      </w:r>
    </w:p>
    <w:p>
      <w:pPr>
        <w:pStyle w:val="p1a"/>
      </w:pPr>
      <w:r>
        <w:t xml:space="preserve">The real datasets were chosen because the cause of their drift is documented, which lets us check the verdicts against known events. Two are census tasks from the American Community Survey (ACS) with data from California (CA), Texas (TX), New York (NY), Florida (FL) and Washington (WA). The other two are a gas sensor array and an image stream. Table </w:t>
      </w:r>
      <w:r>
        <w:t xml:space="preserve">2</w:t>
      </w:r>
      <w:r>
        <w:t xml:space="preserve"> lists all four.</w:t>
      </w:r>
    </w:p>
    <w:p>
      <w:pPr>
        <w:pStyle w:val="tablecaption"/>
      </w:pPr>
      <w:r>
        <w:rPr>
          <w:b/>
        </w:rPr>
        <w:t xml:space="preserve">Table 2.</w:t>
      </w:r>
      <w:r>
        <w:t xml:space="preserve"> </w:t>
      </w:r>
      <w:r>
        <w:t xml:space="preserve">Datasets, drift windows and reference accuracy.</w:t>
      </w:r>
    </w:p>
    <w:tbl>
      <w:tblPr>
        <w:tblW w:w="0" w:type="auto"/>
        <w:jc w:val="center"/>
        <w:tblLayout w:type="fixed"/>
        <w:tblCellMar>
          <w:left w:w="40" w:type="dxa"/>
          <w:right w:w="40" w:type="dxa"/>
        </w:tblCellMar>
        <w:tblLook w:val="0000" w:firstRow="0" w:lastRow="0" w:firstColumn="0" w:lastColumn="0" w:noHBand="0" w:noVBand="0"/>
      </w:tblPr>
      <w:tblGrid>
        <w:gridCol w:w="1062"/>
        <w:gridCol w:w="921"/>
        <w:gridCol w:w="1648"/>
        <w:gridCol w:w="1062"/>
        <w:gridCol w:w="504"/>
        <w:gridCol w:w="590"/>
        <w:gridCol w:w="534"/>
        <w:gridCol w:w="534"/>
      </w:tblGrid>
      <w:tr>
        <w:trPr>
          <w:cantSplit/>
          <w:tblHeader/>
          <w:jc w:val="center"/>
        </w:trPr>
        <w:tc>
          <w:tcPr>
            <w:tcW w:w="1062" w:type="dxa"/>
            <w:tcBorders>
              <w:top w:val="single" w:sz="12" w:space="0" w:color="000000"/>
            </w:tcBorders>
            <w:vAlign w:val="center"/>
          </w:tcPr>
          <w:p>
            <w:pPr>
              <w:pStyle w:val="Normal"/>
              <w:keepNext/>
              <w:spacing w:before="4" w:after="4" w:line="200" w:lineRule="atLeast"/>
              <w:ind w:firstLine="0"/>
              <w:jc w:val="left"/>
            </w:pPr>
          </w:p>
        </w:tc>
        <w:tc>
          <w:tcPr>
            <w:tcW w:w="921" w:type="dxa"/>
            <w:tcBorders>
              <w:top w:val="single" w:sz="12" w:space="0" w:color="000000"/>
            </w:tcBorders>
            <w:vAlign w:val="center"/>
          </w:tcPr>
          <w:p>
            <w:pPr>
              <w:pStyle w:val="Normal"/>
              <w:keepNext/>
              <w:spacing w:before="4" w:after="4" w:line="200" w:lineRule="atLeast"/>
              <w:ind w:firstLine="0"/>
              <w:jc w:val="left"/>
            </w:pPr>
          </w:p>
        </w:tc>
        <w:tc>
          <w:tcPr>
            <w:tcW w:w="1648" w:type="dxa"/>
            <w:tcBorders>
              <w:top w:val="single" w:sz="12" w:space="0" w:color="000000"/>
            </w:tcBorders>
            <w:vAlign w:val="center"/>
          </w:tcPr>
          <w:p>
            <w:pPr>
              <w:pStyle w:val="Normal"/>
              <w:keepNext/>
              <w:spacing w:before="4" w:after="4" w:line="200" w:lineRule="atLeast"/>
              <w:ind w:firstLine="0"/>
              <w:jc w:val="left"/>
            </w:pPr>
          </w:p>
        </w:tc>
        <w:tc>
          <w:tcPr>
            <w:tcW w:w="1062" w:type="dxa"/>
            <w:tcBorders>
              <w:top w:val="single" w:sz="12" w:space="0" w:color="000000"/>
            </w:tcBorders>
            <w:vAlign w:val="center"/>
          </w:tcPr>
          <w:p>
            <w:pPr>
              <w:pStyle w:val="Normal"/>
              <w:keepNext/>
              <w:spacing w:before="4" w:after="4" w:line="200" w:lineRule="atLeast"/>
              <w:ind w:firstLine="0"/>
              <w:jc w:val="right"/>
            </w:pPr>
          </w:p>
        </w:tc>
        <w:tc>
          <w:tcPr>
            <w:tcW w:w="504" w:type="dxa"/>
            <w:tcBorders>
              <w:top w:val="single" w:sz="12" w:space="0" w:color="000000"/>
            </w:tcBorders>
            <w:vAlign w:val="center"/>
          </w:tcPr>
          <w:p>
            <w:pPr>
              <w:pStyle w:val="Normal"/>
              <w:keepNext/>
              <w:spacing w:before="4" w:after="4" w:line="200" w:lineRule="atLeast"/>
              <w:ind w:firstLine="0"/>
              <w:jc w:val="right"/>
            </w:pPr>
          </w:p>
        </w:tc>
        <w:tc>
          <w:tcPr>
            <w:tcW w:w="590" w:type="dxa"/>
            <w:tcBorders>
              <w:top w:val="single" w:sz="12" w:space="0" w:color="000000"/>
            </w:tcBorders>
            <w:vAlign w:val="center"/>
          </w:tcPr>
          <w:p>
            <w:pPr>
              <w:pStyle w:val="Normal"/>
              <w:keepNext/>
              <w:spacing w:before="4" w:after="4" w:line="200" w:lineRule="atLeast"/>
              <w:ind w:firstLine="0"/>
              <w:jc w:val="right"/>
            </w:pPr>
          </w:p>
        </w:tc>
        <w:tc>
          <w:tcPr>
            <w:tcW w:w="1068" w:type="dxa"/>
            <w:gridSpan w:val="2"/>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Ref. accuracy</w:t>
            </w:r>
          </w:p>
        </w:tc>
      </w:tr>
      <w:tr>
        <w:trPr>
          <w:cantSplit/>
          <w:tblHeader/>
          <w:jc w:val="center"/>
        </w:trPr>
        <w:tc>
          <w:tcPr>
            <w:tcW w:w="1062" w:type="dxa"/>
            <w:tcBorders/>
            <w:vAlign w:val="center"/>
          </w:tcPr>
          <w:p>
            <w:pPr>
              <w:pStyle w:val="Normal"/>
              <w:keepNext/>
              <w:spacing w:before="4" w:after="4" w:line="200" w:lineRule="atLeast"/>
              <w:ind w:firstLine="0"/>
              <w:jc w:val="left"/>
            </w:pPr>
            <w:r>
              <w:rPr>
                <w:sz w:val="16"/>
                <w:szCs w:val="16"/>
              </w:rPr>
              <w:t xml:space="preserve">Dataset</w:t>
            </w:r>
          </w:p>
        </w:tc>
        <w:tc>
          <w:tcPr>
            <w:tcW w:w="921" w:type="dxa"/>
            <w:tcBorders/>
            <w:vAlign w:val="center"/>
          </w:tcPr>
          <w:p>
            <w:pPr>
              <w:pStyle w:val="Normal"/>
              <w:keepNext/>
              <w:spacing w:before="4" w:after="4" w:line="200" w:lineRule="atLeast"/>
              <w:ind w:firstLine="0"/>
              <w:jc w:val="left"/>
            </w:pPr>
            <w:r>
              <w:rPr>
                <w:sz w:val="16"/>
                <w:szCs w:val="16"/>
              </w:rPr>
              <w:t xml:space="preserve">Reference</w:t>
            </w:r>
          </w:p>
        </w:tc>
        <w:tc>
          <w:tcPr>
            <w:tcW w:w="1648" w:type="dxa"/>
            <w:tcBorders/>
            <w:vAlign w:val="center"/>
          </w:tcPr>
          <w:p>
            <w:pPr>
              <w:pStyle w:val="Normal"/>
              <w:keepNext/>
              <w:spacing w:before="4" w:after="4" w:line="200" w:lineRule="atLeast"/>
              <w:ind w:firstLine="0"/>
              <w:jc w:val="left"/>
            </w:pPr>
            <w:r>
              <w:rPr>
                <w:sz w:val="16"/>
                <w:szCs w:val="16"/>
              </w:rPr>
              <w:t xml:space="preserve">Windows</w:t>
            </w:r>
          </w:p>
        </w:tc>
        <w:tc>
          <w:tcPr>
            <w:tcW w:w="1062" w:type="dxa"/>
            <w:tcBorders/>
            <w:vAlign w:val="center"/>
          </w:tcPr>
          <w:p>
            <w:pPr>
              <w:pStyle w:val="Normal"/>
              <w:keepNext/>
              <w:spacing w:before="4" w:after="4" w:line="200" w:lineRule="atLeast"/>
              <w:ind w:firstLine="0"/>
              <w:jc w:val="right"/>
            </w:pPr>
            <w:r>
              <w:rPr>
                <w:sz w:val="16"/>
                <w:szCs w:val="16"/>
              </w:rPr>
              <w:t xml:space="preserve">Rows</w:t>
            </w:r>
          </w:p>
        </w:tc>
        <w:tc>
          <w:tcPr>
            <w:tcW w:w="504" w:type="dxa"/>
            <w:tcBorders/>
            <w:vAlign w:val="center"/>
          </w:tcPr>
          <w:p>
            <w:pPr>
              <w:pStyle w:val="Normal"/>
              <w:keepNext/>
              <w:spacing w:before="4" w:after="4" w:line="200" w:lineRule="atLeast"/>
              <w:ind w:firstLine="0"/>
              <w:jc w:val="right"/>
            </w:pPr>
            <w:r>
              <w:rPr>
                <w:sz w:val="16"/>
                <w:szCs w:val="16"/>
              </w:rPr>
              <w:t xml:space="preserve">Inputs</w:t>
            </w:r>
          </w:p>
        </w:tc>
        <w:tc>
          <w:tcPr>
            <w:tcW w:w="590" w:type="dxa"/>
            <w:tcBorders/>
            <w:vAlign w:val="center"/>
          </w:tcPr>
          <w:p>
            <w:pPr>
              <w:pStyle w:val="Normal"/>
              <w:keepNext/>
              <w:spacing w:before="4" w:after="4" w:line="200" w:lineRule="atLeast"/>
              <w:ind w:firstLine="0"/>
              <w:jc w:val="right"/>
            </w:pPr>
            <w:r>
              <w:rPr>
                <w:sz w:val="16"/>
                <w:szCs w:val="16"/>
              </w:rPr>
              <w:t xml:space="preserve">Classes</w:t>
            </w:r>
          </w:p>
        </w:tc>
        <w:tc>
          <w:tcPr>
            <w:tcW w:w="534" w:type="dxa"/>
            <w:tcBorders/>
            <w:vAlign w:val="center"/>
          </w:tcPr>
          <w:p>
            <w:pPr>
              <w:pStyle w:val="Normal"/>
              <w:keepNext/>
              <w:spacing w:before="4" w:after="4" w:line="200" w:lineRule="atLeast"/>
              <w:ind w:firstLine="0"/>
              <w:jc w:val="right"/>
            </w:pPr>
            <w:r>
              <w:rPr>
                <w:sz w:val="16"/>
                <w:szCs w:val="16"/>
              </w:rPr>
              <w:t xml:space="preserve">LR</w:t>
            </w:r>
          </w:p>
        </w:tc>
        <w:tc>
          <w:tcPr>
            <w:tcW w:w="534" w:type="dxa"/>
            <w:tcBorders/>
            <w:vAlign w:val="center"/>
          </w:tcPr>
          <w:p>
            <w:pPr>
              <w:pStyle w:val="Normal"/>
              <w:keepNext/>
              <w:spacing w:before="4" w:after="4" w:line="200" w:lineRule="atLeast"/>
              <w:ind w:firstLine="0"/>
              <w:jc w:val="right"/>
            </w:pPr>
            <w:r>
              <w:rPr>
                <w:sz w:val="16"/>
                <w:szCs w:val="16"/>
              </w:rPr>
              <w:t xml:space="preserve">GB</w:t>
            </w:r>
          </w:p>
        </w:tc>
      </w:tr>
      <w:tr>
        <w:trPr>
          <w:cantSplit/>
          <w:jc w:val="center"/>
        </w:trPr>
        <w:tc>
          <w:tcPr>
            <w:tcW w:w="1062" w:type="dxa"/>
            <w:tcBorders>
              <w:top w:val="single" w:sz="6" w:space="0" w:color="000000"/>
            </w:tcBorders>
            <w:vAlign w:val="center"/>
          </w:tcPr>
          <w:p>
            <w:pPr>
              <w:pStyle w:val="Normal"/>
              <w:keepNext/>
              <w:spacing w:before="4" w:after="4" w:line="200" w:lineRule="atLeast"/>
              <w:ind w:firstLine="0"/>
              <w:jc w:val="left"/>
            </w:pPr>
            <w:r>
              <w:rPr>
                <w:sz w:val="16"/>
                <w:szCs w:val="16"/>
              </w:rPr>
              <w:t xml:space="preserve">ACS Income</w:t>
            </w:r>
          </w:p>
        </w:tc>
        <w:tc>
          <w:tcPr>
            <w:tcW w:w="921" w:type="dxa"/>
            <w:tcBorders>
              <w:top w:val="single" w:sz="6" w:space="0" w:color="000000"/>
            </w:tcBorders>
            <w:vAlign w:val="center"/>
          </w:tcPr>
          <w:p>
            <w:pPr>
              <w:pStyle w:val="Normal"/>
              <w:keepNext/>
              <w:spacing w:before="4" w:after="4" w:line="200" w:lineRule="atLeast"/>
              <w:ind w:firstLine="0"/>
              <w:jc w:val="left"/>
            </w:pPr>
            <w:r>
              <w:rPr>
                <w:sz w:val="16"/>
                <w:szCs w:val="16"/>
              </w:rPr>
              <w:t xml:space="preserve">CA 2014</w:t>
            </w:r>
          </w:p>
        </w:tc>
        <w:tc>
          <w:tcPr>
            <w:tcW w:w="1648" w:type="dxa"/>
            <w:tcBorders>
              <w:top w:val="single" w:sz="6" w:space="0" w:color="000000"/>
            </w:tcBorders>
            <w:vAlign w:val="center"/>
          </w:tcPr>
          <w:p>
            <w:pPr>
              <w:pStyle w:val="Normal"/>
              <w:keepNext/>
              <w:spacing w:before="4" w:after="4" w:line="200" w:lineRule="atLeast"/>
              <w:ind w:firstLine="0"/>
              <w:jc w:val="left"/>
            </w:pPr>
            <w:r>
              <w:rPr>
                <w:sz w:val="16"/>
                <w:szCs w:val="16"/>
              </w:rPr>
              <w:t xml:space="preserve">CA 2015–19, 2021–23; TX, NY, FL, WA 2014</w:t>
            </w:r>
          </w:p>
        </w:tc>
        <w:tc>
          <w:tcPr>
            <w:tcW w:w="1062"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36,162–203,278</w:t>
            </w:r>
          </w:p>
        </w:tc>
        <w:tc>
          <w:tcPr>
            <w:tcW w:w="50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10</w:t>
            </w:r>
          </w:p>
        </w:tc>
        <w:tc>
          <w:tcPr>
            <w:tcW w:w="59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2</w:t>
            </w:r>
          </w:p>
        </w:tc>
        <w:tc>
          <w:tcPr>
            <w:tcW w:w="53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0.826</w:t>
            </w:r>
          </w:p>
        </w:tc>
        <w:tc>
          <w:tcPr>
            <w:tcW w:w="53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0.833</w:t>
            </w:r>
          </w:p>
        </w:tc>
      </w:tr>
      <w:tr>
        <w:trPr>
          <w:cantSplit/>
          <w:jc w:val="center"/>
        </w:trPr>
        <w:tc>
          <w:tcPr>
            <w:tcW w:w="1062" w:type="dxa"/>
            <w:tcBorders/>
            <w:vAlign w:val="center"/>
          </w:tcPr>
          <w:p>
            <w:pPr>
              <w:pStyle w:val="Normal"/>
              <w:keepNext/>
              <w:spacing w:before="4" w:after="4" w:line="200" w:lineRule="atLeast"/>
              <w:ind w:firstLine="0"/>
              <w:jc w:val="left"/>
            </w:pPr>
            <w:r>
              <w:rPr>
                <w:sz w:val="16"/>
                <w:szCs w:val="16"/>
              </w:rPr>
              <w:t xml:space="preserve">ACS Employment</w:t>
            </w:r>
          </w:p>
        </w:tc>
        <w:tc>
          <w:tcPr>
            <w:tcW w:w="921" w:type="dxa"/>
            <w:tcBorders/>
            <w:vAlign w:val="center"/>
          </w:tcPr>
          <w:p>
            <w:pPr>
              <w:pStyle w:val="Normal"/>
              <w:keepNext/>
              <w:spacing w:before="4" w:after="4" w:line="200" w:lineRule="atLeast"/>
              <w:ind w:firstLine="0"/>
              <w:jc w:val="left"/>
            </w:pPr>
            <w:r>
              <w:rPr>
                <w:sz w:val="16"/>
                <w:szCs w:val="16"/>
              </w:rPr>
              <w:t xml:space="preserve">CA 2014</w:t>
            </w:r>
          </w:p>
        </w:tc>
        <w:tc>
          <w:tcPr>
            <w:tcW w:w="1648" w:type="dxa"/>
            <w:tcBorders/>
            <w:vAlign w:val="center"/>
          </w:tcPr>
          <w:p>
            <w:pPr>
              <w:pStyle w:val="Normal"/>
              <w:keepNext/>
              <w:spacing w:before="4" w:after="4" w:line="200" w:lineRule="atLeast"/>
              <w:ind w:firstLine="0"/>
              <w:jc w:val="left"/>
            </w:pPr>
            <w:r>
              <w:rPr>
                <w:sz w:val="16"/>
                <w:szCs w:val="16"/>
              </w:rPr>
              <w:t xml:space="preserve">CA 2015–19, 2021–23; TX, NY, FL, WA 2014</w:t>
            </w:r>
          </w:p>
        </w:tc>
        <w:tc>
          <w:tcPr>
            <w:tcW w:w="1062" w:type="dxa"/>
            <w:tcBorders/>
            <w:vAlign w:val="center"/>
          </w:tcPr>
          <w:p>
            <w:pPr>
              <w:pStyle w:val="Normal"/>
              <w:keepNext/>
              <w:spacing w:before="4" w:after="4" w:line="200" w:lineRule="atLeast"/>
              <w:ind w:firstLine="0"/>
              <w:jc w:val="right"/>
            </w:pPr>
            <w:r>
              <w:rPr>
                <w:sz w:val="16"/>
                <w:szCs w:val="16"/>
              </w:rPr>
              <w:t xml:space="preserve">56,576–326,241</w:t>
            </w:r>
          </w:p>
        </w:tc>
        <w:tc>
          <w:tcPr>
            <w:tcW w:w="504" w:type="dxa"/>
            <w:tcBorders/>
            <w:vAlign w:val="center"/>
          </w:tcPr>
          <w:p>
            <w:pPr>
              <w:pStyle w:val="Normal"/>
              <w:keepNext/>
              <w:spacing w:before="4" w:after="4" w:line="200" w:lineRule="atLeast"/>
              <w:ind w:firstLine="0"/>
              <w:jc w:val="right"/>
            </w:pPr>
            <w:r>
              <w:rPr>
                <w:sz w:val="16"/>
                <w:szCs w:val="16"/>
              </w:rPr>
              <w:t xml:space="preserve">16</w:t>
            </w:r>
          </w:p>
        </w:tc>
        <w:tc>
          <w:tcPr>
            <w:tcW w:w="590" w:type="dxa"/>
            <w:tcBorders/>
            <w:vAlign w:val="center"/>
          </w:tcPr>
          <w:p>
            <w:pPr>
              <w:pStyle w:val="Normal"/>
              <w:keepNext/>
              <w:spacing w:before="4" w:after="4" w:line="200" w:lineRule="atLeast"/>
              <w:ind w:firstLine="0"/>
              <w:jc w:val="right"/>
            </w:pPr>
            <w:r>
              <w:rPr>
                <w:sz w:val="16"/>
                <w:szCs w:val="16"/>
              </w:rPr>
              <w:t xml:space="preserve">2</w:t>
            </w:r>
          </w:p>
        </w:tc>
        <w:tc>
          <w:tcPr>
            <w:tcW w:w="534" w:type="dxa"/>
            <w:tcBorders/>
            <w:vAlign w:val="center"/>
          </w:tcPr>
          <w:p>
            <w:pPr>
              <w:pStyle w:val="Normal"/>
              <w:keepNext/>
              <w:spacing w:before="4" w:after="4" w:line="200" w:lineRule="atLeast"/>
              <w:ind w:firstLine="0"/>
              <w:jc w:val="right"/>
            </w:pPr>
            <w:r>
              <w:rPr>
                <w:sz w:val="16"/>
                <w:szCs w:val="16"/>
              </w:rPr>
              <w:t xml:space="preserve">0.729</w:t>
            </w:r>
          </w:p>
        </w:tc>
        <w:tc>
          <w:tcPr>
            <w:tcW w:w="534" w:type="dxa"/>
            <w:tcBorders/>
            <w:vAlign w:val="center"/>
          </w:tcPr>
          <w:p>
            <w:pPr>
              <w:pStyle w:val="Normal"/>
              <w:keepNext/>
              <w:spacing w:before="4" w:after="4" w:line="200" w:lineRule="atLeast"/>
              <w:ind w:firstLine="0"/>
              <w:jc w:val="right"/>
            </w:pPr>
            <w:r>
              <w:rPr>
                <w:sz w:val="16"/>
                <w:szCs w:val="16"/>
              </w:rPr>
              <w:t xml:space="preserve">0.772</w:t>
            </w:r>
          </w:p>
        </w:tc>
      </w:tr>
      <w:tr>
        <w:trPr>
          <w:cantSplit/>
          <w:jc w:val="center"/>
        </w:trPr>
        <w:tc>
          <w:tcPr>
            <w:tcW w:w="1062" w:type="dxa"/>
            <w:tcBorders/>
            <w:vAlign w:val="center"/>
          </w:tcPr>
          <w:p>
            <w:pPr>
              <w:pStyle w:val="Normal"/>
              <w:keepNext/>
              <w:spacing w:before="4" w:after="4" w:line="200" w:lineRule="atLeast"/>
              <w:ind w:firstLine="0"/>
              <w:jc w:val="left"/>
            </w:pPr>
            <w:r>
              <w:rPr>
                <w:sz w:val="16"/>
                <w:szCs w:val="16"/>
              </w:rPr>
              <w:t xml:space="preserve">Gas sensor</w:t>
            </w:r>
          </w:p>
        </w:tc>
        <w:tc>
          <w:tcPr>
            <w:tcW w:w="921" w:type="dxa"/>
            <w:tcBorders/>
            <w:vAlign w:val="center"/>
          </w:tcPr>
          <w:p>
            <w:pPr>
              <w:pStyle w:val="Normal"/>
              <w:keepNext/>
              <w:spacing w:before="4" w:after="4" w:line="200" w:lineRule="atLeast"/>
              <w:ind w:firstLine="0"/>
              <w:jc w:val="left"/>
            </w:pPr>
            <w:r>
              <w:rPr>
                <w:sz w:val="16"/>
                <w:szCs w:val="16"/>
              </w:rPr>
              <w:t xml:space="preserve">batches 1–2</w:t>
            </w:r>
          </w:p>
        </w:tc>
        <w:tc>
          <w:tcPr>
            <w:tcW w:w="1648" w:type="dxa"/>
            <w:tcBorders/>
            <w:vAlign w:val="center"/>
          </w:tcPr>
          <w:p>
            <w:pPr>
              <w:pStyle w:val="Normal"/>
              <w:keepNext/>
              <w:spacing w:before="4" w:after="4" w:line="200" w:lineRule="atLeast"/>
              <w:ind w:firstLine="0"/>
              <w:jc w:val="left"/>
            </w:pPr>
            <w:r>
              <w:rPr>
                <w:sz w:val="16"/>
                <w:szCs w:val="16"/>
              </w:rPr>
              <w:t xml:space="preserve">batches 3–10</w:t>
            </w:r>
          </w:p>
        </w:tc>
        <w:tc>
          <w:tcPr>
            <w:tcW w:w="1062" w:type="dxa"/>
            <w:tcBorders/>
            <w:vAlign w:val="center"/>
          </w:tcPr>
          <w:p>
            <w:pPr>
              <w:pStyle w:val="Normal"/>
              <w:keepNext/>
              <w:spacing w:before="4" w:after="4" w:line="200" w:lineRule="atLeast"/>
              <w:ind w:firstLine="0"/>
              <w:jc w:val="right"/>
            </w:pPr>
            <w:r>
              <w:rPr>
                <w:sz w:val="16"/>
                <w:szCs w:val="16"/>
              </w:rPr>
              <w:t xml:space="preserve">161–3,613</w:t>
            </w:r>
          </w:p>
        </w:tc>
        <w:tc>
          <w:tcPr>
            <w:tcW w:w="504" w:type="dxa"/>
            <w:tcBorders/>
            <w:vAlign w:val="center"/>
          </w:tcPr>
          <w:p>
            <w:pPr>
              <w:pStyle w:val="Normal"/>
              <w:keepNext/>
              <w:spacing w:before="4" w:after="4" w:line="200" w:lineRule="atLeast"/>
              <w:ind w:firstLine="0"/>
              <w:jc w:val="right"/>
            </w:pPr>
            <w:r>
              <w:rPr>
                <w:sz w:val="16"/>
                <w:szCs w:val="16"/>
              </w:rPr>
              <w:t xml:space="preserve">128</w:t>
            </w:r>
          </w:p>
        </w:tc>
        <w:tc>
          <w:tcPr>
            <w:tcW w:w="590" w:type="dxa"/>
            <w:tcBorders/>
            <w:vAlign w:val="center"/>
          </w:tcPr>
          <w:p>
            <w:pPr>
              <w:pStyle w:val="Normal"/>
              <w:keepNext/>
              <w:spacing w:before="4" w:after="4" w:line="200" w:lineRule="atLeast"/>
              <w:ind w:firstLine="0"/>
              <w:jc w:val="right"/>
            </w:pPr>
            <w:r>
              <w:rPr>
                <w:sz w:val="16"/>
                <w:szCs w:val="16"/>
              </w:rPr>
              <w:t xml:space="preserve">6</w:t>
            </w:r>
          </w:p>
        </w:tc>
        <w:tc>
          <w:tcPr>
            <w:tcW w:w="534" w:type="dxa"/>
            <w:tcBorders/>
            <w:vAlign w:val="center"/>
          </w:tcPr>
          <w:p>
            <w:pPr>
              <w:pStyle w:val="Normal"/>
              <w:keepNext/>
              <w:spacing w:before="4" w:after="4" w:line="200" w:lineRule="atLeast"/>
              <w:ind w:firstLine="0"/>
              <w:jc w:val="right"/>
            </w:pPr>
            <w:r>
              <w:rPr>
                <w:sz w:val="16"/>
                <w:szCs w:val="16"/>
              </w:rPr>
              <w:t xml:space="preserve">0.982</w:t>
            </w:r>
          </w:p>
        </w:tc>
        <w:tc>
          <w:tcPr>
            <w:tcW w:w="534" w:type="dxa"/>
            <w:tcBorders/>
            <w:vAlign w:val="center"/>
          </w:tcPr>
          <w:p>
            <w:pPr>
              <w:pStyle w:val="Normal"/>
              <w:keepNext/>
              <w:spacing w:before="4" w:after="4" w:line="200" w:lineRule="atLeast"/>
              <w:ind w:firstLine="0"/>
              <w:jc w:val="right"/>
            </w:pPr>
            <w:r>
              <w:rPr>
                <w:sz w:val="16"/>
                <w:szCs w:val="16"/>
              </w:rPr>
              <w:t xml:space="preserve">0.985</w:t>
            </w:r>
          </w:p>
        </w:tc>
      </w:tr>
      <w:tr>
        <w:trPr>
          <w:cantSplit/>
          <w:jc w:val="center"/>
        </w:trPr>
        <w:tc>
          <w:tcPr>
            <w:tcW w:w="1062" w:type="dxa"/>
            <w:tcBorders>
              <w:bottom w:val="single" w:sz="12" w:space="0" w:color="000000"/>
            </w:tcBorders>
            <w:vAlign w:val="center"/>
          </w:tcPr>
          <w:p>
            <w:pPr>
              <w:pStyle w:val="Normal"/>
              <w:spacing w:before="4" w:after="4" w:line="200" w:lineRule="atLeast"/>
              <w:ind w:firstLine="0"/>
              <w:jc w:val="left"/>
            </w:pPr>
            <w:r>
              <w:rPr>
                <w:sz w:val="16"/>
                <w:szCs w:val="16"/>
              </w:rPr>
              <w:t xml:space="preserve">CLEAR-10</w:t>
            </w:r>
          </w:p>
        </w:tc>
        <w:tc>
          <w:tcPr>
            <w:tcW w:w="921" w:type="dxa"/>
            <w:tcBorders>
              <w:bottom w:val="single" w:sz="12" w:space="0" w:color="000000"/>
            </w:tcBorders>
            <w:vAlign w:val="center"/>
          </w:tcPr>
          <w:p>
            <w:pPr>
              <w:pStyle w:val="Normal"/>
              <w:spacing w:before="4" w:after="4" w:line="200" w:lineRule="atLeast"/>
              <w:ind w:firstLine="0"/>
              <w:jc w:val="left"/>
            </w:pPr>
            <w:r>
              <w:rPr>
                <w:sz w:val="16"/>
                <w:szCs w:val="16"/>
              </w:rPr>
              <w:t xml:space="preserve">bucket 1</w:t>
            </w:r>
          </w:p>
        </w:tc>
        <w:tc>
          <w:tcPr>
            <w:tcW w:w="1648" w:type="dxa"/>
            <w:tcBorders>
              <w:bottom w:val="single" w:sz="12" w:space="0" w:color="000000"/>
            </w:tcBorders>
            <w:vAlign w:val="center"/>
          </w:tcPr>
          <w:p>
            <w:pPr>
              <w:pStyle w:val="Normal"/>
              <w:spacing w:before="4" w:after="4" w:line="200" w:lineRule="atLeast"/>
              <w:ind w:firstLine="0"/>
              <w:jc w:val="left"/>
            </w:pPr>
            <w:r>
              <w:rPr>
                <w:sz w:val="16"/>
                <w:szCs w:val="16"/>
              </w:rPr>
              <w:t xml:space="preserve">buckets 2–10</w:t>
            </w:r>
          </w:p>
        </w:tc>
        <w:tc>
          <w:tcPr>
            <w:tcW w:w="1062" w:type="dxa"/>
            <w:tcBorders>
              <w:bottom w:val="single" w:sz="12" w:space="0" w:color="000000"/>
            </w:tcBorders>
            <w:vAlign w:val="center"/>
          </w:tcPr>
          <w:p>
            <w:pPr>
              <w:pStyle w:val="Normal"/>
              <w:spacing w:before="4" w:after="4" w:line="200" w:lineRule="atLeast"/>
              <w:ind w:firstLine="0"/>
              <w:jc w:val="right"/>
            </w:pPr>
            <w:r>
              <w:rPr>
                <w:sz w:val="16"/>
                <w:szCs w:val="16"/>
              </w:rPr>
              <w:t xml:space="preserve">3,297–3,300</w:t>
            </w:r>
          </w:p>
        </w:tc>
        <w:tc>
          <w:tcPr>
            <w:tcW w:w="504" w:type="dxa"/>
            <w:tcBorders>
              <w:bottom w:val="single" w:sz="12" w:space="0" w:color="000000"/>
            </w:tcBorders>
            <w:vAlign w:val="center"/>
          </w:tcPr>
          <w:p>
            <w:pPr>
              <w:pStyle w:val="Normal"/>
              <w:spacing w:before="4" w:after="4" w:line="200" w:lineRule="atLeast"/>
              <w:ind w:firstLine="0"/>
              <w:jc w:val="right"/>
            </w:pPr>
            <w:r>
              <w:rPr>
                <w:sz w:val="16"/>
                <w:szCs w:val="16"/>
              </w:rPr>
              <w:t xml:space="preserve">512</w:t>
            </w:r>
          </w:p>
        </w:tc>
        <w:tc>
          <w:tcPr>
            <w:tcW w:w="590" w:type="dxa"/>
            <w:tcBorders>
              <w:bottom w:val="single" w:sz="12" w:space="0" w:color="000000"/>
            </w:tcBorders>
            <w:vAlign w:val="center"/>
          </w:tcPr>
          <w:p>
            <w:pPr>
              <w:pStyle w:val="Normal"/>
              <w:spacing w:before="4" w:after="4" w:line="200" w:lineRule="atLeast"/>
              <w:ind w:firstLine="0"/>
              <w:jc w:val="right"/>
            </w:pPr>
            <w:r>
              <w:rPr>
                <w:sz w:val="16"/>
                <w:szCs w:val="16"/>
              </w:rPr>
              <w:t xml:space="preserve">11</w:t>
            </w:r>
          </w:p>
        </w:tc>
        <w:tc>
          <w:tcPr>
            <w:tcW w:w="534" w:type="dxa"/>
            <w:tcBorders>
              <w:bottom w:val="single" w:sz="12" w:space="0" w:color="000000"/>
            </w:tcBorders>
            <w:vAlign w:val="center"/>
          </w:tcPr>
          <w:p>
            <w:pPr>
              <w:pStyle w:val="Normal"/>
              <w:spacing w:before="4" w:after="4" w:line="200" w:lineRule="atLeast"/>
              <w:ind w:firstLine="0"/>
              <w:jc w:val="right"/>
            </w:pPr>
            <w:r>
              <w:rPr>
                <w:sz w:val="16"/>
                <w:szCs w:val="16"/>
              </w:rPr>
              <w:t xml:space="preserve">0.914</w:t>
            </w:r>
          </w:p>
        </w:tc>
        <w:tc>
          <w:tcPr>
            <w:tcW w:w="534" w:type="dxa"/>
            <w:tcBorders>
              <w:bottom w:val="single" w:sz="12" w:space="0" w:color="000000"/>
            </w:tcBorders>
            <w:vAlign w:val="center"/>
          </w:tcPr>
          <w:p>
            <w:pPr>
              <w:pStyle w:val="Normal"/>
              <w:spacing w:before="4" w:after="4" w:line="200" w:lineRule="atLeast"/>
              <w:ind w:firstLine="0"/>
              <w:jc w:val="right"/>
            </w:pPr>
            <w:r>
              <w:rPr>
                <w:sz w:val="16"/>
                <w:szCs w:val="16"/>
              </w:rPr>
              <w:t xml:space="preserve">0.897</w:t>
            </w:r>
          </w:p>
        </w:tc>
      </w:tr>
    </w:tbl>
    <w:p>
      <w:pPr>
        <w:spacing w:after="0" w:line="120" w:lineRule="exact"/>
      </w:pPr>
    </w:p>
    <w:p>
      <w:pPr>
        <w:pStyle w:val="p1a"/>
      </w:pPr>
      <w:r>
        <w:t xml:space="preserve">Rows gives the smallest and the largest window, Inputs the number of features or embedding dimensions and the last two columns the reference test accuracy of LR and GB.</w:t>
      </w:r>
    </w:p>
    <w:p>
      <w:pPr>
        <w:pStyle w:val="Normal"/>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Normal"/>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with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Normal"/>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heading2"/>
      </w:pPr>
      <w:r>
        <w:t xml:space="preserve">Injection Benchmark</w:t>
      </w:r>
    </w:p>
    <w:p>
      <w:pPr>
        <w:pStyle w:val="p1a"/>
      </w:pPr>
      <w:r>
        <w:t xml:space="preserve">The type of a real drift is never known for certain, so the diagnosis is graded on drift that we inject ourselves. The benchmark uses the 2014 data of 5 states (CA, TX, NY, FL, WA) for both ACS tasks.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Normal"/>
      </w:pPr>
      <w:r>
        <w:rPr>
          <w:i/>
        </w:rPr>
        <w:t xml:space="preserve">Design A</w:t>
      </w:r>
      <w:r>
        <w:t xml:space="preserve"> injects the four types in ways that partly match how the tests work. Covariate shift rescales two numeric features (ACS Income: age and weekly working hours, AGEP and WKHP) for a random subset of rows. Prior shift drops rows of one class until the positive rate rises by 0.14, 0.23 and 0.32. Concept drift inverts the labels of the 15, 30 and 50% of rows with the highest value of one feature (ACS Income: educational attainment, SCHL). Label noise flips a random 8, 18 and 32% of the labels. Each replicate also contains a control window without drift.</w:t>
      </w:r>
    </w:p>
    <w:p>
      <w:pPr>
        <w:pStyle w:val="Normal"/>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heading2"/>
      </w:pPr>
      <w:r>
        <w:t xml:space="preserve">Baselines and Ablations</w:t>
      </w:r>
    </w:p>
    <w:p>
      <w:pPr>
        <w:pStyle w:val="p1a"/>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Normal"/>
      </w:pPr>
      <w:r>
        <w:t xml:space="preserve">The </w:t>
      </w:r>
      <w:r>
        <w:rPr>
          <w:i/>
        </w:rPr>
        <w:t xml:space="preserve">learned meta-classifier</w:t>
      </w:r>
      <w:r>
        <w:t xml:space="preserve"> checks whether a learned rule could replace the tests. It is a GB model trained on nine statistics of each window from the tests of our procedure, such as the evidence </w:t>
      </w:r>
      <m:oMath>
        <m:r>
          <m:rPr>
            <m:sty m:val="p"/>
          </m:rPr>
          <m:t>−</m:t>
        </m:r>
        <m:sSub>
          <m:e>
            <m:r>
              <m:rPr>
                <m:sty m:val="p"/>
              </m:rPr>
              <m:t>log</m:t>
            </m:r>
          </m:e>
          <m:sub>
            <m:r>
              <m:t>10</m:t>
            </m:r>
          </m:sub>
        </m:sSub>
        <m:r>
          <m:t>p</m:t>
        </m:r>
      </m:oMath>
      <w:r>
        <w:t xml:space="preserve"> of each block test, the BBSE prior change and the drop in audit accuracy.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Normal"/>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heading1"/>
      </w:pPr>
      <w:r>
        <w:t xml:space="preserve">Results</w:t>
      </w:r>
    </w:p>
    <w:p>
      <w:pPr>
        <w:pStyle w:val="p1a"/>
      </w:pPr>
      <w:r>
        <w:t xml:space="preserve">The benchmark comes first: how often the type is named, whether the procedure carries over to drift it was not designed for, how many audit labels it needs and how well its building blocks work. Real drift follows, then the last two stages and the running time.</w:t>
      </w:r>
    </w:p>
    <w:p>
      <w:pPr>
        <w:pStyle w:val="heading2"/>
      </w:pPr>
      <w:r>
        <w:t xml:space="preserve">Drift Type against Baselines</w:t>
      </w:r>
    </w:p>
    <w:p>
      <w:pPr>
        <w:pStyle w:val="p1a"/>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tablecaption"/>
      </w:pPr>
      <w:r>
        <w:rPr>
          <w:b/>
        </w:rPr>
        <w:t xml:space="preserve">Table 3.</w:t>
      </w:r>
      <w:r>
        <w:t xml:space="preserve"> </w:t>
      </w:r>
      <w:r>
        <w:t xml:space="preserve">Share of benchmark windows with the correct drift type (%).</w:t>
      </w:r>
    </w:p>
    <w:tbl>
      <w:tblPr>
        <w:tblW w:w="0" w:type="auto"/>
        <w:jc w:val="center"/>
        <w:tblLayout w:type="fixed"/>
        <w:tblCellMar>
          <w:left w:w="40" w:type="dxa"/>
          <w:right w:w="40" w:type="dxa"/>
        </w:tblCellMar>
        <w:tblLook w:val="0000" w:firstRow="0" w:lastRow="0" w:firstColumn="0" w:lastColumn="0" w:noHBand="0" w:noVBand="0"/>
      </w:tblPr>
      <w:tblGrid>
        <w:gridCol w:w="2480"/>
        <w:gridCol w:w="494"/>
        <w:gridCol w:w="494"/>
        <w:gridCol w:w="600"/>
        <w:gridCol w:w="600"/>
        <w:gridCol w:w="494"/>
        <w:gridCol w:w="494"/>
        <w:gridCol w:w="600"/>
        <w:gridCol w:w="600"/>
      </w:tblGrid>
      <w:tr>
        <w:trPr>
          <w:cantSplit/>
          <w:tblHeader/>
          <w:jc w:val="center"/>
        </w:trPr>
        <w:tc>
          <w:tcPr>
            <w:tcW w:w="2480" w:type="dxa"/>
            <w:tcBorders>
              <w:top w:val="single" w:sz="12" w:space="0" w:color="000000"/>
            </w:tcBorders>
            <w:vAlign w:val="center"/>
          </w:tcPr>
          <w:p>
            <w:pPr>
              <w:pStyle w:val="Normal"/>
              <w:keepNext/>
              <w:spacing w:before="4" w:after="4" w:line="200" w:lineRule="atLeast"/>
              <w:ind w:firstLine="0"/>
              <w:jc w:val="left"/>
            </w:pPr>
          </w:p>
        </w:tc>
        <w:tc>
          <w:tcPr>
            <w:tcW w:w="2188" w:type="dxa"/>
            <w:gridSpan w:val="4"/>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Logistic regression</w:t>
            </w:r>
          </w:p>
        </w:tc>
        <w:tc>
          <w:tcPr>
            <w:tcW w:w="2188" w:type="dxa"/>
            <w:gridSpan w:val="4"/>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Gradient boosting</w:t>
            </w:r>
          </w:p>
        </w:tc>
      </w:tr>
      <w:tr>
        <w:trPr>
          <w:cantSplit/>
          <w:tblHeader/>
          <w:jc w:val="center"/>
        </w:trPr>
        <w:tc>
          <w:tcPr>
            <w:tcW w:w="2480" w:type="dxa"/>
            <w:tcBorders/>
            <w:vAlign w:val="center"/>
          </w:tcPr>
          <w:p>
            <w:pPr>
              <w:pStyle w:val="Normal"/>
              <w:keepNext/>
              <w:spacing w:before="4" w:after="4" w:line="200" w:lineRule="atLeast"/>
              <w:ind w:firstLine="0"/>
              <w:jc w:val="left"/>
            </w:pPr>
            <w:r>
              <w:rPr>
                <w:sz w:val="16"/>
                <w:szCs w:val="16"/>
              </w:rPr>
              <w:t xml:space="preserve">Method</w:t>
            </w:r>
          </w:p>
        </w:tc>
        <w:tc>
          <w:tcPr>
            <w:tcW w:w="494" w:type="dxa"/>
            <w:tcBorders/>
            <w:vAlign w:val="center"/>
          </w:tcPr>
          <w:p>
            <w:pPr>
              <w:pStyle w:val="Normal"/>
              <w:keepNext/>
              <w:spacing w:before="4" w:after="4" w:line="200" w:lineRule="atLeast"/>
              <w:ind w:firstLine="0"/>
              <w:jc w:val="right"/>
            </w:pPr>
            <w:r>
              <w:rPr>
                <w:sz w:val="16"/>
                <w:szCs w:val="16"/>
              </w:rPr>
              <w:t xml:space="preserve">Inc. A</w:t>
            </w:r>
          </w:p>
        </w:tc>
        <w:tc>
          <w:tcPr>
            <w:tcW w:w="494" w:type="dxa"/>
            <w:tcBorders/>
            <w:vAlign w:val="center"/>
          </w:tcPr>
          <w:p>
            <w:pPr>
              <w:pStyle w:val="Normal"/>
              <w:keepNext/>
              <w:spacing w:before="4" w:after="4" w:line="200" w:lineRule="atLeast"/>
              <w:ind w:firstLine="0"/>
              <w:jc w:val="right"/>
            </w:pPr>
            <w:r>
              <w:rPr>
                <w:sz w:val="16"/>
                <w:szCs w:val="16"/>
              </w:rPr>
              <w:t xml:space="preserve">Inc. B</w:t>
            </w:r>
          </w:p>
        </w:tc>
        <w:tc>
          <w:tcPr>
            <w:tcW w:w="600" w:type="dxa"/>
            <w:tcBorders/>
            <w:vAlign w:val="center"/>
          </w:tcPr>
          <w:p>
            <w:pPr>
              <w:pStyle w:val="Normal"/>
              <w:keepNext/>
              <w:spacing w:before="4" w:after="4" w:line="200" w:lineRule="atLeast"/>
              <w:ind w:firstLine="0"/>
              <w:jc w:val="right"/>
            </w:pPr>
            <w:r>
              <w:rPr>
                <w:sz w:val="16"/>
                <w:szCs w:val="16"/>
              </w:rPr>
              <w:t xml:space="preserve">Emp. A</w:t>
            </w:r>
          </w:p>
        </w:tc>
        <w:tc>
          <w:tcPr>
            <w:tcW w:w="600" w:type="dxa"/>
            <w:tcBorders/>
            <w:vAlign w:val="center"/>
          </w:tcPr>
          <w:p>
            <w:pPr>
              <w:pStyle w:val="Normal"/>
              <w:keepNext/>
              <w:spacing w:before="4" w:after="4" w:line="200" w:lineRule="atLeast"/>
              <w:ind w:firstLine="0"/>
              <w:jc w:val="right"/>
            </w:pPr>
            <w:r>
              <w:rPr>
                <w:sz w:val="16"/>
                <w:szCs w:val="16"/>
              </w:rPr>
              <w:t xml:space="preserve">Emp. B</w:t>
            </w:r>
          </w:p>
        </w:tc>
        <w:tc>
          <w:tcPr>
            <w:tcW w:w="494" w:type="dxa"/>
            <w:tcBorders/>
            <w:vAlign w:val="center"/>
          </w:tcPr>
          <w:p>
            <w:pPr>
              <w:pStyle w:val="Normal"/>
              <w:keepNext/>
              <w:spacing w:before="4" w:after="4" w:line="200" w:lineRule="atLeast"/>
              <w:ind w:firstLine="0"/>
              <w:jc w:val="right"/>
            </w:pPr>
            <w:r>
              <w:rPr>
                <w:sz w:val="16"/>
                <w:szCs w:val="16"/>
              </w:rPr>
              <w:t xml:space="preserve">Inc. A</w:t>
            </w:r>
          </w:p>
        </w:tc>
        <w:tc>
          <w:tcPr>
            <w:tcW w:w="494" w:type="dxa"/>
            <w:tcBorders/>
            <w:vAlign w:val="center"/>
          </w:tcPr>
          <w:p>
            <w:pPr>
              <w:pStyle w:val="Normal"/>
              <w:keepNext/>
              <w:spacing w:before="4" w:after="4" w:line="200" w:lineRule="atLeast"/>
              <w:ind w:firstLine="0"/>
              <w:jc w:val="right"/>
            </w:pPr>
            <w:r>
              <w:rPr>
                <w:sz w:val="16"/>
                <w:szCs w:val="16"/>
              </w:rPr>
              <w:t xml:space="preserve">Inc. B</w:t>
            </w:r>
          </w:p>
        </w:tc>
        <w:tc>
          <w:tcPr>
            <w:tcW w:w="600" w:type="dxa"/>
            <w:tcBorders/>
            <w:vAlign w:val="center"/>
          </w:tcPr>
          <w:p>
            <w:pPr>
              <w:pStyle w:val="Normal"/>
              <w:keepNext/>
              <w:spacing w:before="4" w:after="4" w:line="200" w:lineRule="atLeast"/>
              <w:ind w:firstLine="0"/>
              <w:jc w:val="right"/>
            </w:pPr>
            <w:r>
              <w:rPr>
                <w:sz w:val="16"/>
                <w:szCs w:val="16"/>
              </w:rPr>
              <w:t xml:space="preserve">Emp. A</w:t>
            </w:r>
          </w:p>
        </w:tc>
        <w:tc>
          <w:tcPr>
            <w:tcW w:w="600" w:type="dxa"/>
            <w:tcBorders/>
            <w:vAlign w:val="center"/>
          </w:tcPr>
          <w:p>
            <w:pPr>
              <w:pStyle w:val="Normal"/>
              <w:keepNext/>
              <w:spacing w:before="4" w:after="4" w:line="200" w:lineRule="atLeast"/>
              <w:ind w:firstLine="0"/>
              <w:jc w:val="right"/>
            </w:pPr>
            <w:r>
              <w:rPr>
                <w:sz w:val="16"/>
                <w:szCs w:val="16"/>
              </w:rPr>
              <w:t xml:space="preserve">Emp. B</w:t>
            </w:r>
          </w:p>
        </w:tc>
      </w:tr>
      <w:tr>
        <w:trPr>
          <w:cantSplit/>
          <w:jc w:val="center"/>
        </w:trPr>
        <w:tc>
          <w:tcPr>
            <w:tcW w:w="2480" w:type="dxa"/>
            <w:tcBorders>
              <w:top w:val="single" w:sz="6" w:space="0" w:color="000000"/>
            </w:tcBorders>
            <w:vAlign w:val="center"/>
          </w:tcPr>
          <w:p>
            <w:pPr>
              <w:pStyle w:val="Normal"/>
              <w:keepNext/>
              <w:spacing w:before="4" w:after="4" w:line="200" w:lineRule="atLeast"/>
              <w:ind w:firstLine="0"/>
              <w:jc w:val="left"/>
            </w:pPr>
            <w:r>
              <w:rPr>
                <w:sz w:val="16"/>
                <w:szCs w:val="16"/>
              </w:rPr>
              <w:t xml:space="preserve">Ours (hierarchical tests)</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94.3</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62.4</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85.7</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80.5</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94.2</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63.2</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90.5</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81.5</w:t>
            </w:r>
          </w:p>
        </w:tc>
      </w:tr>
      <w:tr>
        <w:trPr>
          <w:cantSplit/>
          <w:jc w:val="center"/>
        </w:trPr>
        <w:tc>
          <w:tcPr>
            <w:tcW w:w="2480" w:type="dxa"/>
            <w:tcBorders/>
            <w:vAlign w:val="center"/>
          </w:tcPr>
          <w:p>
            <w:pPr>
              <w:pStyle w:val="Normal"/>
              <w:keepNext/>
              <w:spacing w:before="4" w:after="4" w:line="200" w:lineRule="atLeast"/>
              <w:ind w:firstLine="0"/>
              <w:jc w:val="left"/>
            </w:pPr>
            <w:r>
              <w:rPr>
                <w:sz w:val="16"/>
                <w:szCs w:val="16"/>
              </w:rPr>
              <w:t xml:space="preserve">Input monitoring</w:t>
            </w:r>
          </w:p>
        </w:tc>
        <w:tc>
          <w:tcPr>
            <w:tcW w:w="494" w:type="dxa"/>
            <w:tcBorders/>
            <w:vAlign w:val="center"/>
          </w:tcPr>
          <w:p>
            <w:pPr>
              <w:pStyle w:val="Normal"/>
              <w:keepNext/>
              <w:spacing w:before="4" w:after="4" w:line="200" w:lineRule="atLeast"/>
              <w:ind w:firstLine="0"/>
              <w:jc w:val="right"/>
            </w:pPr>
            <w:r>
              <w:rPr>
                <w:sz w:val="16"/>
                <w:szCs w:val="16"/>
              </w:rPr>
              <w:t xml:space="preserve">30.3↓</w:t>
            </w:r>
          </w:p>
        </w:tc>
        <w:tc>
          <w:tcPr>
            <w:tcW w:w="494" w:type="dxa"/>
            <w:tcBorders/>
            <w:vAlign w:val="center"/>
          </w:tcPr>
          <w:p>
            <w:pPr>
              <w:pStyle w:val="Normal"/>
              <w:keepNext/>
              <w:spacing w:before="4" w:after="4" w:line="200" w:lineRule="atLeast"/>
              <w:ind w:firstLine="0"/>
              <w:jc w:val="right"/>
            </w:pPr>
            <w:r>
              <w:rPr>
                <w:sz w:val="16"/>
                <w:szCs w:val="16"/>
              </w:rPr>
              <w:t xml:space="preserve">20.0↓</w:t>
            </w:r>
          </w:p>
        </w:tc>
        <w:tc>
          <w:tcPr>
            <w:tcW w:w="600" w:type="dxa"/>
            <w:tcBorders/>
            <w:vAlign w:val="center"/>
          </w:tcPr>
          <w:p>
            <w:pPr>
              <w:pStyle w:val="Normal"/>
              <w:keepNext/>
              <w:spacing w:before="4" w:after="4" w:line="200" w:lineRule="atLeast"/>
              <w:ind w:firstLine="0"/>
              <w:jc w:val="right"/>
            </w:pPr>
            <w:r>
              <w:rPr>
                <w:sz w:val="16"/>
                <w:szCs w:val="16"/>
              </w:rPr>
              <w:t xml:space="preserve">30.5↓</w:t>
            </w:r>
          </w:p>
        </w:tc>
        <w:tc>
          <w:tcPr>
            <w:tcW w:w="600" w:type="dxa"/>
            <w:tcBorders/>
            <w:vAlign w:val="center"/>
          </w:tcPr>
          <w:p>
            <w:pPr>
              <w:pStyle w:val="Normal"/>
              <w:keepNext/>
              <w:spacing w:before="4" w:after="4" w:line="200" w:lineRule="atLeast"/>
              <w:ind w:firstLine="0"/>
              <w:jc w:val="right"/>
            </w:pPr>
            <w:r>
              <w:rPr>
                <w:sz w:val="16"/>
                <w:szCs w:val="16"/>
              </w:rPr>
              <w:t xml:space="preserve">25.0↓</w:t>
            </w:r>
          </w:p>
        </w:tc>
        <w:tc>
          <w:tcPr>
            <w:tcW w:w="494" w:type="dxa"/>
            <w:tcBorders/>
            <w:vAlign w:val="center"/>
          </w:tcPr>
          <w:p>
            <w:pPr>
              <w:pStyle w:val="Normal"/>
              <w:keepNext/>
              <w:spacing w:before="4" w:after="4" w:line="200" w:lineRule="atLeast"/>
              <w:ind w:firstLine="0"/>
              <w:jc w:val="right"/>
            </w:pPr>
            <w:r>
              <w:rPr>
                <w:sz w:val="16"/>
                <w:szCs w:val="16"/>
              </w:rPr>
              <w:t xml:space="preserve">30.3↓</w:t>
            </w:r>
          </w:p>
        </w:tc>
        <w:tc>
          <w:tcPr>
            <w:tcW w:w="494" w:type="dxa"/>
            <w:tcBorders/>
            <w:vAlign w:val="center"/>
          </w:tcPr>
          <w:p>
            <w:pPr>
              <w:pStyle w:val="Normal"/>
              <w:keepNext/>
              <w:spacing w:before="4" w:after="4" w:line="200" w:lineRule="atLeast"/>
              <w:ind w:firstLine="0"/>
              <w:jc w:val="right"/>
            </w:pPr>
            <w:r>
              <w:rPr>
                <w:sz w:val="16"/>
                <w:szCs w:val="16"/>
              </w:rPr>
              <w:t xml:space="preserve">20.0↓</w:t>
            </w:r>
          </w:p>
        </w:tc>
        <w:tc>
          <w:tcPr>
            <w:tcW w:w="600" w:type="dxa"/>
            <w:tcBorders/>
            <w:vAlign w:val="center"/>
          </w:tcPr>
          <w:p>
            <w:pPr>
              <w:pStyle w:val="Normal"/>
              <w:keepNext/>
              <w:spacing w:before="4" w:after="4" w:line="200" w:lineRule="atLeast"/>
              <w:ind w:firstLine="0"/>
              <w:jc w:val="right"/>
            </w:pPr>
            <w:r>
              <w:rPr>
                <w:sz w:val="16"/>
                <w:szCs w:val="16"/>
              </w:rPr>
              <w:t xml:space="preserve">30.5↓</w:t>
            </w:r>
          </w:p>
        </w:tc>
        <w:tc>
          <w:tcPr>
            <w:tcW w:w="600" w:type="dxa"/>
            <w:tcBorders/>
            <w:vAlign w:val="center"/>
          </w:tcPr>
          <w:p>
            <w:pPr>
              <w:pStyle w:val="Normal"/>
              <w:keepNext/>
              <w:spacing w:before="4" w:after="4" w:line="200" w:lineRule="atLeast"/>
              <w:ind w:firstLine="0"/>
              <w:jc w:val="right"/>
            </w:pPr>
            <w:r>
              <w:rPr>
                <w:sz w:val="16"/>
                <w:szCs w:val="16"/>
              </w:rPr>
              <w:t xml:space="preserve">25.0↓</w:t>
            </w:r>
          </w:p>
        </w:tc>
      </w:tr>
      <w:tr>
        <w:trPr>
          <w:cantSplit/>
          <w:jc w:val="center"/>
        </w:trPr>
        <w:tc>
          <w:tcPr>
            <w:tcW w:w="2480" w:type="dxa"/>
            <w:tcBorders/>
            <w:vAlign w:val="center"/>
          </w:tcPr>
          <w:p>
            <w:pPr>
              <w:pStyle w:val="Normal"/>
              <w:keepNext/>
              <w:spacing w:before="4" w:after="4" w:line="200" w:lineRule="atLeast"/>
              <w:ind w:firstLine="0"/>
              <w:jc w:val="left"/>
            </w:pPr>
            <w:r>
              <w:rPr>
                <w:sz w:val="16"/>
                <w:szCs w:val="16"/>
              </w:rPr>
              <w:t xml:space="preserve">BBSE first</w:t>
            </w:r>
          </w:p>
        </w:tc>
        <w:tc>
          <w:tcPr>
            <w:tcW w:w="494" w:type="dxa"/>
            <w:tcBorders/>
            <w:vAlign w:val="center"/>
          </w:tcPr>
          <w:p>
            <w:pPr>
              <w:pStyle w:val="Normal"/>
              <w:keepNext/>
              <w:spacing w:before="4" w:after="4" w:line="200" w:lineRule="atLeast"/>
              <w:ind w:firstLine="0"/>
              <w:jc w:val="right"/>
            </w:pPr>
            <w:r>
              <w:rPr>
                <w:sz w:val="16"/>
                <w:szCs w:val="16"/>
              </w:rPr>
              <w:t xml:space="preserve">30.5↓</w:t>
            </w:r>
          </w:p>
        </w:tc>
        <w:tc>
          <w:tcPr>
            <w:tcW w:w="494" w:type="dxa"/>
            <w:tcBorders/>
            <w:vAlign w:val="center"/>
          </w:tcPr>
          <w:p>
            <w:pPr>
              <w:pStyle w:val="Normal"/>
              <w:keepNext/>
              <w:spacing w:before="4" w:after="4" w:line="200" w:lineRule="atLeast"/>
              <w:ind w:firstLine="0"/>
              <w:jc w:val="right"/>
            </w:pPr>
            <w:r>
              <w:rPr>
                <w:sz w:val="16"/>
                <w:szCs w:val="16"/>
              </w:rPr>
              <w:t xml:space="preserve">27.7↓</w:t>
            </w:r>
          </w:p>
        </w:tc>
        <w:tc>
          <w:tcPr>
            <w:tcW w:w="600" w:type="dxa"/>
            <w:tcBorders/>
            <w:vAlign w:val="center"/>
          </w:tcPr>
          <w:p>
            <w:pPr>
              <w:pStyle w:val="Normal"/>
              <w:keepNext/>
              <w:spacing w:before="4" w:after="4" w:line="200" w:lineRule="atLeast"/>
              <w:ind w:firstLine="0"/>
              <w:jc w:val="right"/>
            </w:pPr>
            <w:r>
              <w:rPr>
                <w:sz w:val="16"/>
                <w:szCs w:val="16"/>
              </w:rPr>
              <w:t xml:space="preserve">30.5↓</w:t>
            </w:r>
          </w:p>
        </w:tc>
        <w:tc>
          <w:tcPr>
            <w:tcW w:w="600" w:type="dxa"/>
            <w:tcBorders/>
            <w:vAlign w:val="center"/>
          </w:tcPr>
          <w:p>
            <w:pPr>
              <w:pStyle w:val="Normal"/>
              <w:keepNext/>
              <w:spacing w:before="4" w:after="4" w:line="200" w:lineRule="atLeast"/>
              <w:ind w:firstLine="0"/>
              <w:jc w:val="right"/>
            </w:pPr>
            <w:r>
              <w:rPr>
                <w:sz w:val="16"/>
                <w:szCs w:val="16"/>
              </w:rPr>
              <w:t xml:space="preserve">39.2↓</w:t>
            </w:r>
          </w:p>
        </w:tc>
        <w:tc>
          <w:tcPr>
            <w:tcW w:w="494" w:type="dxa"/>
            <w:tcBorders/>
            <w:vAlign w:val="center"/>
          </w:tcPr>
          <w:p>
            <w:pPr>
              <w:pStyle w:val="Normal"/>
              <w:keepNext/>
              <w:spacing w:before="4" w:after="4" w:line="200" w:lineRule="atLeast"/>
              <w:ind w:firstLine="0"/>
              <w:jc w:val="right"/>
            </w:pPr>
            <w:r>
              <w:rPr>
                <w:sz w:val="16"/>
                <w:szCs w:val="16"/>
              </w:rPr>
              <w:t xml:space="preserve">30.5↓</w:t>
            </w:r>
          </w:p>
        </w:tc>
        <w:tc>
          <w:tcPr>
            <w:tcW w:w="494" w:type="dxa"/>
            <w:tcBorders/>
            <w:vAlign w:val="center"/>
          </w:tcPr>
          <w:p>
            <w:pPr>
              <w:pStyle w:val="Normal"/>
              <w:keepNext/>
              <w:spacing w:before="4" w:after="4" w:line="200" w:lineRule="atLeast"/>
              <w:ind w:firstLine="0"/>
              <w:jc w:val="right"/>
            </w:pPr>
            <w:r>
              <w:rPr>
                <w:sz w:val="16"/>
                <w:szCs w:val="16"/>
              </w:rPr>
              <w:t xml:space="preserve">28.1↓</w:t>
            </w:r>
          </w:p>
        </w:tc>
        <w:tc>
          <w:tcPr>
            <w:tcW w:w="600" w:type="dxa"/>
            <w:tcBorders/>
            <w:vAlign w:val="center"/>
          </w:tcPr>
          <w:p>
            <w:pPr>
              <w:pStyle w:val="Normal"/>
              <w:keepNext/>
              <w:spacing w:before="4" w:after="4" w:line="200" w:lineRule="atLeast"/>
              <w:ind w:firstLine="0"/>
              <w:jc w:val="right"/>
            </w:pPr>
            <w:r>
              <w:rPr>
                <w:sz w:val="16"/>
                <w:szCs w:val="16"/>
              </w:rPr>
              <w:t xml:space="preserve">30.6↓</w:t>
            </w:r>
          </w:p>
        </w:tc>
        <w:tc>
          <w:tcPr>
            <w:tcW w:w="600" w:type="dxa"/>
            <w:tcBorders/>
            <w:vAlign w:val="center"/>
          </w:tcPr>
          <w:p>
            <w:pPr>
              <w:pStyle w:val="Normal"/>
              <w:keepNext/>
              <w:spacing w:before="4" w:after="4" w:line="200" w:lineRule="atLeast"/>
              <w:ind w:firstLine="0"/>
              <w:jc w:val="right"/>
            </w:pPr>
            <w:r>
              <w:rPr>
                <w:sz w:val="16"/>
                <w:szCs w:val="16"/>
              </w:rPr>
              <w:t xml:space="preserve">40.3↓</w:t>
            </w:r>
          </w:p>
        </w:tc>
      </w:tr>
      <w:tr>
        <w:trPr>
          <w:cantSplit/>
          <w:jc w:val="center"/>
        </w:trPr>
        <w:tc>
          <w:tcPr>
            <w:tcW w:w="2480" w:type="dxa"/>
            <w:tcBorders/>
            <w:vAlign w:val="center"/>
          </w:tcPr>
          <w:p>
            <w:pPr>
              <w:pStyle w:val="Normal"/>
              <w:keepNext/>
              <w:spacing w:before="4" w:after="4" w:line="200" w:lineRule="atLeast"/>
              <w:ind w:firstLine="0"/>
              <w:jc w:val="left"/>
            </w:pPr>
            <w:r>
              <w:rPr>
                <w:sz w:val="16"/>
                <w:szCs w:val="16"/>
              </w:rPr>
              <w:t xml:space="preserve">Error-rate monitoring</w:t>
            </w:r>
          </w:p>
        </w:tc>
        <w:tc>
          <w:tcPr>
            <w:tcW w:w="494" w:type="dxa"/>
            <w:tcBorders/>
            <w:vAlign w:val="center"/>
          </w:tcPr>
          <w:p>
            <w:pPr>
              <w:pStyle w:val="Normal"/>
              <w:keepNext/>
              <w:spacing w:before="4" w:after="4" w:line="200" w:lineRule="atLeast"/>
              <w:ind w:firstLine="0"/>
              <w:jc w:val="right"/>
            </w:pPr>
            <w:r>
              <w:rPr>
                <w:sz w:val="16"/>
                <w:szCs w:val="16"/>
              </w:rPr>
              <w:t xml:space="preserve">52.3↓</w:t>
            </w:r>
          </w:p>
        </w:tc>
        <w:tc>
          <w:tcPr>
            <w:tcW w:w="494" w:type="dxa"/>
            <w:tcBorders/>
            <w:vAlign w:val="center"/>
          </w:tcPr>
          <w:p>
            <w:pPr>
              <w:pStyle w:val="Normal"/>
              <w:keepNext/>
              <w:spacing w:before="4" w:after="4" w:line="200" w:lineRule="atLeast"/>
              <w:ind w:firstLine="0"/>
              <w:jc w:val="right"/>
            </w:pPr>
            <w:r>
              <w:rPr>
                <w:sz w:val="16"/>
                <w:szCs w:val="16"/>
              </w:rPr>
              <w:t xml:space="preserve">48.5↓</w:t>
            </w:r>
          </w:p>
        </w:tc>
        <w:tc>
          <w:tcPr>
            <w:tcW w:w="600" w:type="dxa"/>
            <w:tcBorders/>
            <w:vAlign w:val="center"/>
          </w:tcPr>
          <w:p>
            <w:pPr>
              <w:pStyle w:val="Normal"/>
              <w:keepNext/>
              <w:spacing w:before="4" w:after="4" w:line="200" w:lineRule="atLeast"/>
              <w:ind w:firstLine="0"/>
              <w:jc w:val="right"/>
            </w:pPr>
            <w:r>
              <w:rPr>
                <w:sz w:val="16"/>
                <w:szCs w:val="16"/>
              </w:rPr>
              <w:t xml:space="preserve">52.2↓</w:t>
            </w:r>
          </w:p>
        </w:tc>
        <w:tc>
          <w:tcPr>
            <w:tcW w:w="600" w:type="dxa"/>
            <w:tcBorders/>
            <w:vAlign w:val="center"/>
          </w:tcPr>
          <w:p>
            <w:pPr>
              <w:pStyle w:val="Normal"/>
              <w:keepNext/>
              <w:spacing w:before="4" w:after="4" w:line="200" w:lineRule="atLeast"/>
              <w:ind w:firstLine="0"/>
              <w:jc w:val="right"/>
            </w:pPr>
            <w:r>
              <w:rPr>
                <w:sz w:val="16"/>
                <w:szCs w:val="16"/>
              </w:rPr>
              <w:t xml:space="preserve">62.8↓</w:t>
            </w:r>
          </w:p>
        </w:tc>
        <w:tc>
          <w:tcPr>
            <w:tcW w:w="494" w:type="dxa"/>
            <w:tcBorders/>
            <w:vAlign w:val="center"/>
          </w:tcPr>
          <w:p>
            <w:pPr>
              <w:pStyle w:val="Normal"/>
              <w:keepNext/>
              <w:spacing w:before="4" w:after="4" w:line="200" w:lineRule="atLeast"/>
              <w:ind w:firstLine="0"/>
              <w:jc w:val="right"/>
            </w:pPr>
            <w:r>
              <w:rPr>
                <w:sz w:val="16"/>
                <w:szCs w:val="16"/>
              </w:rPr>
              <w:t xml:space="preserve">52.5↓</w:t>
            </w:r>
          </w:p>
        </w:tc>
        <w:tc>
          <w:tcPr>
            <w:tcW w:w="494" w:type="dxa"/>
            <w:tcBorders/>
            <w:vAlign w:val="center"/>
          </w:tcPr>
          <w:p>
            <w:pPr>
              <w:pStyle w:val="Normal"/>
              <w:keepNext/>
              <w:spacing w:before="4" w:after="4" w:line="200" w:lineRule="atLeast"/>
              <w:ind w:firstLine="0"/>
              <w:jc w:val="right"/>
            </w:pPr>
            <w:r>
              <w:rPr>
                <w:sz w:val="16"/>
                <w:szCs w:val="16"/>
              </w:rPr>
              <w:t xml:space="preserve">49.6↓</w:t>
            </w:r>
          </w:p>
        </w:tc>
        <w:tc>
          <w:tcPr>
            <w:tcW w:w="600" w:type="dxa"/>
            <w:tcBorders/>
            <w:vAlign w:val="center"/>
          </w:tcPr>
          <w:p>
            <w:pPr>
              <w:pStyle w:val="Normal"/>
              <w:keepNext/>
              <w:spacing w:before="4" w:after="4" w:line="200" w:lineRule="atLeast"/>
              <w:ind w:firstLine="0"/>
              <w:jc w:val="right"/>
            </w:pPr>
            <w:r>
              <w:rPr>
                <w:sz w:val="16"/>
                <w:szCs w:val="16"/>
              </w:rPr>
              <w:t xml:space="preserve">53.1↓</w:t>
            </w:r>
          </w:p>
        </w:tc>
        <w:tc>
          <w:tcPr>
            <w:tcW w:w="600" w:type="dxa"/>
            <w:tcBorders/>
            <w:vAlign w:val="center"/>
          </w:tcPr>
          <w:p>
            <w:pPr>
              <w:pStyle w:val="Normal"/>
              <w:keepNext/>
              <w:spacing w:before="4" w:after="4" w:line="200" w:lineRule="atLeast"/>
              <w:ind w:firstLine="0"/>
              <w:jc w:val="right"/>
            </w:pPr>
            <w:r>
              <w:rPr>
                <w:sz w:val="16"/>
                <w:szCs w:val="16"/>
              </w:rPr>
              <w:t xml:space="preserve">64.8↓</w:t>
            </w:r>
          </w:p>
        </w:tc>
      </w:tr>
      <w:tr>
        <w:trPr>
          <w:cantSplit/>
          <w:jc w:val="center"/>
        </w:trPr>
        <w:tc>
          <w:tcPr>
            <w:tcW w:w="2480" w:type="dxa"/>
            <w:tcBorders/>
            <w:vAlign w:val="center"/>
          </w:tcPr>
          <w:p>
            <w:pPr>
              <w:pStyle w:val="Normal"/>
              <w:keepNext/>
              <w:spacing w:before="4" w:after="4" w:line="200" w:lineRule="atLeast"/>
              <w:ind w:firstLine="0"/>
              <w:jc w:val="left"/>
            </w:pPr>
            <w:r>
              <w:rPr>
                <w:sz w:val="16"/>
                <w:szCs w:val="16"/>
              </w:rPr>
              <w:t xml:space="preserve">Learned meta-classifier</w:t>
            </w:r>
          </w:p>
        </w:tc>
        <w:tc>
          <w:tcPr>
            <w:tcW w:w="494" w:type="dxa"/>
            <w:tcBorders/>
            <w:vAlign w:val="center"/>
          </w:tcPr>
          <w:p>
            <w:pPr>
              <w:pStyle w:val="Normal"/>
              <w:keepNext/>
              <w:spacing w:before="4" w:after="4" w:line="200" w:lineRule="atLeast"/>
              <w:ind w:firstLine="0"/>
              <w:jc w:val="right"/>
            </w:pPr>
            <w:r>
              <w:rPr>
                <w:sz w:val="16"/>
                <w:szCs w:val="16"/>
              </w:rPr>
              <w:t xml:space="preserve">97.5</w:t>
            </w:r>
          </w:p>
        </w:tc>
        <w:tc>
          <w:tcPr>
            <w:tcW w:w="494" w:type="dxa"/>
            <w:tcBorders/>
            <w:vAlign w:val="center"/>
          </w:tcPr>
          <w:p>
            <w:pPr>
              <w:pStyle w:val="Normal"/>
              <w:keepNext/>
              <w:spacing w:before="4" w:after="4" w:line="200" w:lineRule="atLeast"/>
              <w:ind w:firstLine="0"/>
              <w:jc w:val="right"/>
            </w:pPr>
            <w:r>
              <w:rPr>
                <w:sz w:val="16"/>
                <w:szCs w:val="16"/>
              </w:rPr>
              <w:t xml:space="preserve">31.1↓</w:t>
            </w:r>
          </w:p>
        </w:tc>
        <w:tc>
          <w:tcPr>
            <w:tcW w:w="600" w:type="dxa"/>
            <w:tcBorders/>
            <w:vAlign w:val="center"/>
          </w:tcPr>
          <w:p>
            <w:pPr>
              <w:pStyle w:val="Normal"/>
              <w:keepNext/>
              <w:spacing w:before="4" w:after="4" w:line="200" w:lineRule="atLeast"/>
              <w:ind w:firstLine="0"/>
              <w:jc w:val="right"/>
            </w:pPr>
            <w:r>
              <w:rPr>
                <w:sz w:val="16"/>
                <w:szCs w:val="16"/>
              </w:rPr>
              <w:t xml:space="preserve">95.8↑</w:t>
            </w:r>
          </w:p>
        </w:tc>
        <w:tc>
          <w:tcPr>
            <w:tcW w:w="600" w:type="dxa"/>
            <w:tcBorders/>
            <w:vAlign w:val="center"/>
          </w:tcPr>
          <w:p>
            <w:pPr>
              <w:pStyle w:val="Normal"/>
              <w:keepNext/>
              <w:spacing w:before="4" w:after="4" w:line="200" w:lineRule="atLeast"/>
              <w:ind w:firstLine="0"/>
              <w:jc w:val="right"/>
            </w:pPr>
            <w:r>
              <w:rPr>
                <w:sz w:val="16"/>
                <w:szCs w:val="16"/>
              </w:rPr>
              <w:t xml:space="preserve">48.2↓</w:t>
            </w:r>
          </w:p>
        </w:tc>
        <w:tc>
          <w:tcPr>
            <w:tcW w:w="494" w:type="dxa"/>
            <w:tcBorders/>
            <w:vAlign w:val="center"/>
          </w:tcPr>
          <w:p>
            <w:pPr>
              <w:pStyle w:val="Normal"/>
              <w:keepNext/>
              <w:spacing w:before="4" w:after="4" w:line="200" w:lineRule="atLeast"/>
              <w:ind w:firstLine="0"/>
              <w:jc w:val="right"/>
            </w:pPr>
            <w:r>
              <w:rPr>
                <w:sz w:val="16"/>
                <w:szCs w:val="16"/>
              </w:rPr>
              <w:t xml:space="preserve">98.5↑</w:t>
            </w:r>
          </w:p>
        </w:tc>
        <w:tc>
          <w:tcPr>
            <w:tcW w:w="494" w:type="dxa"/>
            <w:tcBorders/>
            <w:vAlign w:val="center"/>
          </w:tcPr>
          <w:p>
            <w:pPr>
              <w:pStyle w:val="Normal"/>
              <w:keepNext/>
              <w:spacing w:before="4" w:after="4" w:line="200" w:lineRule="atLeast"/>
              <w:ind w:firstLine="0"/>
              <w:jc w:val="right"/>
            </w:pPr>
            <w:r>
              <w:rPr>
                <w:sz w:val="16"/>
                <w:szCs w:val="16"/>
              </w:rPr>
              <w:t xml:space="preserve">39.2↓</w:t>
            </w:r>
          </w:p>
        </w:tc>
        <w:tc>
          <w:tcPr>
            <w:tcW w:w="600" w:type="dxa"/>
            <w:tcBorders/>
            <w:vAlign w:val="center"/>
          </w:tcPr>
          <w:p>
            <w:pPr>
              <w:pStyle w:val="Normal"/>
              <w:keepNext/>
              <w:spacing w:before="4" w:after="4" w:line="200" w:lineRule="atLeast"/>
              <w:ind w:firstLine="0"/>
              <w:jc w:val="right"/>
            </w:pPr>
            <w:r>
              <w:rPr>
                <w:sz w:val="16"/>
                <w:szCs w:val="16"/>
              </w:rPr>
              <w:t xml:space="preserve">97.4↑</w:t>
            </w:r>
          </w:p>
        </w:tc>
        <w:tc>
          <w:tcPr>
            <w:tcW w:w="600" w:type="dxa"/>
            <w:tcBorders/>
            <w:vAlign w:val="center"/>
          </w:tcPr>
          <w:p>
            <w:pPr>
              <w:pStyle w:val="Normal"/>
              <w:keepNext/>
              <w:spacing w:before="4" w:after="4" w:line="200" w:lineRule="atLeast"/>
              <w:ind w:firstLine="0"/>
              <w:jc w:val="right"/>
            </w:pPr>
            <w:r>
              <w:rPr>
                <w:sz w:val="16"/>
                <w:szCs w:val="16"/>
              </w:rPr>
              <w:t xml:space="preserve">51.2↓</w:t>
            </w:r>
          </w:p>
        </w:tc>
      </w:tr>
      <w:tr>
        <w:trPr>
          <w:cantSplit/>
          <w:jc w:val="center"/>
        </w:trPr>
        <w:tc>
          <w:tcPr>
            <w:tcW w:w="2480" w:type="dxa"/>
            <w:tcBorders>
              <w:top w:val="single" w:sz="6" w:space="0" w:color="000000"/>
            </w:tcBorders>
            <w:vAlign w:val="center"/>
          </w:tcPr>
          <w:p>
            <w:pPr>
              <w:pStyle w:val="Normal"/>
              <w:keepNext/>
              <w:spacing w:before="4" w:after="4" w:line="200" w:lineRule="atLeast"/>
              <w:ind w:firstLine="0"/>
              <w:jc w:val="left"/>
            </w:pPr>
            <w:r>
              <w:rPr>
                <w:sz w:val="16"/>
                <w:szCs w:val="16"/>
              </w:rPr>
              <w:t xml:space="preserve">Ours without MMD block</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95.2</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62.9</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86.6</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81.3</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95.1</w:t>
            </w:r>
          </w:p>
        </w:tc>
        <w:tc>
          <w:tcPr>
            <w:tcW w:w="49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63.9</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90.5</w:t>
            </w:r>
          </w:p>
        </w:tc>
        <w:tc>
          <w:tcPr>
            <w:tcW w:w="60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81.3</w:t>
            </w:r>
          </w:p>
        </w:tc>
      </w:tr>
      <w:tr>
        <w:trPr>
          <w:cantSplit/>
          <w:jc w:val="center"/>
        </w:trPr>
        <w:tc>
          <w:tcPr>
            <w:tcW w:w="2480" w:type="dxa"/>
            <w:tcBorders/>
            <w:vAlign w:val="center"/>
          </w:tcPr>
          <w:p>
            <w:pPr>
              <w:pStyle w:val="Normal"/>
              <w:keepNext/>
              <w:spacing w:before="4" w:after="4" w:line="200" w:lineRule="atLeast"/>
              <w:ind w:firstLine="0"/>
              <w:jc w:val="left"/>
            </w:pPr>
            <w:r>
              <w:rPr>
                <w:sz w:val="16"/>
                <w:szCs w:val="16"/>
              </w:rPr>
              <w:t xml:space="preserve">Ours, audit null without confidence</w:t>
            </w:r>
          </w:p>
        </w:tc>
        <w:tc>
          <w:tcPr>
            <w:tcW w:w="494" w:type="dxa"/>
            <w:tcBorders/>
            <w:vAlign w:val="center"/>
          </w:tcPr>
          <w:p>
            <w:pPr>
              <w:pStyle w:val="Normal"/>
              <w:keepNext/>
              <w:spacing w:before="4" w:after="4" w:line="200" w:lineRule="atLeast"/>
              <w:ind w:firstLine="0"/>
              <w:jc w:val="right"/>
            </w:pPr>
            <w:r>
              <w:rPr>
                <w:sz w:val="16"/>
                <w:szCs w:val="16"/>
              </w:rPr>
              <w:t xml:space="preserve">79.1↓</w:t>
            </w:r>
          </w:p>
        </w:tc>
        <w:tc>
          <w:tcPr>
            <w:tcW w:w="494" w:type="dxa"/>
            <w:tcBorders/>
            <w:vAlign w:val="center"/>
          </w:tcPr>
          <w:p>
            <w:pPr>
              <w:pStyle w:val="Normal"/>
              <w:keepNext/>
              <w:spacing w:before="4" w:after="4" w:line="200" w:lineRule="atLeast"/>
              <w:ind w:firstLine="0"/>
              <w:jc w:val="right"/>
            </w:pPr>
            <w:r>
              <w:rPr>
                <w:sz w:val="16"/>
                <w:szCs w:val="16"/>
              </w:rPr>
              <w:t xml:space="preserve">62.9</w:t>
            </w:r>
          </w:p>
        </w:tc>
        <w:tc>
          <w:tcPr>
            <w:tcW w:w="600" w:type="dxa"/>
            <w:tcBorders/>
            <w:vAlign w:val="center"/>
          </w:tcPr>
          <w:p>
            <w:pPr>
              <w:pStyle w:val="Normal"/>
              <w:keepNext/>
              <w:spacing w:before="4" w:after="4" w:line="200" w:lineRule="atLeast"/>
              <w:ind w:firstLine="0"/>
              <w:jc w:val="right"/>
            </w:pPr>
            <w:r>
              <w:rPr>
                <w:sz w:val="16"/>
                <w:szCs w:val="16"/>
              </w:rPr>
              <w:t xml:space="preserve">83.7↓</w:t>
            </w:r>
          </w:p>
        </w:tc>
        <w:tc>
          <w:tcPr>
            <w:tcW w:w="600" w:type="dxa"/>
            <w:tcBorders/>
            <w:vAlign w:val="center"/>
          </w:tcPr>
          <w:p>
            <w:pPr>
              <w:pStyle w:val="Normal"/>
              <w:keepNext/>
              <w:spacing w:before="4" w:after="4" w:line="200" w:lineRule="atLeast"/>
              <w:ind w:firstLine="0"/>
              <w:jc w:val="right"/>
            </w:pPr>
            <w:r>
              <w:rPr>
                <w:sz w:val="16"/>
                <w:szCs w:val="16"/>
              </w:rPr>
              <w:t xml:space="preserve">80.7</w:t>
            </w:r>
          </w:p>
        </w:tc>
        <w:tc>
          <w:tcPr>
            <w:tcW w:w="494" w:type="dxa"/>
            <w:tcBorders/>
            <w:vAlign w:val="center"/>
          </w:tcPr>
          <w:p>
            <w:pPr>
              <w:pStyle w:val="Normal"/>
              <w:keepNext/>
              <w:spacing w:before="4" w:after="4" w:line="200" w:lineRule="atLeast"/>
              <w:ind w:firstLine="0"/>
              <w:jc w:val="right"/>
            </w:pPr>
            <w:r>
              <w:rPr>
                <w:sz w:val="16"/>
                <w:szCs w:val="16"/>
              </w:rPr>
              <w:t xml:space="preserve">78.0↓</w:t>
            </w:r>
          </w:p>
        </w:tc>
        <w:tc>
          <w:tcPr>
            <w:tcW w:w="494" w:type="dxa"/>
            <w:tcBorders/>
            <w:vAlign w:val="center"/>
          </w:tcPr>
          <w:p>
            <w:pPr>
              <w:pStyle w:val="Normal"/>
              <w:keepNext/>
              <w:spacing w:before="4" w:after="4" w:line="200" w:lineRule="atLeast"/>
              <w:ind w:firstLine="0"/>
              <w:jc w:val="right"/>
            </w:pPr>
            <w:r>
              <w:rPr>
                <w:sz w:val="16"/>
                <w:szCs w:val="16"/>
              </w:rPr>
              <w:t xml:space="preserve">62.9</w:t>
            </w:r>
          </w:p>
        </w:tc>
        <w:tc>
          <w:tcPr>
            <w:tcW w:w="600" w:type="dxa"/>
            <w:tcBorders/>
            <w:vAlign w:val="center"/>
          </w:tcPr>
          <w:p>
            <w:pPr>
              <w:pStyle w:val="Normal"/>
              <w:keepNext/>
              <w:spacing w:before="4" w:after="4" w:line="200" w:lineRule="atLeast"/>
              <w:ind w:firstLine="0"/>
              <w:jc w:val="right"/>
            </w:pPr>
            <w:r>
              <w:rPr>
                <w:sz w:val="16"/>
                <w:szCs w:val="16"/>
              </w:rPr>
              <w:t xml:space="preserve">85.4↓</w:t>
            </w:r>
          </w:p>
        </w:tc>
        <w:tc>
          <w:tcPr>
            <w:tcW w:w="600" w:type="dxa"/>
            <w:tcBorders/>
            <w:vAlign w:val="center"/>
          </w:tcPr>
          <w:p>
            <w:pPr>
              <w:pStyle w:val="Normal"/>
              <w:keepNext/>
              <w:spacing w:before="4" w:after="4" w:line="200" w:lineRule="atLeast"/>
              <w:ind w:firstLine="0"/>
              <w:jc w:val="right"/>
            </w:pPr>
            <w:r>
              <w:rPr>
                <w:sz w:val="16"/>
                <w:szCs w:val="16"/>
              </w:rPr>
              <w:t xml:space="preserve">82.0</w:t>
            </w:r>
          </w:p>
        </w:tc>
      </w:tr>
      <w:tr>
        <w:trPr>
          <w:cantSplit/>
          <w:jc w:val="center"/>
        </w:trPr>
        <w:tc>
          <w:tcPr>
            <w:tcW w:w="2480" w:type="dxa"/>
            <w:tcBorders>
              <w:bottom w:val="single" w:sz="12" w:space="0" w:color="000000"/>
            </w:tcBorders>
            <w:vAlign w:val="center"/>
          </w:tcPr>
          <w:p>
            <w:pPr>
              <w:pStyle w:val="Normal"/>
              <w:spacing w:before="4" w:after="4" w:line="200" w:lineRule="atLeast"/>
              <w:ind w:firstLine="0"/>
              <w:jc w:val="left"/>
            </w:pPr>
            <w:r>
              <w:rPr>
                <w:sz w:val="16"/>
                <w:szCs w:val="16"/>
              </w:rPr>
              <w:t xml:space="preserve">Ours, audit null with class cells</w:t>
            </w:r>
          </w:p>
        </w:tc>
        <w:tc>
          <w:tcPr>
            <w:tcW w:w="494" w:type="dxa"/>
            <w:tcBorders>
              <w:bottom w:val="single" w:sz="12" w:space="0" w:color="000000"/>
            </w:tcBorders>
            <w:vAlign w:val="center"/>
          </w:tcPr>
          <w:p>
            <w:pPr>
              <w:pStyle w:val="Normal"/>
              <w:spacing w:before="4" w:after="4" w:line="200" w:lineRule="atLeast"/>
              <w:ind w:firstLine="0"/>
              <w:jc w:val="right"/>
            </w:pPr>
            <w:r>
              <w:rPr>
                <w:sz w:val="16"/>
                <w:szCs w:val="16"/>
              </w:rPr>
              <w:t xml:space="preserve">93.1</w:t>
            </w:r>
          </w:p>
        </w:tc>
        <w:tc>
          <w:tcPr>
            <w:tcW w:w="494" w:type="dxa"/>
            <w:tcBorders>
              <w:bottom w:val="single" w:sz="12" w:space="0" w:color="000000"/>
            </w:tcBorders>
            <w:vAlign w:val="center"/>
          </w:tcPr>
          <w:p>
            <w:pPr>
              <w:pStyle w:val="Normal"/>
              <w:spacing w:before="4" w:after="4" w:line="200" w:lineRule="atLeast"/>
              <w:ind w:firstLine="0"/>
              <w:jc w:val="right"/>
            </w:pPr>
            <w:r>
              <w:rPr>
                <w:sz w:val="16"/>
                <w:szCs w:val="16"/>
              </w:rPr>
              <w:t xml:space="preserve">65.6↑</w:t>
            </w:r>
          </w:p>
        </w:tc>
        <w:tc>
          <w:tcPr>
            <w:tcW w:w="600" w:type="dxa"/>
            <w:tcBorders>
              <w:bottom w:val="single" w:sz="12" w:space="0" w:color="000000"/>
            </w:tcBorders>
            <w:vAlign w:val="center"/>
          </w:tcPr>
          <w:p>
            <w:pPr>
              <w:pStyle w:val="Normal"/>
              <w:spacing w:before="4" w:after="4" w:line="200" w:lineRule="atLeast"/>
              <w:ind w:firstLine="0"/>
              <w:jc w:val="right"/>
            </w:pPr>
            <w:r>
              <w:rPr>
                <w:sz w:val="16"/>
                <w:szCs w:val="16"/>
              </w:rPr>
              <w:t xml:space="preserve">86.2</w:t>
            </w:r>
          </w:p>
        </w:tc>
        <w:tc>
          <w:tcPr>
            <w:tcW w:w="600" w:type="dxa"/>
            <w:tcBorders>
              <w:bottom w:val="single" w:sz="12" w:space="0" w:color="000000"/>
            </w:tcBorders>
            <w:vAlign w:val="center"/>
          </w:tcPr>
          <w:p>
            <w:pPr>
              <w:pStyle w:val="Normal"/>
              <w:spacing w:before="4" w:after="4" w:line="200" w:lineRule="atLeast"/>
              <w:ind w:firstLine="0"/>
              <w:jc w:val="right"/>
            </w:pPr>
            <w:r>
              <w:rPr>
                <w:sz w:val="16"/>
                <w:szCs w:val="16"/>
              </w:rPr>
              <w:t xml:space="preserve">91.8↑</w:t>
            </w:r>
          </w:p>
        </w:tc>
        <w:tc>
          <w:tcPr>
            <w:tcW w:w="494" w:type="dxa"/>
            <w:tcBorders>
              <w:bottom w:val="single" w:sz="12" w:space="0" w:color="000000"/>
            </w:tcBorders>
            <w:vAlign w:val="center"/>
          </w:tcPr>
          <w:p>
            <w:pPr>
              <w:pStyle w:val="Normal"/>
              <w:spacing w:before="4" w:after="4" w:line="200" w:lineRule="atLeast"/>
              <w:ind w:firstLine="0"/>
              <w:jc w:val="right"/>
            </w:pPr>
            <w:r>
              <w:rPr>
                <w:sz w:val="16"/>
                <w:szCs w:val="16"/>
              </w:rPr>
              <w:t xml:space="preserve">92.9↓</w:t>
            </w:r>
          </w:p>
        </w:tc>
        <w:tc>
          <w:tcPr>
            <w:tcW w:w="494" w:type="dxa"/>
            <w:tcBorders>
              <w:bottom w:val="single" w:sz="12" w:space="0" w:color="000000"/>
            </w:tcBorders>
            <w:vAlign w:val="center"/>
          </w:tcPr>
          <w:p>
            <w:pPr>
              <w:pStyle w:val="Normal"/>
              <w:spacing w:before="4" w:after="4" w:line="200" w:lineRule="atLeast"/>
              <w:ind w:firstLine="0"/>
              <w:jc w:val="right"/>
            </w:pPr>
            <w:r>
              <w:rPr>
                <w:sz w:val="16"/>
                <w:szCs w:val="16"/>
              </w:rPr>
              <w:t xml:space="preserve">66.5↑</w:t>
            </w:r>
          </w:p>
        </w:tc>
        <w:tc>
          <w:tcPr>
            <w:tcW w:w="600" w:type="dxa"/>
            <w:tcBorders>
              <w:bottom w:val="single" w:sz="12" w:space="0" w:color="000000"/>
            </w:tcBorders>
            <w:vAlign w:val="center"/>
          </w:tcPr>
          <w:p>
            <w:pPr>
              <w:pStyle w:val="Normal"/>
              <w:spacing w:before="4" w:after="4" w:line="200" w:lineRule="atLeast"/>
              <w:ind w:firstLine="0"/>
              <w:jc w:val="right"/>
            </w:pPr>
            <w:r>
              <w:rPr>
                <w:sz w:val="16"/>
                <w:szCs w:val="16"/>
              </w:rPr>
              <w:t xml:space="preserve">90.6</w:t>
            </w:r>
          </w:p>
        </w:tc>
        <w:tc>
          <w:tcPr>
            <w:tcW w:w="600" w:type="dxa"/>
            <w:tcBorders>
              <w:bottom w:val="single" w:sz="12" w:space="0" w:color="000000"/>
            </w:tcBorders>
            <w:vAlign w:val="center"/>
          </w:tcPr>
          <w:p>
            <w:pPr>
              <w:pStyle w:val="Normal"/>
              <w:spacing w:before="4" w:after="4" w:line="200" w:lineRule="atLeast"/>
              <w:ind w:firstLine="0"/>
              <w:jc w:val="right"/>
            </w:pPr>
            <w:r>
              <w:rPr>
                <w:sz w:val="16"/>
                <w:szCs w:val="16"/>
              </w:rPr>
              <w:t xml:space="preserve">93.7↑</w:t>
            </w:r>
          </w:p>
        </w:tc>
      </w:tr>
    </w:tbl>
    <w:p>
      <w:pPr>
        <w:spacing w:after="0" w:line="120" w:lineRule="exact"/>
      </w:pPr>
    </w:p>
    <w:p>
      <w:pPr>
        <w:pStyle w:val="p1a"/>
      </w:pPr>
      <w:r>
        <w:t xml:space="preserve">Inc. and Emp. stand for ACS Income and ACS Employment. A and B are the two designs. An arrow marks a method that differs significantly from ours after Holm correction: a down arrow means that ours is better and an up arrow that ours is worse. The upper block lists the competing methods and the lower block the ablations of our procedure.</w:t>
      </w:r>
    </w:p>
    <w:p>
      <w:pPr>
        <w:pStyle w:val="Normal"/>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Normal"/>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Normal"/>
      </w:pPr>
      <w:r>
        <w:t xml:space="preserve">The overall rates do not show which types get confused with which. Fig. </w:t>
      </w:r>
      <w:r>
        <w:t xml:space="preserve">3</w:t>
      </w:r>
      <w:r>
        <w:t xml:space="preserve"> breaks the results down by type for LR.</w:t>
      </w:r>
    </w:p>
    <w:p>
      <w:pPr>
        <w:pStyle w:val="image"/>
        <w:keepNext/>
      </w:pPr>
      <w:r>
        <w:drawing>
          <wp:inline distT="0" distB="0" distL="0" distR="0">
            <wp:extent cx="2736000" cy="2289533"/>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2736000" cy="2289533"/>
                    </a:xfrm>
                    <a:prstGeom prst="rect">
                      <a:avLst/>
                    </a:prstGeom>
                  </pic:spPr>
                </pic:pic>
              </a:graphicData>
            </a:graphic>
          </wp:inline>
        </w:drawing>
      </w:r>
    </w:p>
    <w:p>
      <w:pPr>
        <w:pStyle w:val="figurecaption"/>
        <w:jc w:val="both"/>
      </w:pPr>
      <w:r>
        <w:rPr>
          <w:b/>
        </w:rPr>
        <w:t xml:space="preserve">Fig. 3.</w:t>
      </w:r>
      <w:r>
        <w:t xml:space="preserve"> </w:t>
      </w:r>
      <w:r>
        <w:t xml:space="preserve">Injected (rows) and diagnosed (columns) drift types on the benchmark with LR, in counts of windows; darker cells hold a larger share of their row.</w:t>
      </w:r>
    </w:p>
    <w:p>
      <w:pPr>
        <w:pStyle w:val="p1a"/>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Normal"/>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5.5</w:t>
      </w:r>
      <w:r>
        <w:t xml:space="preserve">. Replacing the confidence bins by cells of predicted class and confidence helps on ACS Employment design B (91.8% against 80.5%) but costs accuracy on ACS Income design A (93.1%). Switching to it after seeing design B would bias the comparison, so it stays an ablation and a direction for future work.</w:t>
      </w:r>
    </w:p>
    <w:p>
      <w:pPr>
        <w:pStyle w:val="heading2"/>
      </w:pPr>
      <w:r>
        <w:t xml:space="preserve">Held-Out Mechanisms</w:t>
      </w:r>
    </w:p>
    <w:p>
      <w:pPr>
        <w:pStyle w:val="p1a"/>
      </w:pPr>
      <w:r>
        <w:t xml:space="preserve">Design B asks whether the procedure carries over to drift it was not built for. It is the harder of the two tests, since none of its mechanisms shaped any part of the procedure. We look at its five mechanisms in turn.</w:t>
      </w:r>
    </w:p>
    <w:p>
      <w:pPr>
        <w:pStyle w:val="Normal"/>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which no single feature bounds, is still recognized in 95%.</w:t>
      </w:r>
    </w:p>
    <w:p>
      <w:pPr>
        <w:pStyle w:val="Normal"/>
      </w:pPr>
      <w:r>
        <w:t xml:space="preserve">The other two mechanisms are harder. A higher threshold relabels some rows in each window, yet model accuracy hardly moves (mean drop −0.3 points). With almost nothing lost, the audit stops at its first question and reports no drift in 132 of the 150 windows. This is intended, as the procedure looks for drift that costs accuracy and this drift costs almost none. Class-conditional label noise is recognized in only 21% of ACS Income windows, for two reasons. At low flip rates the loss of accuracy is too small to show up in 600 labels. At high rates the errors follow the true class, which is itself correlated with the features, so the error structure test reads the pattern as concept drift. A null model built on confidence alone cannot separate the two, a true limitation.</w:t>
      </w:r>
    </w:p>
    <w:p>
      <w:pPr>
        <w:pStyle w:val="Normal"/>
      </w:pPr>
      <w:r>
        <w:t xml:space="preserve">Results on ACS Employment and with GB point the same way (Table </w:t>
      </w:r>
      <w:r>
        <w:t xml:space="preserve">3</w:t>
      </w:r>
      <w:r>
        <w:t xml:space="preserve">). The ranking of the methods survives the switch of model family, as expected for tests that see only the outputs of the model and its errors.</w:t>
      </w:r>
    </w:p>
    <w:p>
      <w:pPr>
        <w:pStyle w:val="heading2"/>
      </w:pPr>
      <w:r>
        <w:t xml:space="preserve">Size of the Delayed Audit</w:t>
      </w:r>
    </w:p>
    <w:p>
      <w:pPr>
        <w:pStyle w:val="p1a"/>
      </w:pPr>
      <w:r>
        <w:t xml:space="preserve">The audit stage of Section </w:t>
      </w:r>
      <w:r>
        <w:t xml:space="preserve">3.3</w:t>
      </w:r>
      <w:r>
        <w:t xml:space="preserve"> needs late labels. Labels cost money, so it matters how many are enough. To find out, we varied the size of the audit on ACS Income design A with LR, where the rest of the paper uses 600 labels. With 200 labels, concept drift is identified in 80% of windows and label noise in 79%. With 600 labels the two rates reach 95% and 87%. Going on to 1,000 labels adds little (96% and 82%). The 600 labels used in this paper therefore sit where more labels stop paying off. The control windows are diagnosed correctly in the same share of cases at every audit size.</w:t>
      </w:r>
    </w:p>
    <w:p>
      <w:pPr>
        <w:pStyle w:val="heading2"/>
      </w:pPr>
      <w:r>
        <w:t xml:space="preserve">Detection and Accuracy Estimation</w:t>
      </w:r>
    </w:p>
    <w:p>
      <w:pPr>
        <w:pStyle w:val="p1a"/>
      </w:pPr>
      <w:r>
        <w:t xml:space="preserve">The diagnosis rests on the detectors and on the accuracy estimate, so we also check both on the benchmark. On the 200 control windows of design A the 95% confidence interval (CI) of every detector’s false alarm rate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w:t>
      </w:r>
    </w:p>
    <w:p>
      <w:pPr>
        <w:pStyle w:val="Normal"/>
      </w:pPr>
      <w:r>
        <w:t xml:space="preserve">The four accuracy estimates are compared by their mean absolute error against the measured accuracy.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heading2"/>
      </w:pPr>
      <w:r>
        <w:t xml:space="preserve">Real Drift</w:t>
      </w:r>
    </w:p>
    <w:p>
      <w:pPr>
        <w:pStyle w:val="p1a"/>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image"/>
        <w:keepNext/>
      </w:pPr>
      <w:r>
        <w:drawing>
          <wp:inline distT="0" distB="0" distL="0" distR="0">
            <wp:extent cx="3168000" cy="2418893"/>
            <wp:docPr id="4" name="Figure 4" descr="Fig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5.png"/>
                    <pic:cNvPicPr/>
                  </pic:nvPicPr>
                  <pic:blipFill>
                    <a:blip r:embed="rIdI4"/>
                    <a:stretch>
                      <a:fillRect/>
                    </a:stretch>
                  </pic:blipFill>
                  <pic:spPr>
                    <a:xfrm>
                      <a:off x="0" y="0"/>
                      <a:ext cx="3168000" cy="2418893"/>
                    </a:xfrm>
                    <a:prstGeom prst="rect">
                      <a:avLst/>
                    </a:prstGeom>
                  </pic:spPr>
                </pic:pic>
              </a:graphicData>
            </a:graphic>
          </wp:inline>
        </w:drawing>
      </w:r>
    </w:p>
    <w:p>
      <w:pPr>
        <w:pStyle w:val="figurecaption"/>
      </w:pPr>
      <w:r>
        <w:rPr>
          <w:b/>
        </w:rPr>
        <w:t xml:space="preserve">Fig. 4.</w:t>
      </w:r>
      <w:r>
        <w:t xml:space="preserve"> </w:t>
      </w:r>
      <w:r>
        <w:t xml:space="preserve">Measured accuracy of both models and the label-free CBPE estimate on the temporal windows.</w:t>
      </w:r>
    </w:p>
    <w:p>
      <w:pPr>
        <w:pStyle w:val="p1a"/>
      </w:pPr>
      <w:r>
        <w:t xml:space="preserve">C marks the control window. The numbers mark years (ACS), batches (gas sensor) or buckets (CLEAR-10). The gap in the ACS lines is the missing 2020 release.</w:t>
      </w:r>
    </w:p>
    <w:p>
      <w:pPr>
        <w:pStyle w:val="Normal"/>
      </w:pPr>
      <w:r>
        <w:t xml:space="preserve">Across the four datasets, no real window was named prior shift, concept drift or label noise. Most of the documented causes act on the inputs, from new codes and a redesigned question to aging sensors, so covariate verdicts are what one would expect.</w:t>
      </w:r>
    </w:p>
    <w:p>
      <w:pPr>
        <w:pStyle w:val="Normal"/>
      </w:pPr>
      <w:r>
        <w:t xml:space="preserve">ACS Income shows the clearest trend, so we start there. Its accuracy falls over time for both models, with LR going from 0.824 in 2015 to 0.749 in 2023, while the CBPE estimate falls far less. Table </w:t>
      </w:r>
      <w:r>
        <w:t xml:space="preserve">4</w:t>
      </w:r>
      <w:r>
        <w:t xml:space="preserve"> lists the details behind the ACS Income panel of Fig. </w:t>
      </w:r>
      <w:r>
        <w:t xml:space="preserve">4</w:t>
      </w:r>
      <w:r>
        <w:t xml:space="preserve">.</w:t>
      </w:r>
    </w:p>
    <w:p>
      <w:pPr>
        <w:pStyle w:val="tablecaption"/>
        <w:jc w:val="both"/>
      </w:pPr>
      <w:r>
        <w:rPr>
          <w:b/>
        </w:rPr>
        <w:t xml:space="preserve">Table 4.</w:t>
      </w:r>
      <w:r>
        <w:t xml:space="preserve"> </w:t>
      </w:r>
      <w:r>
        <w:t xml:space="preserve">Detection and diagnosis on the ACS Income windows. The alarms are those of the LR model; Conf. is the confidence test and DC the domain classifier.</w:t>
      </w:r>
    </w:p>
    <w:tbl>
      <w:tblPr>
        <w:tblW w:w="0" w:type="auto"/>
        <w:jc w:val="center"/>
        <w:tblLayout w:type="fixed"/>
        <w:tblCellMar>
          <w:left w:w="40" w:type="dxa"/>
          <w:right w:w="40" w:type="dxa"/>
        </w:tblCellMar>
        <w:tblLook w:val="0000" w:firstRow="0" w:lastRow="0" w:firstColumn="0" w:lastColumn="0" w:noHBand="0" w:noVBand="0"/>
      </w:tblPr>
      <w:tblGrid>
        <w:gridCol w:w="720"/>
        <w:gridCol w:w="460"/>
        <w:gridCol w:w="403"/>
        <w:gridCol w:w="423"/>
        <w:gridCol w:w="604"/>
        <w:gridCol w:w="292"/>
        <w:gridCol w:w="504"/>
        <w:gridCol w:w="460"/>
        <w:gridCol w:w="523"/>
        <w:gridCol w:w="312"/>
        <w:gridCol w:w="1128"/>
        <w:gridCol w:w="392"/>
        <w:gridCol w:w="392"/>
      </w:tblGrid>
      <w:tr>
        <w:trPr>
          <w:cantSplit/>
          <w:tblHeader/>
          <w:jc w:val="center"/>
        </w:trPr>
        <w:tc>
          <w:tcPr>
            <w:tcW w:w="720" w:type="dxa"/>
            <w:tcBorders>
              <w:top w:val="single" w:sz="12" w:space="0" w:color="000000"/>
            </w:tcBorders>
            <w:vAlign w:val="center"/>
          </w:tcPr>
          <w:p>
            <w:pPr>
              <w:pStyle w:val="Normal"/>
              <w:keepNext/>
              <w:spacing w:before="4" w:after="4" w:line="200" w:lineRule="atLeast"/>
              <w:ind w:firstLine="0"/>
              <w:jc w:val="left"/>
            </w:pPr>
          </w:p>
        </w:tc>
        <w:tc>
          <w:tcPr>
            <w:tcW w:w="1890" w:type="dxa"/>
            <w:gridSpan w:val="4"/>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Accuracy</w:t>
            </w:r>
          </w:p>
        </w:tc>
        <w:tc>
          <w:tcPr>
            <w:tcW w:w="2091" w:type="dxa"/>
            <w:gridSpan w:val="5"/>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Alarms (LR)</w:t>
            </w:r>
          </w:p>
        </w:tc>
        <w:tc>
          <w:tcPr>
            <w:tcW w:w="1128" w:type="dxa"/>
            <w:tcBorders>
              <w:top w:val="single" w:sz="12" w:space="0" w:color="000000"/>
            </w:tcBorders>
            <w:vAlign w:val="center"/>
          </w:tcPr>
          <w:p>
            <w:pPr>
              <w:pStyle w:val="Normal"/>
              <w:keepNext/>
              <w:spacing w:before="4" w:after="4" w:line="200" w:lineRule="atLeast"/>
              <w:ind w:firstLine="0"/>
              <w:jc w:val="left"/>
            </w:pPr>
          </w:p>
        </w:tc>
        <w:tc>
          <w:tcPr>
            <w:tcW w:w="784" w:type="dxa"/>
            <w:gridSpan w:val="2"/>
            <w:tcBorders>
              <w:top w:val="single" w:sz="12" w:space="0" w:color="000000"/>
              <w:bottom w:val="single" w:sz="6" w:space="0" w:color="000000"/>
            </w:tcBorders>
            <w:vAlign w:val="center"/>
          </w:tcPr>
          <w:p>
            <w:pPr>
              <w:pStyle w:val="Normal"/>
              <w:keepNext/>
              <w:spacing w:before="4" w:after="4" w:line="200" w:lineRule="atLeast"/>
              <w:ind w:firstLine="0"/>
              <w:jc w:val="center"/>
            </w:pPr>
            <w:r>
              <w:rPr>
                <w:sz w:val="16"/>
                <w:szCs w:val="16"/>
              </w:rPr>
              <w:t xml:space="preserve">Type</w:t>
            </w:r>
          </w:p>
        </w:tc>
      </w:tr>
      <w:tr>
        <w:trPr>
          <w:cantSplit/>
          <w:tblHeader/>
          <w:jc w:val="center"/>
        </w:trPr>
        <w:tc>
          <w:tcPr>
            <w:tcW w:w="720" w:type="dxa"/>
            <w:tcBorders/>
            <w:vAlign w:val="center"/>
          </w:tcPr>
          <w:p>
            <w:pPr>
              <w:pStyle w:val="Normal"/>
              <w:keepNext/>
              <w:spacing w:before="4" w:after="4" w:line="200" w:lineRule="atLeast"/>
              <w:ind w:firstLine="0"/>
              <w:jc w:val="left"/>
            </w:pPr>
            <w:r>
              <w:rPr>
                <w:sz w:val="16"/>
                <w:szCs w:val="16"/>
              </w:rPr>
              <w:t xml:space="preserve">Window</w:t>
            </w:r>
          </w:p>
        </w:tc>
        <w:tc>
          <w:tcPr>
            <w:tcW w:w="460" w:type="dxa"/>
            <w:tcBorders/>
            <w:vAlign w:val="center"/>
          </w:tcPr>
          <w:p>
            <w:pPr>
              <w:pStyle w:val="Normal"/>
              <w:keepNext/>
              <w:spacing w:before="4" w:after="4" w:line="200" w:lineRule="atLeast"/>
              <w:ind w:firstLine="0"/>
              <w:jc w:val="right"/>
            </w:pPr>
            <w:r>
              <w:rPr>
                <w:sz w:val="16"/>
                <w:szCs w:val="16"/>
              </w:rPr>
              <w:t xml:space="preserve">LR</w:t>
            </w:r>
          </w:p>
        </w:tc>
        <w:tc>
          <w:tcPr>
            <w:tcW w:w="403" w:type="dxa"/>
            <w:tcBorders/>
            <w:vAlign w:val="center"/>
          </w:tcPr>
          <w:p>
            <w:pPr>
              <w:pStyle w:val="Normal"/>
              <w:keepNext/>
              <w:spacing w:before="4" w:after="4" w:line="200" w:lineRule="atLeast"/>
              <w:ind w:firstLine="0"/>
              <w:jc w:val="right"/>
            </w:pPr>
            <w:r>
              <w:rPr>
                <w:sz w:val="16"/>
                <w:szCs w:val="16"/>
              </w:rPr>
              <w:t xml:space="preserve">ΔLR</w:t>
            </w:r>
          </w:p>
        </w:tc>
        <w:tc>
          <w:tcPr>
            <w:tcW w:w="423" w:type="dxa"/>
            <w:tcBorders/>
            <w:vAlign w:val="center"/>
          </w:tcPr>
          <w:p>
            <w:pPr>
              <w:pStyle w:val="Normal"/>
              <w:keepNext/>
              <w:spacing w:before="4" w:after="4" w:line="200" w:lineRule="atLeast"/>
              <w:ind w:firstLine="0"/>
              <w:jc w:val="right"/>
            </w:pPr>
            <w:r>
              <w:rPr>
                <w:sz w:val="16"/>
                <w:szCs w:val="16"/>
              </w:rPr>
              <w:t xml:space="preserve">ΔGB</w:t>
            </w:r>
          </w:p>
        </w:tc>
        <w:tc>
          <w:tcPr>
            <w:tcW w:w="604" w:type="dxa"/>
            <w:tcBorders/>
            <w:vAlign w:val="center"/>
          </w:tcPr>
          <w:p>
            <w:pPr>
              <w:pStyle w:val="Normal"/>
              <w:keepNext/>
              <w:spacing w:before="4" w:after="4" w:line="200" w:lineRule="atLeast"/>
              <w:ind w:firstLine="0"/>
              <w:jc w:val="right"/>
            </w:pPr>
            <w:r>
              <w:rPr>
                <w:sz w:val="16"/>
                <w:szCs w:val="16"/>
              </w:rPr>
              <w:t xml:space="preserve">Est. err.</w:t>
            </w:r>
          </w:p>
        </w:tc>
        <w:tc>
          <w:tcPr>
            <w:tcW w:w="292" w:type="dxa"/>
            <w:tcBorders/>
            <w:vAlign w:val="center"/>
          </w:tcPr>
          <w:p>
            <w:pPr>
              <w:pStyle w:val="Normal"/>
              <w:keepNext/>
              <w:spacing w:before="4" w:after="4" w:line="200" w:lineRule="atLeast"/>
              <w:ind w:firstLine="0"/>
              <w:jc w:val="center"/>
            </w:pPr>
            <w:r>
              <w:rPr>
                <w:sz w:val="16"/>
                <w:szCs w:val="16"/>
              </w:rPr>
              <w:t xml:space="preserve">KS</w:t>
            </w:r>
          </w:p>
        </w:tc>
        <w:tc>
          <w:tcPr>
            <w:tcW w:w="504" w:type="dxa"/>
            <w:tcBorders/>
            <w:vAlign w:val="center"/>
          </w:tcPr>
          <w:p>
            <w:pPr>
              <w:pStyle w:val="Normal"/>
              <w:keepNext/>
              <w:spacing w:before="4" w:after="4" w:line="200" w:lineRule="atLeast"/>
              <w:ind w:firstLine="0"/>
              <w:jc w:val="center"/>
            </w:pPr>
            <w:r>
              <w:rPr>
                <w:sz w:val="16"/>
                <w:szCs w:val="16"/>
              </w:rPr>
              <w:t xml:space="preserve">MMD</w:t>
            </w:r>
          </w:p>
        </w:tc>
        <w:tc>
          <w:tcPr>
            <w:tcW w:w="460" w:type="dxa"/>
            <w:tcBorders/>
            <w:vAlign w:val="center"/>
          </w:tcPr>
          <w:p>
            <w:pPr>
              <w:pStyle w:val="Normal"/>
              <w:keepNext/>
              <w:spacing w:before="4" w:after="4" w:line="200" w:lineRule="atLeast"/>
              <w:ind w:firstLine="0"/>
              <w:jc w:val="center"/>
            </w:pPr>
            <w:r>
              <w:rPr>
                <w:sz w:val="16"/>
                <w:szCs w:val="16"/>
              </w:rPr>
              <w:t xml:space="preserve">Conf.</w:t>
            </w:r>
          </w:p>
        </w:tc>
        <w:tc>
          <w:tcPr>
            <w:tcW w:w="523" w:type="dxa"/>
            <w:tcBorders/>
            <w:vAlign w:val="center"/>
          </w:tcPr>
          <w:p>
            <w:pPr>
              <w:pStyle w:val="Normal"/>
              <w:keepNext/>
              <w:spacing w:before="4" w:after="4" w:line="200" w:lineRule="atLeast"/>
              <w:ind w:firstLine="0"/>
              <w:jc w:val="center"/>
            </w:pPr>
            <w:r>
              <w:rPr>
                <w:sz w:val="16"/>
                <w:szCs w:val="16"/>
              </w:rPr>
              <w:t xml:space="preserve">BBSD</w:t>
            </w:r>
          </w:p>
        </w:tc>
        <w:tc>
          <w:tcPr>
            <w:tcW w:w="312" w:type="dxa"/>
            <w:tcBorders/>
            <w:vAlign w:val="center"/>
          </w:tcPr>
          <w:p>
            <w:pPr>
              <w:pStyle w:val="Normal"/>
              <w:keepNext/>
              <w:spacing w:before="4" w:after="4" w:line="200" w:lineRule="atLeast"/>
              <w:ind w:firstLine="0"/>
              <w:jc w:val="center"/>
            </w:pPr>
            <w:r>
              <w:rPr>
                <w:sz w:val="16"/>
                <w:szCs w:val="16"/>
              </w:rPr>
              <w:t xml:space="preserve">DC</w:t>
            </w:r>
          </w:p>
        </w:tc>
        <w:tc>
          <w:tcPr>
            <w:tcW w:w="1128" w:type="dxa"/>
            <w:tcBorders/>
            <w:vAlign w:val="center"/>
          </w:tcPr>
          <w:p>
            <w:pPr>
              <w:pStyle w:val="Normal"/>
              <w:keepNext/>
              <w:spacing w:before="4" w:after="4" w:line="200" w:lineRule="atLeast"/>
              <w:ind w:firstLine="0"/>
              <w:jc w:val="left"/>
            </w:pPr>
            <w:r>
              <w:rPr>
                <w:sz w:val="16"/>
                <w:szCs w:val="16"/>
              </w:rPr>
              <w:t xml:space="preserve">Top shifts</w:t>
            </w:r>
          </w:p>
        </w:tc>
        <w:tc>
          <w:tcPr>
            <w:tcW w:w="392" w:type="dxa"/>
            <w:tcBorders/>
            <w:vAlign w:val="center"/>
          </w:tcPr>
          <w:p>
            <w:pPr>
              <w:pStyle w:val="Normal"/>
              <w:keepNext/>
              <w:spacing w:before="4" w:after="4" w:line="200" w:lineRule="atLeast"/>
              <w:ind w:firstLine="0"/>
              <w:jc w:val="left"/>
            </w:pPr>
            <w:r>
              <w:rPr>
                <w:sz w:val="16"/>
                <w:szCs w:val="16"/>
              </w:rPr>
              <w:t xml:space="preserve">LR</w:t>
            </w:r>
          </w:p>
        </w:tc>
        <w:tc>
          <w:tcPr>
            <w:tcW w:w="392" w:type="dxa"/>
            <w:tcBorders/>
            <w:vAlign w:val="center"/>
          </w:tcPr>
          <w:p>
            <w:pPr>
              <w:pStyle w:val="Normal"/>
              <w:keepNext/>
              <w:spacing w:before="4" w:after="4" w:line="200" w:lineRule="atLeast"/>
              <w:ind w:firstLine="0"/>
              <w:jc w:val="left"/>
            </w:pPr>
            <w:r>
              <w:rPr>
                <w:sz w:val="16"/>
                <w:szCs w:val="16"/>
              </w:rPr>
              <w:t xml:space="preserve">GB</w:t>
            </w:r>
          </w:p>
        </w:tc>
      </w:tr>
      <w:tr>
        <w:trPr>
          <w:cantSplit/>
          <w:jc w:val="center"/>
        </w:trPr>
        <w:tc>
          <w:tcPr>
            <w:tcW w:w="720" w:type="dxa"/>
            <w:tcBorders>
              <w:top w:val="single" w:sz="6" w:space="0" w:color="000000"/>
            </w:tcBorders>
            <w:vAlign w:val="center"/>
          </w:tcPr>
          <w:p>
            <w:pPr>
              <w:pStyle w:val="Normal"/>
              <w:keepNext/>
              <w:spacing w:before="4" w:after="4" w:line="200" w:lineRule="atLeast"/>
              <w:ind w:firstLine="0"/>
              <w:jc w:val="left"/>
            </w:pPr>
            <w:r>
              <w:rPr>
                <w:sz w:val="16"/>
                <w:szCs w:val="16"/>
              </w:rPr>
              <w:t xml:space="preserve">Control</w:t>
            </w:r>
          </w:p>
        </w:tc>
        <w:tc>
          <w:tcPr>
            <w:tcW w:w="460"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0.826</w:t>
            </w:r>
          </w:p>
        </w:tc>
        <w:tc>
          <w:tcPr>
            <w:tcW w:w="403"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0.0</w:t>
            </w:r>
          </w:p>
        </w:tc>
        <w:tc>
          <w:tcPr>
            <w:tcW w:w="423"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0.0</w:t>
            </w:r>
          </w:p>
        </w:tc>
        <w:tc>
          <w:tcPr>
            <w:tcW w:w="604" w:type="dxa"/>
            <w:tcBorders>
              <w:top w:val="single" w:sz="6" w:space="0" w:color="000000"/>
            </w:tcBorders>
            <w:vAlign w:val="center"/>
          </w:tcPr>
          <w:p>
            <w:pPr>
              <w:pStyle w:val="Normal"/>
              <w:keepNext/>
              <w:spacing w:before="4" w:after="4" w:line="200" w:lineRule="atLeast"/>
              <w:ind w:firstLine="0"/>
              <w:jc w:val="right"/>
            </w:pPr>
            <w:r>
              <w:rPr>
                <w:sz w:val="16"/>
                <w:szCs w:val="16"/>
              </w:rPr>
              <w:t xml:space="preserve">0.0</w:t>
            </w:r>
          </w:p>
        </w:tc>
        <w:tc>
          <w:tcPr>
            <w:tcW w:w="292"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504"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460"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523"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312" w:type="dxa"/>
            <w:tcBorders>
              <w:top w:val="single" w:sz="6" w:space="0" w:color="000000"/>
            </w:tcBorders>
            <w:vAlign w:val="center"/>
          </w:tcPr>
          <w:p>
            <w:pPr>
              <w:pStyle w:val="Normal"/>
              <w:keepNext/>
              <w:spacing w:before="4" w:after="4" w:line="200" w:lineRule="atLeast"/>
              <w:ind w:firstLine="0"/>
              <w:jc w:val="center"/>
            </w:pPr>
            <w:r>
              <w:rPr>
                <w:sz w:val="16"/>
                <w:szCs w:val="16"/>
              </w:rPr>
              <w:t xml:space="preserve">–</w:t>
            </w:r>
          </w:p>
        </w:tc>
        <w:tc>
          <w:tcPr>
            <w:tcW w:w="1128" w:type="dxa"/>
            <w:tcBorders>
              <w:top w:val="single" w:sz="6" w:space="0" w:color="000000"/>
            </w:tcBorders>
            <w:vAlign w:val="center"/>
          </w:tcPr>
          <w:p>
            <w:pPr>
              <w:pStyle w:val="Normal"/>
              <w:keepNext/>
              <w:spacing w:before="4" w:after="4" w:line="200" w:lineRule="atLeast"/>
              <w:ind w:firstLine="0"/>
              <w:jc w:val="left"/>
            </w:pPr>
            <w:r>
              <w:rPr>
                <w:sz w:val="16"/>
                <w:szCs w:val="16"/>
              </w:rPr>
              <w:t xml:space="preserve">–</w:t>
            </w:r>
          </w:p>
        </w:tc>
        <w:tc>
          <w:tcPr>
            <w:tcW w:w="392" w:type="dxa"/>
            <w:tcBorders>
              <w:top w:val="single" w:sz="6" w:space="0" w:color="000000"/>
            </w:tcBorders>
            <w:vAlign w:val="center"/>
          </w:tcPr>
          <w:p>
            <w:pPr>
              <w:pStyle w:val="Normal"/>
              <w:keepNext/>
              <w:spacing w:before="4" w:after="4" w:line="200" w:lineRule="atLeast"/>
              <w:ind w:firstLine="0"/>
              <w:jc w:val="left"/>
            </w:pPr>
            <w:r>
              <w:rPr>
                <w:sz w:val="16"/>
                <w:szCs w:val="16"/>
              </w:rPr>
              <w:t xml:space="preserve">–</w:t>
            </w:r>
          </w:p>
        </w:tc>
        <w:tc>
          <w:tcPr>
            <w:tcW w:w="392" w:type="dxa"/>
            <w:tcBorders>
              <w:top w:val="single" w:sz="6" w:space="0" w:color="000000"/>
            </w:tcBorders>
            <w:vAlign w:val="center"/>
          </w:tcPr>
          <w:p>
            <w:pPr>
              <w:pStyle w:val="Normal"/>
              <w:keepNext/>
              <w:spacing w:before="4" w:after="4" w:line="200" w:lineRule="atLeast"/>
              <w:ind w:firstLine="0"/>
              <w:jc w:val="left"/>
            </w:pPr>
            <w:r>
              <w:rPr>
                <w:sz w:val="16"/>
                <w:szCs w:val="16"/>
              </w:rPr>
              <w:t xml:space="preserve">–</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2015</w:t>
            </w:r>
          </w:p>
        </w:tc>
        <w:tc>
          <w:tcPr>
            <w:tcW w:w="460" w:type="dxa"/>
            <w:tcBorders/>
            <w:vAlign w:val="center"/>
          </w:tcPr>
          <w:p>
            <w:pPr>
              <w:pStyle w:val="Normal"/>
              <w:keepNext/>
              <w:spacing w:before="4" w:after="4" w:line="200" w:lineRule="atLeast"/>
              <w:ind w:firstLine="0"/>
              <w:jc w:val="right"/>
            </w:pPr>
            <w:r>
              <w:rPr>
                <w:sz w:val="16"/>
                <w:szCs w:val="16"/>
              </w:rPr>
              <w:t xml:space="preserve">0.824</w:t>
            </w:r>
          </w:p>
        </w:tc>
        <w:tc>
          <w:tcPr>
            <w:tcW w:w="403" w:type="dxa"/>
            <w:tcBorders/>
            <w:vAlign w:val="center"/>
          </w:tcPr>
          <w:p>
            <w:pPr>
              <w:pStyle w:val="Normal"/>
              <w:keepNext/>
              <w:spacing w:before="4" w:after="4" w:line="200" w:lineRule="atLeast"/>
              <w:ind w:firstLine="0"/>
              <w:jc w:val="right"/>
            </w:pPr>
            <w:r>
              <w:rPr>
                <w:sz w:val="16"/>
                <w:szCs w:val="16"/>
              </w:rPr>
              <w:t xml:space="preserve">−0.2</w:t>
            </w:r>
          </w:p>
        </w:tc>
        <w:tc>
          <w:tcPr>
            <w:tcW w:w="423" w:type="dxa"/>
            <w:tcBorders/>
            <w:vAlign w:val="center"/>
          </w:tcPr>
          <w:p>
            <w:pPr>
              <w:pStyle w:val="Normal"/>
              <w:keepNext/>
              <w:spacing w:before="4" w:after="4" w:line="200" w:lineRule="atLeast"/>
              <w:ind w:firstLine="0"/>
              <w:jc w:val="right"/>
            </w:pPr>
            <w:r>
              <w:rPr>
                <w:sz w:val="16"/>
                <w:szCs w:val="16"/>
              </w:rPr>
              <w:t xml:space="preserve">−0.2</w:t>
            </w:r>
          </w:p>
        </w:tc>
        <w:tc>
          <w:tcPr>
            <w:tcW w:w="604" w:type="dxa"/>
            <w:tcBorders/>
            <w:vAlign w:val="center"/>
          </w:tcPr>
          <w:p>
            <w:pPr>
              <w:pStyle w:val="Normal"/>
              <w:keepNext/>
              <w:spacing w:before="4" w:after="4" w:line="200" w:lineRule="atLeast"/>
              <w:ind w:firstLine="0"/>
              <w:jc w:val="right"/>
            </w:pPr>
            <w:r>
              <w:rPr>
                <w:sz w:val="16"/>
                <w:szCs w:val="16"/>
              </w:rPr>
              <w:t xml:space="preserve">+0.3</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w:t>
            </w:r>
          </w:p>
        </w:tc>
        <w:tc>
          <w:tcPr>
            <w:tcW w:w="392" w:type="dxa"/>
            <w:tcBorders/>
            <w:vAlign w:val="center"/>
          </w:tcPr>
          <w:p>
            <w:pPr>
              <w:pStyle w:val="Normal"/>
              <w:keepNext/>
              <w:spacing w:before="4" w:after="4" w:line="200" w:lineRule="atLeast"/>
              <w:ind w:firstLine="0"/>
              <w:jc w:val="left"/>
            </w:pPr>
            <w:r>
              <w:rPr>
                <w:sz w:val="16"/>
                <w:szCs w:val="16"/>
              </w:rPr>
              <w:t xml:space="preserve">–</w:t>
            </w:r>
          </w:p>
        </w:tc>
        <w:tc>
          <w:tcPr>
            <w:tcW w:w="392" w:type="dxa"/>
            <w:tcBorders/>
            <w:vAlign w:val="center"/>
          </w:tcPr>
          <w:p>
            <w:pPr>
              <w:pStyle w:val="Normal"/>
              <w:keepNext/>
              <w:spacing w:before="4" w:after="4" w:line="200" w:lineRule="atLeast"/>
              <w:ind w:firstLine="0"/>
              <w:jc w:val="left"/>
            </w:pPr>
            <w:r>
              <w:rPr>
                <w:sz w:val="16"/>
                <w:szCs w:val="16"/>
              </w:rPr>
              <w:t xml:space="preserve">–</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2016</w:t>
            </w:r>
          </w:p>
        </w:tc>
        <w:tc>
          <w:tcPr>
            <w:tcW w:w="460" w:type="dxa"/>
            <w:tcBorders/>
            <w:vAlign w:val="center"/>
          </w:tcPr>
          <w:p>
            <w:pPr>
              <w:pStyle w:val="Normal"/>
              <w:keepNext/>
              <w:spacing w:before="4" w:after="4" w:line="200" w:lineRule="atLeast"/>
              <w:ind w:firstLine="0"/>
              <w:jc w:val="right"/>
            </w:pPr>
            <w:r>
              <w:rPr>
                <w:sz w:val="16"/>
                <w:szCs w:val="16"/>
              </w:rPr>
              <w:t xml:space="preserve">0.821</w:t>
            </w:r>
          </w:p>
        </w:tc>
        <w:tc>
          <w:tcPr>
            <w:tcW w:w="403" w:type="dxa"/>
            <w:tcBorders/>
            <w:vAlign w:val="center"/>
          </w:tcPr>
          <w:p>
            <w:pPr>
              <w:pStyle w:val="Normal"/>
              <w:keepNext/>
              <w:spacing w:before="4" w:after="4" w:line="200" w:lineRule="atLeast"/>
              <w:ind w:firstLine="0"/>
              <w:jc w:val="right"/>
            </w:pPr>
            <w:r>
              <w:rPr>
                <w:sz w:val="16"/>
                <w:szCs w:val="16"/>
              </w:rPr>
              <w:t xml:space="preserve">−0.5</w:t>
            </w:r>
          </w:p>
        </w:tc>
        <w:tc>
          <w:tcPr>
            <w:tcW w:w="423" w:type="dxa"/>
            <w:tcBorders/>
            <w:vAlign w:val="center"/>
          </w:tcPr>
          <w:p>
            <w:pPr>
              <w:pStyle w:val="Normal"/>
              <w:keepNext/>
              <w:spacing w:before="4" w:after="4" w:line="200" w:lineRule="atLeast"/>
              <w:ind w:firstLine="0"/>
              <w:jc w:val="right"/>
            </w:pPr>
            <w:r>
              <w:rPr>
                <w:sz w:val="16"/>
                <w:szCs w:val="16"/>
              </w:rPr>
              <w:t xml:space="preserve">−0.5</w:t>
            </w:r>
          </w:p>
        </w:tc>
        <w:tc>
          <w:tcPr>
            <w:tcW w:w="604" w:type="dxa"/>
            <w:tcBorders/>
            <w:vAlign w:val="center"/>
          </w:tcPr>
          <w:p>
            <w:pPr>
              <w:pStyle w:val="Normal"/>
              <w:keepNext/>
              <w:spacing w:before="4" w:after="4" w:line="200" w:lineRule="atLeast"/>
              <w:ind w:firstLine="0"/>
              <w:jc w:val="right"/>
            </w:pPr>
            <w:r>
              <w:rPr>
                <w:sz w:val="16"/>
                <w:szCs w:val="16"/>
              </w:rPr>
              <w:t xml:space="preserve">+0.6</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POBP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2017</w:t>
            </w:r>
          </w:p>
        </w:tc>
        <w:tc>
          <w:tcPr>
            <w:tcW w:w="460" w:type="dxa"/>
            <w:tcBorders/>
            <w:vAlign w:val="center"/>
          </w:tcPr>
          <w:p>
            <w:pPr>
              <w:pStyle w:val="Normal"/>
              <w:keepNext/>
              <w:spacing w:before="4" w:after="4" w:line="200" w:lineRule="atLeast"/>
              <w:ind w:firstLine="0"/>
              <w:jc w:val="right"/>
            </w:pPr>
            <w:r>
              <w:rPr>
                <w:sz w:val="16"/>
                <w:szCs w:val="16"/>
              </w:rPr>
              <w:t xml:space="preserve">0.817</w:t>
            </w:r>
          </w:p>
        </w:tc>
        <w:tc>
          <w:tcPr>
            <w:tcW w:w="403" w:type="dxa"/>
            <w:tcBorders/>
            <w:vAlign w:val="center"/>
          </w:tcPr>
          <w:p>
            <w:pPr>
              <w:pStyle w:val="Normal"/>
              <w:keepNext/>
              <w:spacing w:before="4" w:after="4" w:line="200" w:lineRule="atLeast"/>
              <w:ind w:firstLine="0"/>
              <w:jc w:val="right"/>
            </w:pPr>
            <w:r>
              <w:rPr>
                <w:sz w:val="16"/>
                <w:szCs w:val="16"/>
              </w:rPr>
              <w:t xml:space="preserve">−0.9</w:t>
            </w:r>
          </w:p>
        </w:tc>
        <w:tc>
          <w:tcPr>
            <w:tcW w:w="423" w:type="dxa"/>
            <w:tcBorders/>
            <w:vAlign w:val="center"/>
          </w:tcPr>
          <w:p>
            <w:pPr>
              <w:pStyle w:val="Normal"/>
              <w:keepNext/>
              <w:spacing w:before="4" w:after="4" w:line="200" w:lineRule="atLeast"/>
              <w:ind w:firstLine="0"/>
              <w:jc w:val="right"/>
            </w:pPr>
            <w:r>
              <w:rPr>
                <w:sz w:val="16"/>
                <w:szCs w:val="16"/>
              </w:rPr>
              <w:t xml:space="preserve">−0.9</w:t>
            </w:r>
          </w:p>
        </w:tc>
        <w:tc>
          <w:tcPr>
            <w:tcW w:w="604" w:type="dxa"/>
            <w:tcBorders/>
            <w:vAlign w:val="center"/>
          </w:tcPr>
          <w:p>
            <w:pPr>
              <w:pStyle w:val="Normal"/>
              <w:keepNext/>
              <w:spacing w:before="4" w:after="4" w:line="200" w:lineRule="atLeast"/>
              <w:ind w:firstLine="0"/>
              <w:jc w:val="right"/>
            </w:pPr>
            <w:r>
              <w:rPr>
                <w:sz w:val="16"/>
                <w:szCs w:val="16"/>
              </w:rPr>
              <w:t xml:space="preserve">+0.7</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POBP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2018</w:t>
            </w:r>
          </w:p>
        </w:tc>
        <w:tc>
          <w:tcPr>
            <w:tcW w:w="460" w:type="dxa"/>
            <w:tcBorders/>
            <w:vAlign w:val="center"/>
          </w:tcPr>
          <w:p>
            <w:pPr>
              <w:pStyle w:val="Normal"/>
              <w:keepNext/>
              <w:spacing w:before="4" w:after="4" w:line="200" w:lineRule="atLeast"/>
              <w:ind w:firstLine="0"/>
              <w:jc w:val="right"/>
            </w:pPr>
            <w:r>
              <w:rPr>
                <w:sz w:val="16"/>
                <w:szCs w:val="16"/>
              </w:rPr>
              <w:t xml:space="preserve">0.795</w:t>
            </w:r>
          </w:p>
        </w:tc>
        <w:tc>
          <w:tcPr>
            <w:tcW w:w="403" w:type="dxa"/>
            <w:tcBorders/>
            <w:vAlign w:val="center"/>
          </w:tcPr>
          <w:p>
            <w:pPr>
              <w:pStyle w:val="Normal"/>
              <w:keepNext/>
              <w:spacing w:before="4" w:after="4" w:line="200" w:lineRule="atLeast"/>
              <w:ind w:firstLine="0"/>
              <w:jc w:val="right"/>
            </w:pPr>
            <w:r>
              <w:rPr>
                <w:sz w:val="16"/>
                <w:szCs w:val="16"/>
              </w:rPr>
              <w:t xml:space="preserve">−3.2</w:t>
            </w:r>
          </w:p>
        </w:tc>
        <w:tc>
          <w:tcPr>
            <w:tcW w:w="423" w:type="dxa"/>
            <w:tcBorders/>
            <w:vAlign w:val="center"/>
          </w:tcPr>
          <w:p>
            <w:pPr>
              <w:pStyle w:val="Normal"/>
              <w:keepNext/>
              <w:spacing w:before="4" w:after="4" w:line="200" w:lineRule="atLeast"/>
              <w:ind w:firstLine="0"/>
              <w:jc w:val="right"/>
            </w:pPr>
            <w:r>
              <w:rPr>
                <w:sz w:val="16"/>
                <w:szCs w:val="16"/>
              </w:rPr>
              <w:t xml:space="preserve">−2.2</w:t>
            </w:r>
          </w:p>
        </w:tc>
        <w:tc>
          <w:tcPr>
            <w:tcW w:w="604" w:type="dxa"/>
            <w:tcBorders/>
            <w:vAlign w:val="center"/>
          </w:tcPr>
          <w:p>
            <w:pPr>
              <w:pStyle w:val="Normal"/>
              <w:keepNext/>
              <w:spacing w:before="4" w:after="4" w:line="200" w:lineRule="atLeast"/>
              <w:ind w:firstLine="0"/>
              <w:jc w:val="right"/>
            </w:pPr>
            <w:r>
              <w:rPr>
                <w:sz w:val="16"/>
                <w:szCs w:val="16"/>
              </w:rPr>
              <w:t xml:space="preserve">+1.2</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POBP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2019</w:t>
            </w:r>
          </w:p>
        </w:tc>
        <w:tc>
          <w:tcPr>
            <w:tcW w:w="460" w:type="dxa"/>
            <w:tcBorders/>
            <w:vAlign w:val="center"/>
          </w:tcPr>
          <w:p>
            <w:pPr>
              <w:pStyle w:val="Normal"/>
              <w:keepNext/>
              <w:spacing w:before="4" w:after="4" w:line="200" w:lineRule="atLeast"/>
              <w:ind w:firstLine="0"/>
              <w:jc w:val="right"/>
            </w:pPr>
            <w:r>
              <w:rPr>
                <w:sz w:val="16"/>
                <w:szCs w:val="16"/>
              </w:rPr>
              <w:t xml:space="preserve">0.784</w:t>
            </w:r>
          </w:p>
        </w:tc>
        <w:tc>
          <w:tcPr>
            <w:tcW w:w="403" w:type="dxa"/>
            <w:tcBorders/>
            <w:vAlign w:val="center"/>
          </w:tcPr>
          <w:p>
            <w:pPr>
              <w:pStyle w:val="Normal"/>
              <w:keepNext/>
              <w:spacing w:before="4" w:after="4" w:line="200" w:lineRule="atLeast"/>
              <w:ind w:firstLine="0"/>
              <w:jc w:val="right"/>
            </w:pPr>
            <w:r>
              <w:rPr>
                <w:sz w:val="16"/>
                <w:szCs w:val="16"/>
              </w:rPr>
              <w:t xml:space="preserve">−4.2</w:t>
            </w:r>
          </w:p>
        </w:tc>
        <w:tc>
          <w:tcPr>
            <w:tcW w:w="423" w:type="dxa"/>
            <w:tcBorders/>
            <w:vAlign w:val="center"/>
          </w:tcPr>
          <w:p>
            <w:pPr>
              <w:pStyle w:val="Normal"/>
              <w:keepNext/>
              <w:spacing w:before="4" w:after="4" w:line="200" w:lineRule="atLeast"/>
              <w:ind w:firstLine="0"/>
              <w:jc w:val="right"/>
            </w:pPr>
            <w:r>
              <w:rPr>
                <w:sz w:val="16"/>
                <w:szCs w:val="16"/>
              </w:rPr>
              <w:t xml:space="preserve">−3.0</w:t>
            </w:r>
          </w:p>
        </w:tc>
        <w:tc>
          <w:tcPr>
            <w:tcW w:w="604" w:type="dxa"/>
            <w:tcBorders/>
            <w:vAlign w:val="center"/>
          </w:tcPr>
          <w:p>
            <w:pPr>
              <w:pStyle w:val="Normal"/>
              <w:keepNext/>
              <w:spacing w:before="4" w:after="4" w:line="200" w:lineRule="atLeast"/>
              <w:ind w:firstLine="0"/>
              <w:jc w:val="right"/>
            </w:pPr>
            <w:r>
              <w:rPr>
                <w:sz w:val="16"/>
                <w:szCs w:val="16"/>
              </w:rPr>
              <w:t xml:space="preserve">+2.0</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RELP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2021</w:t>
            </w:r>
          </w:p>
        </w:tc>
        <w:tc>
          <w:tcPr>
            <w:tcW w:w="460" w:type="dxa"/>
            <w:tcBorders/>
            <w:vAlign w:val="center"/>
          </w:tcPr>
          <w:p>
            <w:pPr>
              <w:pStyle w:val="Normal"/>
              <w:keepNext/>
              <w:spacing w:before="4" w:after="4" w:line="200" w:lineRule="atLeast"/>
              <w:ind w:firstLine="0"/>
              <w:jc w:val="right"/>
            </w:pPr>
            <w:r>
              <w:rPr>
                <w:sz w:val="16"/>
                <w:szCs w:val="16"/>
              </w:rPr>
              <w:t xml:space="preserve">0.770</w:t>
            </w:r>
          </w:p>
        </w:tc>
        <w:tc>
          <w:tcPr>
            <w:tcW w:w="403" w:type="dxa"/>
            <w:tcBorders/>
            <w:vAlign w:val="center"/>
          </w:tcPr>
          <w:p>
            <w:pPr>
              <w:pStyle w:val="Normal"/>
              <w:keepNext/>
              <w:spacing w:before="4" w:after="4" w:line="200" w:lineRule="atLeast"/>
              <w:ind w:firstLine="0"/>
              <w:jc w:val="right"/>
            </w:pPr>
            <w:r>
              <w:rPr>
                <w:sz w:val="16"/>
                <w:szCs w:val="16"/>
              </w:rPr>
              <w:t xml:space="preserve">−5.6</w:t>
            </w:r>
          </w:p>
        </w:tc>
        <w:tc>
          <w:tcPr>
            <w:tcW w:w="423" w:type="dxa"/>
            <w:tcBorders/>
            <w:vAlign w:val="center"/>
          </w:tcPr>
          <w:p>
            <w:pPr>
              <w:pStyle w:val="Normal"/>
              <w:keepNext/>
              <w:spacing w:before="4" w:after="4" w:line="200" w:lineRule="atLeast"/>
              <w:ind w:firstLine="0"/>
              <w:jc w:val="right"/>
            </w:pPr>
            <w:r>
              <w:rPr>
                <w:sz w:val="16"/>
                <w:szCs w:val="16"/>
              </w:rPr>
              <w:t xml:space="preserve">−4.4</w:t>
            </w:r>
          </w:p>
        </w:tc>
        <w:tc>
          <w:tcPr>
            <w:tcW w:w="604" w:type="dxa"/>
            <w:tcBorders/>
            <w:vAlign w:val="center"/>
          </w:tcPr>
          <w:p>
            <w:pPr>
              <w:pStyle w:val="Normal"/>
              <w:keepNext/>
              <w:spacing w:before="4" w:after="4" w:line="200" w:lineRule="atLeast"/>
              <w:ind w:firstLine="0"/>
              <w:jc w:val="right"/>
            </w:pPr>
            <w:r>
              <w:rPr>
                <w:sz w:val="16"/>
                <w:szCs w:val="16"/>
              </w:rPr>
              <w:t xml:space="preserve">+3.6</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2022</w:t>
            </w:r>
          </w:p>
        </w:tc>
        <w:tc>
          <w:tcPr>
            <w:tcW w:w="460" w:type="dxa"/>
            <w:tcBorders/>
            <w:vAlign w:val="center"/>
          </w:tcPr>
          <w:p>
            <w:pPr>
              <w:pStyle w:val="Normal"/>
              <w:keepNext/>
              <w:spacing w:before="4" w:after="4" w:line="200" w:lineRule="atLeast"/>
              <w:ind w:firstLine="0"/>
              <w:jc w:val="right"/>
            </w:pPr>
            <w:r>
              <w:rPr>
                <w:sz w:val="16"/>
                <w:szCs w:val="16"/>
              </w:rPr>
              <w:t xml:space="preserve">0.760</w:t>
            </w:r>
          </w:p>
        </w:tc>
        <w:tc>
          <w:tcPr>
            <w:tcW w:w="403" w:type="dxa"/>
            <w:tcBorders/>
            <w:vAlign w:val="center"/>
          </w:tcPr>
          <w:p>
            <w:pPr>
              <w:pStyle w:val="Normal"/>
              <w:keepNext/>
              <w:spacing w:before="4" w:after="4" w:line="200" w:lineRule="atLeast"/>
              <w:ind w:firstLine="0"/>
              <w:jc w:val="right"/>
            </w:pPr>
            <w:r>
              <w:rPr>
                <w:sz w:val="16"/>
                <w:szCs w:val="16"/>
              </w:rPr>
              <w:t xml:space="preserve">−6.6</w:t>
            </w:r>
          </w:p>
        </w:tc>
        <w:tc>
          <w:tcPr>
            <w:tcW w:w="423" w:type="dxa"/>
            <w:tcBorders/>
            <w:vAlign w:val="center"/>
          </w:tcPr>
          <w:p>
            <w:pPr>
              <w:pStyle w:val="Normal"/>
              <w:keepNext/>
              <w:spacing w:before="4" w:after="4" w:line="200" w:lineRule="atLeast"/>
              <w:ind w:firstLine="0"/>
              <w:jc w:val="right"/>
            </w:pPr>
            <w:r>
              <w:rPr>
                <w:sz w:val="16"/>
                <w:szCs w:val="16"/>
              </w:rPr>
              <w:t xml:space="preserve">−5.1</w:t>
            </w:r>
          </w:p>
        </w:tc>
        <w:tc>
          <w:tcPr>
            <w:tcW w:w="604" w:type="dxa"/>
            <w:tcBorders/>
            <w:vAlign w:val="center"/>
          </w:tcPr>
          <w:p>
            <w:pPr>
              <w:pStyle w:val="Normal"/>
              <w:keepNext/>
              <w:spacing w:before="4" w:after="4" w:line="200" w:lineRule="atLeast"/>
              <w:ind w:firstLine="0"/>
              <w:jc w:val="right"/>
            </w:pPr>
            <w:r>
              <w:rPr>
                <w:sz w:val="16"/>
                <w:szCs w:val="16"/>
              </w:rPr>
              <w:t xml:space="preserve">+4.6</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CA 2023</w:t>
            </w:r>
          </w:p>
        </w:tc>
        <w:tc>
          <w:tcPr>
            <w:tcW w:w="460" w:type="dxa"/>
            <w:tcBorders/>
            <w:vAlign w:val="center"/>
          </w:tcPr>
          <w:p>
            <w:pPr>
              <w:pStyle w:val="Normal"/>
              <w:keepNext/>
              <w:spacing w:before="4" w:after="4" w:line="200" w:lineRule="atLeast"/>
              <w:ind w:firstLine="0"/>
              <w:jc w:val="right"/>
            </w:pPr>
            <w:r>
              <w:rPr>
                <w:sz w:val="16"/>
                <w:szCs w:val="16"/>
              </w:rPr>
              <w:t xml:space="preserve">0.749</w:t>
            </w:r>
          </w:p>
        </w:tc>
        <w:tc>
          <w:tcPr>
            <w:tcW w:w="403" w:type="dxa"/>
            <w:tcBorders/>
            <w:vAlign w:val="center"/>
          </w:tcPr>
          <w:p>
            <w:pPr>
              <w:pStyle w:val="Normal"/>
              <w:keepNext/>
              <w:spacing w:before="4" w:after="4" w:line="200" w:lineRule="atLeast"/>
              <w:ind w:firstLine="0"/>
              <w:jc w:val="right"/>
            </w:pPr>
            <w:r>
              <w:rPr>
                <w:sz w:val="16"/>
                <w:szCs w:val="16"/>
              </w:rPr>
              <w:t xml:space="preserve">−7.7</w:t>
            </w:r>
          </w:p>
        </w:tc>
        <w:tc>
          <w:tcPr>
            <w:tcW w:w="423" w:type="dxa"/>
            <w:tcBorders/>
            <w:vAlign w:val="center"/>
          </w:tcPr>
          <w:p>
            <w:pPr>
              <w:pStyle w:val="Normal"/>
              <w:keepNext/>
              <w:spacing w:before="4" w:after="4" w:line="200" w:lineRule="atLeast"/>
              <w:ind w:firstLine="0"/>
              <w:jc w:val="right"/>
            </w:pPr>
            <w:r>
              <w:rPr>
                <w:sz w:val="16"/>
                <w:szCs w:val="16"/>
              </w:rPr>
              <w:t xml:space="preserve">−6.1</w:t>
            </w:r>
          </w:p>
        </w:tc>
        <w:tc>
          <w:tcPr>
            <w:tcW w:w="604" w:type="dxa"/>
            <w:tcBorders/>
            <w:vAlign w:val="center"/>
          </w:tcPr>
          <w:p>
            <w:pPr>
              <w:pStyle w:val="Normal"/>
              <w:keepNext/>
              <w:spacing w:before="4" w:after="4" w:line="200" w:lineRule="atLeast"/>
              <w:ind w:firstLine="0"/>
              <w:jc w:val="right"/>
            </w:pPr>
            <w:r>
              <w:rPr>
                <w:sz w:val="16"/>
                <w:szCs w:val="16"/>
              </w:rPr>
              <w:t xml:space="preserve">+5.7</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OCCP,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TX 2014</w:t>
            </w:r>
          </w:p>
        </w:tc>
        <w:tc>
          <w:tcPr>
            <w:tcW w:w="460" w:type="dxa"/>
            <w:tcBorders/>
            <w:vAlign w:val="center"/>
          </w:tcPr>
          <w:p>
            <w:pPr>
              <w:pStyle w:val="Normal"/>
              <w:keepNext/>
              <w:spacing w:before="4" w:after="4" w:line="200" w:lineRule="atLeast"/>
              <w:ind w:firstLine="0"/>
              <w:jc w:val="right"/>
            </w:pPr>
            <w:r>
              <w:rPr>
                <w:sz w:val="16"/>
                <w:szCs w:val="16"/>
              </w:rPr>
              <w:t xml:space="preserve">0.802</w:t>
            </w:r>
          </w:p>
        </w:tc>
        <w:tc>
          <w:tcPr>
            <w:tcW w:w="403" w:type="dxa"/>
            <w:tcBorders/>
            <w:vAlign w:val="center"/>
          </w:tcPr>
          <w:p>
            <w:pPr>
              <w:pStyle w:val="Normal"/>
              <w:keepNext/>
              <w:spacing w:before="4" w:after="4" w:line="200" w:lineRule="atLeast"/>
              <w:ind w:firstLine="0"/>
              <w:jc w:val="right"/>
            </w:pPr>
            <w:r>
              <w:rPr>
                <w:sz w:val="16"/>
                <w:szCs w:val="16"/>
              </w:rPr>
              <w:t xml:space="preserve">−2.4</w:t>
            </w:r>
          </w:p>
        </w:tc>
        <w:tc>
          <w:tcPr>
            <w:tcW w:w="423" w:type="dxa"/>
            <w:tcBorders/>
            <w:vAlign w:val="center"/>
          </w:tcPr>
          <w:p>
            <w:pPr>
              <w:pStyle w:val="Normal"/>
              <w:keepNext/>
              <w:spacing w:before="4" w:after="4" w:line="200" w:lineRule="atLeast"/>
              <w:ind w:firstLine="0"/>
              <w:jc w:val="right"/>
            </w:pPr>
            <w:r>
              <w:rPr>
                <w:sz w:val="16"/>
                <w:szCs w:val="16"/>
              </w:rPr>
              <w:t xml:space="preserve">−2.7</w:t>
            </w:r>
          </w:p>
        </w:tc>
        <w:tc>
          <w:tcPr>
            <w:tcW w:w="604" w:type="dxa"/>
            <w:tcBorders/>
            <w:vAlign w:val="center"/>
          </w:tcPr>
          <w:p>
            <w:pPr>
              <w:pStyle w:val="Normal"/>
              <w:keepNext/>
              <w:spacing w:before="4" w:after="4" w:line="200" w:lineRule="atLeast"/>
              <w:ind w:firstLine="0"/>
              <w:jc w:val="right"/>
            </w:pPr>
            <w:r>
              <w:rPr>
                <w:sz w:val="16"/>
                <w:szCs w:val="16"/>
              </w:rPr>
              <w:t xml:space="preserve">+1.1</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POBP,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NY 2014</w:t>
            </w:r>
          </w:p>
        </w:tc>
        <w:tc>
          <w:tcPr>
            <w:tcW w:w="460" w:type="dxa"/>
            <w:tcBorders/>
            <w:vAlign w:val="center"/>
          </w:tcPr>
          <w:p>
            <w:pPr>
              <w:pStyle w:val="Normal"/>
              <w:keepNext/>
              <w:spacing w:before="4" w:after="4" w:line="200" w:lineRule="atLeast"/>
              <w:ind w:firstLine="0"/>
              <w:jc w:val="right"/>
            </w:pPr>
            <w:r>
              <w:rPr>
                <w:sz w:val="16"/>
                <w:szCs w:val="16"/>
              </w:rPr>
              <w:t xml:space="preserve">0.804</w:t>
            </w:r>
          </w:p>
        </w:tc>
        <w:tc>
          <w:tcPr>
            <w:tcW w:w="403" w:type="dxa"/>
            <w:tcBorders/>
            <w:vAlign w:val="center"/>
          </w:tcPr>
          <w:p>
            <w:pPr>
              <w:pStyle w:val="Normal"/>
              <w:keepNext/>
              <w:spacing w:before="4" w:after="4" w:line="200" w:lineRule="atLeast"/>
              <w:ind w:firstLine="0"/>
              <w:jc w:val="right"/>
            </w:pPr>
            <w:r>
              <w:rPr>
                <w:sz w:val="16"/>
                <w:szCs w:val="16"/>
              </w:rPr>
              <w:t xml:space="preserve">−2.2</w:t>
            </w:r>
          </w:p>
        </w:tc>
        <w:tc>
          <w:tcPr>
            <w:tcW w:w="423" w:type="dxa"/>
            <w:tcBorders/>
            <w:vAlign w:val="center"/>
          </w:tcPr>
          <w:p>
            <w:pPr>
              <w:pStyle w:val="Normal"/>
              <w:keepNext/>
              <w:spacing w:before="4" w:after="4" w:line="200" w:lineRule="atLeast"/>
              <w:ind w:firstLine="0"/>
              <w:jc w:val="right"/>
            </w:pPr>
            <w:r>
              <w:rPr>
                <w:sz w:val="16"/>
                <w:szCs w:val="16"/>
              </w:rPr>
              <w:t xml:space="preserve">−2.7</w:t>
            </w:r>
          </w:p>
        </w:tc>
        <w:tc>
          <w:tcPr>
            <w:tcW w:w="604" w:type="dxa"/>
            <w:tcBorders/>
            <w:vAlign w:val="center"/>
          </w:tcPr>
          <w:p>
            <w:pPr>
              <w:pStyle w:val="Normal"/>
              <w:keepNext/>
              <w:spacing w:before="4" w:after="4" w:line="200" w:lineRule="atLeast"/>
              <w:ind w:firstLine="0"/>
              <w:jc w:val="right"/>
            </w:pPr>
            <w:r>
              <w:rPr>
                <w:sz w:val="16"/>
                <w:szCs w:val="16"/>
              </w:rPr>
              <w:t xml:space="preserve">+0.8</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POBP,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vAlign w:val="center"/>
          </w:tcPr>
          <w:p>
            <w:pPr>
              <w:pStyle w:val="Normal"/>
              <w:keepNext/>
              <w:spacing w:before="4" w:after="4" w:line="200" w:lineRule="atLeast"/>
              <w:ind w:firstLine="0"/>
              <w:jc w:val="left"/>
            </w:pPr>
            <w:r>
              <w:rPr>
                <w:sz w:val="16"/>
                <w:szCs w:val="16"/>
              </w:rPr>
              <w:t xml:space="preserve">FL 2014</w:t>
            </w:r>
          </w:p>
        </w:tc>
        <w:tc>
          <w:tcPr>
            <w:tcW w:w="460" w:type="dxa"/>
            <w:tcBorders/>
            <w:vAlign w:val="center"/>
          </w:tcPr>
          <w:p>
            <w:pPr>
              <w:pStyle w:val="Normal"/>
              <w:keepNext/>
              <w:spacing w:before="4" w:after="4" w:line="200" w:lineRule="atLeast"/>
              <w:ind w:firstLine="0"/>
              <w:jc w:val="right"/>
            </w:pPr>
            <w:r>
              <w:rPr>
                <w:sz w:val="16"/>
                <w:szCs w:val="16"/>
              </w:rPr>
              <w:t xml:space="preserve">0.786</w:t>
            </w:r>
          </w:p>
        </w:tc>
        <w:tc>
          <w:tcPr>
            <w:tcW w:w="403" w:type="dxa"/>
            <w:tcBorders/>
            <w:vAlign w:val="center"/>
          </w:tcPr>
          <w:p>
            <w:pPr>
              <w:pStyle w:val="Normal"/>
              <w:keepNext/>
              <w:spacing w:before="4" w:after="4" w:line="200" w:lineRule="atLeast"/>
              <w:ind w:firstLine="0"/>
              <w:jc w:val="right"/>
            </w:pPr>
            <w:r>
              <w:rPr>
                <w:sz w:val="16"/>
                <w:szCs w:val="16"/>
              </w:rPr>
              <w:t xml:space="preserve">−4.0</w:t>
            </w:r>
          </w:p>
        </w:tc>
        <w:tc>
          <w:tcPr>
            <w:tcW w:w="423" w:type="dxa"/>
            <w:tcBorders/>
            <w:vAlign w:val="center"/>
          </w:tcPr>
          <w:p>
            <w:pPr>
              <w:pStyle w:val="Normal"/>
              <w:keepNext/>
              <w:spacing w:before="4" w:after="4" w:line="200" w:lineRule="atLeast"/>
              <w:ind w:firstLine="0"/>
              <w:jc w:val="right"/>
            </w:pPr>
            <w:r>
              <w:rPr>
                <w:sz w:val="16"/>
                <w:szCs w:val="16"/>
              </w:rPr>
              <w:t xml:space="preserve">−4.3</w:t>
            </w:r>
          </w:p>
        </w:tc>
        <w:tc>
          <w:tcPr>
            <w:tcW w:w="604" w:type="dxa"/>
            <w:tcBorders/>
            <w:vAlign w:val="center"/>
          </w:tcPr>
          <w:p>
            <w:pPr>
              <w:pStyle w:val="Normal"/>
              <w:keepNext/>
              <w:spacing w:before="4" w:after="4" w:line="200" w:lineRule="atLeast"/>
              <w:ind w:firstLine="0"/>
              <w:jc w:val="right"/>
            </w:pPr>
            <w:r>
              <w:rPr>
                <w:sz w:val="16"/>
                <w:szCs w:val="16"/>
              </w:rPr>
              <w:t xml:space="preserve">+2.2</w:t>
            </w:r>
          </w:p>
        </w:tc>
        <w:tc>
          <w:tcPr>
            <w:tcW w:w="292" w:type="dxa"/>
            <w:tcBorders/>
            <w:vAlign w:val="center"/>
          </w:tcPr>
          <w:p>
            <w:pPr>
              <w:pStyle w:val="Normal"/>
              <w:keepNext/>
              <w:spacing w:before="4" w:after="4" w:line="200" w:lineRule="atLeast"/>
              <w:ind w:firstLine="0"/>
              <w:jc w:val="center"/>
            </w:pPr>
            <w:r>
              <w:rPr>
                <w:sz w:val="16"/>
                <w:szCs w:val="16"/>
              </w:rPr>
              <w:t xml:space="preserve">✓</w:t>
            </w:r>
          </w:p>
        </w:tc>
        <w:tc>
          <w:tcPr>
            <w:tcW w:w="504" w:type="dxa"/>
            <w:tcBorders/>
            <w:vAlign w:val="center"/>
          </w:tcPr>
          <w:p>
            <w:pPr>
              <w:pStyle w:val="Normal"/>
              <w:keepNext/>
              <w:spacing w:before="4" w:after="4" w:line="200" w:lineRule="atLeast"/>
              <w:ind w:firstLine="0"/>
              <w:jc w:val="center"/>
            </w:pPr>
            <w:r>
              <w:rPr>
                <w:sz w:val="16"/>
                <w:szCs w:val="16"/>
              </w:rPr>
              <w:t xml:space="preserve">✓</w:t>
            </w:r>
          </w:p>
        </w:tc>
        <w:tc>
          <w:tcPr>
            <w:tcW w:w="460" w:type="dxa"/>
            <w:tcBorders/>
            <w:vAlign w:val="center"/>
          </w:tcPr>
          <w:p>
            <w:pPr>
              <w:pStyle w:val="Normal"/>
              <w:keepNext/>
              <w:spacing w:before="4" w:after="4" w:line="200" w:lineRule="atLeast"/>
              <w:ind w:firstLine="0"/>
              <w:jc w:val="center"/>
            </w:pPr>
            <w:r>
              <w:rPr>
                <w:sz w:val="16"/>
                <w:szCs w:val="16"/>
              </w:rPr>
              <w:t xml:space="preserve">✓</w:t>
            </w:r>
          </w:p>
        </w:tc>
        <w:tc>
          <w:tcPr>
            <w:tcW w:w="523" w:type="dxa"/>
            <w:tcBorders/>
            <w:vAlign w:val="center"/>
          </w:tcPr>
          <w:p>
            <w:pPr>
              <w:pStyle w:val="Normal"/>
              <w:keepNext/>
              <w:spacing w:before="4" w:after="4" w:line="200" w:lineRule="atLeast"/>
              <w:ind w:firstLine="0"/>
              <w:jc w:val="center"/>
            </w:pPr>
            <w:r>
              <w:rPr>
                <w:sz w:val="16"/>
                <w:szCs w:val="16"/>
              </w:rPr>
              <w:t xml:space="preserve">✓</w:t>
            </w:r>
          </w:p>
        </w:tc>
        <w:tc>
          <w:tcPr>
            <w:tcW w:w="312" w:type="dxa"/>
            <w:tcBorders/>
            <w:vAlign w:val="center"/>
          </w:tcPr>
          <w:p>
            <w:pPr>
              <w:pStyle w:val="Normal"/>
              <w:keepNext/>
              <w:spacing w:before="4" w:after="4" w:line="200" w:lineRule="atLeast"/>
              <w:ind w:firstLine="0"/>
              <w:jc w:val="center"/>
            </w:pPr>
            <w:r>
              <w:rPr>
                <w:sz w:val="16"/>
                <w:szCs w:val="16"/>
              </w:rPr>
              <w:t xml:space="preserve">✓</w:t>
            </w:r>
          </w:p>
        </w:tc>
        <w:tc>
          <w:tcPr>
            <w:tcW w:w="1128" w:type="dxa"/>
            <w:tcBorders/>
            <w:vAlign w:val="center"/>
          </w:tcPr>
          <w:p>
            <w:pPr>
              <w:pStyle w:val="Normal"/>
              <w:keepNext/>
              <w:spacing w:before="4" w:after="4" w:line="200" w:lineRule="atLeast"/>
              <w:ind w:firstLine="0"/>
              <w:jc w:val="left"/>
            </w:pPr>
            <w:r>
              <w:rPr>
                <w:sz w:val="16"/>
                <w:szCs w:val="16"/>
              </w:rPr>
              <w:t xml:space="preserve">POBP, RAC1P</w:t>
            </w:r>
          </w:p>
        </w:tc>
        <w:tc>
          <w:tcPr>
            <w:tcW w:w="392" w:type="dxa"/>
            <w:tcBorders/>
            <w:vAlign w:val="center"/>
          </w:tcPr>
          <w:p>
            <w:pPr>
              <w:pStyle w:val="Normal"/>
              <w:keepNext/>
              <w:spacing w:before="4" w:after="4" w:line="200" w:lineRule="atLeast"/>
              <w:ind w:firstLine="0"/>
              <w:jc w:val="left"/>
            </w:pPr>
            <w:r>
              <w:rPr>
                <w:sz w:val="16"/>
                <w:szCs w:val="16"/>
              </w:rPr>
              <w:t xml:space="preserve">Cov.</w:t>
            </w:r>
          </w:p>
        </w:tc>
        <w:tc>
          <w:tcPr>
            <w:tcW w:w="392" w:type="dxa"/>
            <w:tcBorders/>
            <w:vAlign w:val="center"/>
          </w:tcPr>
          <w:p>
            <w:pPr>
              <w:pStyle w:val="Normal"/>
              <w:keepNext/>
              <w:spacing w:before="4" w:after="4" w:line="200" w:lineRule="atLeast"/>
              <w:ind w:firstLine="0"/>
              <w:jc w:val="left"/>
            </w:pPr>
            <w:r>
              <w:rPr>
                <w:sz w:val="16"/>
                <w:szCs w:val="16"/>
              </w:rPr>
              <w:t xml:space="preserve">Cov.</w:t>
            </w:r>
          </w:p>
        </w:tc>
      </w:tr>
      <w:tr>
        <w:trPr>
          <w:cantSplit/>
          <w:jc w:val="center"/>
        </w:trPr>
        <w:tc>
          <w:tcPr>
            <w:tcW w:w="720" w:type="dxa"/>
            <w:tcBorders>
              <w:bottom w:val="single" w:sz="12" w:space="0" w:color="000000"/>
            </w:tcBorders>
            <w:vAlign w:val="center"/>
          </w:tcPr>
          <w:p>
            <w:pPr>
              <w:pStyle w:val="Normal"/>
              <w:spacing w:before="4" w:after="4" w:line="200" w:lineRule="atLeast"/>
              <w:ind w:firstLine="0"/>
              <w:jc w:val="left"/>
            </w:pPr>
            <w:r>
              <w:rPr>
                <w:sz w:val="16"/>
                <w:szCs w:val="16"/>
              </w:rPr>
              <w:t xml:space="preserve">WA 2014</w:t>
            </w:r>
          </w:p>
        </w:tc>
        <w:tc>
          <w:tcPr>
            <w:tcW w:w="460" w:type="dxa"/>
            <w:tcBorders>
              <w:bottom w:val="single" w:sz="12" w:space="0" w:color="000000"/>
            </w:tcBorders>
            <w:vAlign w:val="center"/>
          </w:tcPr>
          <w:p>
            <w:pPr>
              <w:pStyle w:val="Normal"/>
              <w:spacing w:before="4" w:after="4" w:line="200" w:lineRule="atLeast"/>
              <w:ind w:firstLine="0"/>
              <w:jc w:val="right"/>
            </w:pPr>
            <w:r>
              <w:rPr>
                <w:sz w:val="16"/>
                <w:szCs w:val="16"/>
              </w:rPr>
              <w:t xml:space="preserve">0.801</w:t>
            </w:r>
          </w:p>
        </w:tc>
        <w:tc>
          <w:tcPr>
            <w:tcW w:w="403" w:type="dxa"/>
            <w:tcBorders>
              <w:bottom w:val="single" w:sz="12" w:space="0" w:color="000000"/>
            </w:tcBorders>
            <w:vAlign w:val="center"/>
          </w:tcPr>
          <w:p>
            <w:pPr>
              <w:pStyle w:val="Normal"/>
              <w:spacing w:before="4" w:after="4" w:line="200" w:lineRule="atLeast"/>
              <w:ind w:firstLine="0"/>
              <w:jc w:val="right"/>
            </w:pPr>
            <w:r>
              <w:rPr>
                <w:sz w:val="16"/>
                <w:szCs w:val="16"/>
              </w:rPr>
              <w:t xml:space="preserve">−2.5</w:t>
            </w:r>
          </w:p>
        </w:tc>
        <w:tc>
          <w:tcPr>
            <w:tcW w:w="423" w:type="dxa"/>
            <w:tcBorders>
              <w:bottom w:val="single" w:sz="12" w:space="0" w:color="000000"/>
            </w:tcBorders>
            <w:vAlign w:val="center"/>
          </w:tcPr>
          <w:p>
            <w:pPr>
              <w:pStyle w:val="Normal"/>
              <w:spacing w:before="4" w:after="4" w:line="200" w:lineRule="atLeast"/>
              <w:ind w:firstLine="0"/>
              <w:jc w:val="right"/>
            </w:pPr>
            <w:r>
              <w:rPr>
                <w:sz w:val="16"/>
                <w:szCs w:val="16"/>
              </w:rPr>
              <w:t xml:space="preserve">−2.5</w:t>
            </w:r>
          </w:p>
        </w:tc>
        <w:tc>
          <w:tcPr>
            <w:tcW w:w="604" w:type="dxa"/>
            <w:tcBorders>
              <w:bottom w:val="single" w:sz="12" w:space="0" w:color="000000"/>
            </w:tcBorders>
            <w:vAlign w:val="center"/>
          </w:tcPr>
          <w:p>
            <w:pPr>
              <w:pStyle w:val="Normal"/>
              <w:spacing w:before="4" w:after="4" w:line="200" w:lineRule="atLeast"/>
              <w:ind w:firstLine="0"/>
              <w:jc w:val="right"/>
            </w:pPr>
            <w:r>
              <w:rPr>
                <w:sz w:val="16"/>
                <w:szCs w:val="16"/>
              </w:rPr>
              <w:t xml:space="preserve">+0.9</w:t>
            </w:r>
          </w:p>
        </w:tc>
        <w:tc>
          <w:tcPr>
            <w:tcW w:w="292"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504"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460"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523"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312" w:type="dxa"/>
            <w:tcBorders>
              <w:bottom w:val="single" w:sz="12" w:space="0" w:color="000000"/>
            </w:tcBorders>
            <w:vAlign w:val="center"/>
          </w:tcPr>
          <w:p>
            <w:pPr>
              <w:pStyle w:val="Normal"/>
              <w:spacing w:before="4" w:after="4" w:line="200" w:lineRule="atLeast"/>
              <w:ind w:firstLine="0"/>
              <w:jc w:val="center"/>
            </w:pPr>
            <w:r>
              <w:rPr>
                <w:sz w:val="16"/>
                <w:szCs w:val="16"/>
              </w:rPr>
              <w:t xml:space="preserve">✓</w:t>
            </w:r>
          </w:p>
        </w:tc>
        <w:tc>
          <w:tcPr>
            <w:tcW w:w="1128" w:type="dxa"/>
            <w:tcBorders>
              <w:bottom w:val="single" w:sz="12" w:space="0" w:color="000000"/>
            </w:tcBorders>
            <w:vAlign w:val="center"/>
          </w:tcPr>
          <w:p>
            <w:pPr>
              <w:pStyle w:val="Normal"/>
              <w:spacing w:before="4" w:after="4" w:line="200" w:lineRule="atLeast"/>
              <w:ind w:firstLine="0"/>
              <w:jc w:val="left"/>
            </w:pPr>
            <w:r>
              <w:rPr>
                <w:sz w:val="16"/>
                <w:szCs w:val="16"/>
              </w:rPr>
              <w:t xml:space="preserve">POBP, RAC1P</w:t>
            </w:r>
          </w:p>
        </w:tc>
        <w:tc>
          <w:tcPr>
            <w:tcW w:w="392" w:type="dxa"/>
            <w:tcBorders>
              <w:bottom w:val="single" w:sz="12" w:space="0" w:color="000000"/>
            </w:tcBorders>
            <w:vAlign w:val="center"/>
          </w:tcPr>
          <w:p>
            <w:pPr>
              <w:pStyle w:val="Normal"/>
              <w:spacing w:before="4" w:after="4" w:line="200" w:lineRule="atLeast"/>
              <w:ind w:firstLine="0"/>
              <w:jc w:val="left"/>
            </w:pPr>
            <w:r>
              <w:rPr>
                <w:sz w:val="16"/>
                <w:szCs w:val="16"/>
              </w:rPr>
              <w:t xml:space="preserve">Cov.</w:t>
            </w:r>
          </w:p>
        </w:tc>
        <w:tc>
          <w:tcPr>
            <w:tcW w:w="392" w:type="dxa"/>
            <w:tcBorders>
              <w:bottom w:val="single" w:sz="12" w:space="0" w:color="000000"/>
            </w:tcBorders>
            <w:vAlign w:val="center"/>
          </w:tcPr>
          <w:p>
            <w:pPr>
              <w:pStyle w:val="Normal"/>
              <w:spacing w:before="4" w:after="4" w:line="200" w:lineRule="atLeast"/>
              <w:ind w:firstLine="0"/>
              <w:jc w:val="left"/>
            </w:pPr>
            <w:r>
              <w:rPr>
                <w:sz w:val="16"/>
                <w:szCs w:val="16"/>
              </w:rPr>
              <w:t xml:space="preserve">Cov.</w:t>
            </w:r>
          </w:p>
        </w:tc>
      </w:tr>
    </w:tbl>
    <w:p>
      <w:pPr>
        <w:spacing w:after="0" w:line="120" w:lineRule="exact"/>
      </w:pPr>
    </w:p>
    <w:p>
      <w:pPr>
        <w:pStyle w:val="p1a"/>
      </w:pPr>
      <w:r>
        <w:t xml:space="preserve">Δ is the change in accuracy, in points, against each model’s accuracy on the control window. Est. err. is the error of the CBPE estimate. A tick marks an alarm. Type is the verdict of the diagnosis, which is the same for LR and GB in every window (Cov. is covariate shift). Top shifts lists the two features with the largest effect size: occupation (OCCP), place of birth (POBP), relationship (RELP) and race (RAC1P).</w:t>
      </w:r>
    </w:p>
    <w:p>
      <w:pPr>
        <w:pStyle w:val="Normal"/>
      </w:pPr>
      <w:r>
        <w:t xml:space="preserve">Neither model raises an alarm on the control window. Both call CA 2015, whose accuracy did not change significantly, no drift and every other window covariate shift. The documented events can be read off the localization. The 2018 revision of the occupation codes left 26.6% of rows with a code that never occurred in 2014. Occupation lost weight in the model as a result (SHAP change −0.032). Relationship moves in 2019 (effect size 0.091), when its survey question was redesigned. Race moves from 2021 (effect size 0.186), once the Census Bureau had changed its coding of written race answers </w:t>
      </w:r>
      <w:r>
        <w:t xml:space="preserve">[34]</w:t>
      </w:r>
      <w:r>
        <w:t xml:space="preserve">. Wage growth, measured against a fixed income threshold, shows up in the labels instead: their positive share rises from 0.355 in the control window to 0.498 in 2023 while the model predicts only 0.338. Part of the 2023 loss comes from a change in what the labels mean, something no label-free test can detect.</w:t>
      </w:r>
    </w:p>
    <w:p>
      <w:pPr>
        <w:pStyle w:val="Normal"/>
      </w:pPr>
      <w:r>
        <w:t xml:space="preserve">The cost of a drift differs widely between datasets. On ACS Employment every window is diagnosed as covariate shift, yet LR accuracy never changes by more than 2.2 points; relationship (2019) and race (from 2021) shift there as well while the model barely responds. Here an alarm alone would overstate the problem; the accuracy estimate and the audit keep it in proportion. The gas sensor batches all come out as covariate shift too, as they should for aging sensors that alter </w:t>
      </w:r>
      <m:oMath>
        <m:r>
          <m:t>P</m:t>
        </m:r>
        <m:r>
          <m:rPr>
            <m:sty m:val="p"/>
          </m:rPr>
          <m:t>(</m:t>
        </m:r>
        <m:r>
          <m:t>X</m:t>
        </m:r>
        <m:r>
          <m:rPr>
            <m:sty m:val="p"/>
          </m:rPr>
          <m:t>∣</m:t>
        </m:r>
        <m:r>
          <m:t>Y</m:t>
        </m:r>
        <m:r>
          <m:rPr>
            <m:sty m:val="p"/>
          </m:rPr>
          <m:t>)</m:t>
        </m:r>
      </m:oMath>
      <w:r>
        <w:t xml:space="preserve">. The largest loss is in batch 8 (−65.2 points for LR). BBSE at first takes each gas batch for a prior shift, since the predicted labels move too. The consistency test corrects this: the sensors respond differently to a gas mix that has not changed.</w:t>
      </w:r>
    </w:p>
    <w:p>
      <w:pPr>
        <w:pStyle w:val="Normal"/>
      </w:pPr>
      <w:r>
        <w:t xml:space="preserve">CLEAR-10 drifts more gently: buckets 2 and 3 show no drift for either model, while buckets 4, 5, 6, 7, 8, 9 and 10 show covariate shift.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heading2"/>
      </w:pPr>
      <w:r>
        <w:t xml:space="preserve">Reliability and Triage</w:t>
      </w:r>
    </w:p>
    <w:p>
      <w:pPr>
        <w:pStyle w:val="p1a"/>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Normal"/>
      </w:pPr>
      <w:r>
        <w:t xml:space="preserve">For the triage, a retrain truly helps when importance weighting or the latest labeled window raises holdout accuracy significantly. Over 82 real settings, the triage is right in 54 of the 58 settings that have an earlier labeled window, because its recent-window probe is checked on real labels.</w:t>
      </w:r>
    </w:p>
    <w:p>
      <w:pPr>
        <w:pStyle w:val="Normal"/>
      </w:pPr>
      <w:r>
        <w:t xml:space="preserve">Where an earlier labeled window exists, retraining on it helps in almost every temporal window. The geographic windows of the census tasks have no earlier window. There, importance weighting rarely helps and the triage, which then relies on importance-weighted validation, is right in 23 of 24 settings, but mostly by advising against a retrain, since one truly helped in only 2 of them. On the benchmark the recall of the triage is 6%, because importance-weighted validation cannot see gains outside the reference data.</w:t>
      </w:r>
    </w:p>
    <w:p>
      <w:pPr>
        <w:pStyle w:val="heading2"/>
      </w:pPr>
      <w:r>
        <w:t xml:space="preserve">Computational Cost</w:t>
      </w:r>
    </w:p>
    <w:p>
      <w:pPr>
        <w:pStyle w:val="p1a"/>
      </w:pPr>
      <w:r>
        <w:t xml:space="preserve">A monitor has to finish with one window before the next one arrives, so we also timed each window through the stages of Section </w:t>
      </w:r>
      <w:r>
        <w:t xml:space="preserve">3</w:t>
      </w:r>
      <w:r>
        <w:t xml:space="preserve">, from the detectors to the reliability scores. The times leave out model training and, for CLEAR-10, the computation of the image embeddings. No window took longer than 90 seconds. With LR on the census tasks most of the time goes to the SHAP values of the root cause analysis. On CLEAR-10 and the gas sensor array the diagnosis takes the largest share. Windows of a day, a week or a month leave ample room; a stream that needs a verdict every few seconds would call for cheaper tests.</w:t>
      </w:r>
    </w:p>
    <w:p>
      <w:pPr>
        <w:pStyle w:val="heading1"/>
      </w:pPr>
      <w:r>
        <w:t xml:space="preserve">Discussion and Conclusions</w:t>
      </w:r>
    </w:p>
    <w:p>
      <w:pPr>
        <w:pStyle w:val="p1a"/>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Normal"/>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At several hundred thousand rows almost any shift is significant, so each decision carries an effect size. The audit lets through drift that does not hurt accuracy and often mistakes class-conditional label noise for concept drift. Deep models trained end to end, text and streaming data remain untested. The next steps are an audit conditioned on the full model output, a model of the sampling error of the BBSE weights and benchmark windows that mix several types.</w:t>
      </w:r>
    </w:p>
    <w:p>
      <w:pPr>
        <w:pStyle w:val="acknowlegments"/>
      </w:pPr>
      <w:r>
        <w:rPr>
          <w:rStyle w:val="heading30"/>
        </w:rPr>
        <w:t xml:space="preserve">Disclosure of Interests.</w:t>
      </w:r>
      <w:r>
        <w:t xml:space="preserve"> </w:t>
      </w:r>
      <w:r>
        <w:t xml:space="preserve">The authors have no competing interests to declare that are relevant to the content of this article.</w:t>
      </w:r>
    </w:p>
    <w:p>
      <w:pPr>
        <w:pStyle w:val="heading1"/>
        <w:numPr>
          <w:ilvl w:val="0"/>
          <w:numId w:val="0"/>
        </w:numPr>
        <w:ind w:left="0" w:firstLine="0"/>
      </w:pPr>
      <w:r>
        <w:t xml:space="preserve">References</w:t>
      </w:r>
    </w:p>
    <w:p>
      <w:pPr>
        <w:pStyle w:val="referenceitem"/>
        <w:jc w:val="left"/>
      </w:pPr>
      <w:r>
        <w:t xml:space="preserve">Rabanser, S., Günnemann, S., Lipton, Z.C.: Failing Loudly: An Empirical Study of Methods for Detecting Dataset Shift. In: Advances in Neural Information Processing Systems 32, pp. 1394–1406 (2019).</w:t>
      </w:r>
    </w:p>
    <w:p>
      <w:pPr>
        <w:pStyle w:val="referenceitem"/>
        <w:jc w:val="left"/>
      </w:pPr>
      <w:r>
        <w:t xml:space="preserve">Garg, S., Balakrishnan, S., Lipton, Z.C., Neyshabur, B., Sedghi, H.: Leveraging Unlabeled Data to Predict Out-of-Distribution Performance. In: The Tenth International Conference on Learning Representations (2022).</w:t>
      </w:r>
    </w:p>
    <w:p>
      <w:pPr>
        <w:pStyle w:val="referenceitem"/>
        <w:jc w:val="left"/>
      </w:pPr>
      <w:r>
        <w:t xml:space="preserve">Kivimäki, J., Białek, J., Kuberski, W., Nurminen, J.K.: Performance Estimation in Binary Classification Using Calibrated Confidence. Machine Learning 115(3), 67 (2026). </w:t>
      </w:r>
      <w:hyperlink r:id="rIdL5" w:history="1">
        <w:r>
          <w:t xml:space="preserve">https://doi.org/10.1007/s10994-025-06970-3</w:t>
        </w:r>
      </w:hyperlink>
    </w:p>
    <w:p>
      <w:pPr>
        <w:pStyle w:val="referenceitem"/>
        <w:jc w:val="left"/>
      </w:pPr>
      <w:r>
        <w:t xml:space="preserve">Moreno-Torres, J.G., Raeder, T., Alaiz-Rodríguez, R., Chawla, N.V., Herrera, F.: A Unifying View on Dataset Shift in Classification. Pattern Recognition 45(1), 521–530 (2012). </w:t>
      </w:r>
      <w:hyperlink r:id="rIdL6" w:history="1">
        <w:r>
          <w:t xml:space="preserve">https://doi.org/10.1016/j.patcog.2011.06.019</w:t>
        </w:r>
      </w:hyperlink>
    </w:p>
    <w:p>
      <w:pPr>
        <w:pStyle w:val="referenceitem"/>
        <w:jc w:val="left"/>
      </w:pPr>
      <w:r>
        <w:t xml:space="preserve">Lipton, Z.C., Wang, Y.-X., Smola, A.J.: Detecting and Correcting for Label Shift with Black Box Predictors. In: Proceedings of the 35th International Conference on Machine Learning, pp. 3122–3130 (2018).</w:t>
      </w:r>
    </w:p>
    <w:p>
      <w:pPr>
        <w:pStyle w:val="referenceitem"/>
        <w:jc w:val="left"/>
      </w:pPr>
      <w:r>
        <w:t xml:space="preserve">Roschewitz, M., Mehta, R., Jones, C., Glocker, B.: Automatic Dataset Shift Identification to Support Safe Deployment of Medical Imaging AI. In: Medical Image Computing and Computer Assisted Intervention – MICCAI 2025, pp. 67–76 (2025). </w:t>
      </w:r>
      <w:hyperlink r:id="rIdL7" w:history="1">
        <w:r>
          <w:t xml:space="preserve">https://doi.org/10.1007/978-3-032-04981-0_7</w:t>
        </w:r>
      </w:hyperlink>
    </w:p>
    <w:p>
      <w:pPr>
        <w:pStyle w:val="referenceitem"/>
        <w:jc w:val="left"/>
      </w:pPr>
      <w:r>
        <w:t xml:space="preserve">Maia Polo, F., Izbicki, R., Lacerda, E.G., Ibieta-Jimenez, J.P., Vicente, R.: A Unified Framework for Dataset Shift Diagnostics. Information Sciences 649, 119612 (2023). </w:t>
      </w:r>
      <w:hyperlink r:id="rIdL8" w:history="1">
        <w:r>
          <w:t xml:space="preserve">https://doi.org/10.1016/j.ins.2023.119612</w:t>
        </w:r>
      </w:hyperlink>
    </w:p>
    <w:p>
      <w:pPr>
        <w:pStyle w:val="referenceitem"/>
        <w:jc w:val="left"/>
      </w:pPr>
      <w:r>
        <w:t xml:space="preserve">Gama, J., Medas, P., Castillo, G., Rodrigues, P.: Learning with Drift Detection. In: Advances in Artificial Intelligence – SBIA 2004, pp. 286–295 (2004). </w:t>
      </w:r>
      <w:hyperlink r:id="rIdL9" w:history="1">
        <w:r>
          <w:t xml:space="preserve">https://doi.org/10.1007/978-3-540-28645-5_29</w:t>
        </w:r>
      </w:hyperlink>
    </w:p>
    <w:p>
      <w:pPr>
        <w:pStyle w:val="referenceitem"/>
        <w:jc w:val="left"/>
      </w:pPr>
      <w:r>
        <w:t xml:space="preserve">Gretton, A., Borgwardt, K.M., Rasch, M.J., Schölkopf, B., Smola, A.: A Kernel Two-Sample Test. Journal of Machine Learning Research 13, 723–773 (2012).</w:t>
      </w:r>
    </w:p>
    <w:p>
      <w:pPr>
        <w:pStyle w:val="referenceitem"/>
        <w:jc w:val="left"/>
      </w:pPr>
      <w:r>
        <w:t xml:space="preserve">Lopez-Paz, D., Oquab, M.: Revisiting Classifier Two-Sample Tests. In: 5th International Conference on Learning Representations (2017).</w:t>
      </w:r>
    </w:p>
    <w:p>
      <w:pPr>
        <w:pStyle w:val="referenceitem"/>
        <w:jc w:val="left"/>
      </w:pPr>
      <w:r>
        <w:t xml:space="preserve">Hendrycks, D., Gimpel, K.: A Baseline for Detecting Misclassified and Out-of-Distribution Examples in Neural Networks. In: 5th International Conference on Learning Representations (2017).</w:t>
      </w:r>
    </w:p>
    <w:p>
      <w:pPr>
        <w:pStyle w:val="referenceitem"/>
        <w:jc w:val="left"/>
      </w:pPr>
      <w:r>
        <w:t xml:space="preserve">Guillory, D., Shankar, V., Ebrahimi, S., Darrell, T., Schmidt, L.: Predicting with Confidence on Unseen Distributions. In: 2021 IEEE/CVF International Conference on Computer Vision, pp. 1114–1124 (2021). </w:t>
      </w:r>
      <w:hyperlink r:id="rIdL10" w:history="1">
        <w:r>
          <w:t xml:space="preserve">https://doi.org/10.1109/ICCV48922.2021.00117</w:t>
        </w:r>
      </w:hyperlink>
    </w:p>
    <w:p>
      <w:pPr>
        <w:pStyle w:val="referenceitem"/>
        <w:jc w:val="left"/>
      </w:pPr>
      <w:r>
        <w:t xml:space="preserve">Ovadia, Y., Fertig, E., Ren, J., Nado, Z., Sculley, D., Nowozin, S., Dillon, J.V., Lakshminarayanan, B., Snoek, J.: Can You Trust Your Model's Uncertainty? Evaluating Predictive Uncertainty under Dataset Shift. In: Advances in Neural Information Processing Systems 32, pp. 13991–14002 (2019).</w:t>
      </w:r>
    </w:p>
    <w:p>
      <w:pPr>
        <w:pStyle w:val="referenceitem"/>
        <w:jc w:val="left"/>
      </w:pPr>
      <w:r>
        <w:t xml:space="preserve">Lundberg, S.M., Lee, S.-I.: A Unified Approach to Interpreting Model Predictions. In: Advances in Neural Information Processing Systems 30, pp. 4765–4774 (2017).</w:t>
      </w:r>
    </w:p>
    <w:p>
      <w:pPr>
        <w:pStyle w:val="referenceitem"/>
        <w:jc w:val="left"/>
      </w:pPr>
      <w:r>
        <w:t xml:space="preserve">Zhou, B., Khosla, A., Lapedriza, A., Oliva, A., Torralba, A.: Learning Deep Features for Discriminative Localization. In: 2016 IEEE Conference on Computer Vision and Pattern Recognition, pp. 2921–2929 (2016). </w:t>
      </w:r>
      <w:hyperlink r:id="rIdL11" w:history="1">
        <w:r>
          <w:t xml:space="preserve">https://doi.org/10.1109/CVPR.2016.319</w:t>
        </w:r>
      </w:hyperlink>
    </w:p>
    <w:p>
      <w:pPr>
        <w:pStyle w:val="referenceitem"/>
        <w:jc w:val="left"/>
      </w:pPr>
      <w:r>
        <w:t xml:space="preserve">Liu, F.T., Ting, K.M., Zhou, Z.-H.: Isolation Forest. In: 2008 Eighth IEEE International Conference on Data Mining, pp. 413–422 (2008). </w:t>
      </w:r>
      <w:hyperlink r:id="rIdL12" w:history="1">
        <w:r>
          <w:t xml:space="preserve">https://doi.org/10.1109/ICDM.2008.17</w:t>
        </w:r>
      </w:hyperlink>
    </w:p>
    <w:p>
      <w:pPr>
        <w:pStyle w:val="referenceitem"/>
        <w:jc w:val="left"/>
      </w:pPr>
      <w:r>
        <w:t xml:space="preserve">Shimodaira, H.: Improving Predictive Inference under Covariate Shift by Weighting the Log-Likelihood Function. Journal of Statistical Planning and Inference 90(2), 227–244 (2000). </w:t>
      </w:r>
      <w:hyperlink r:id="rIdL13" w:history="1">
        <w:r>
          <w:t xml:space="preserve">https://doi.org/10.1016/S0378-3758(00)00115-4</w:t>
        </w:r>
      </w:hyperlink>
    </w:p>
    <w:p>
      <w:pPr>
        <w:pStyle w:val="referenceitem"/>
        <w:jc w:val="left"/>
      </w:pPr>
      <w:r>
        <w:t xml:space="preserve">Sugiyama, M., Krauledat, M., Müller, K.-R.: Covariate Shift Adaptation by Importance Weighted Cross Validation. Journal of Machine Learning Research 8, 985–1005 (2007).</w:t>
      </w:r>
    </w:p>
    <w:p>
      <w:pPr>
        <w:pStyle w:val="referenceitem"/>
        <w:jc w:val="left"/>
      </w:pPr>
      <w:r>
        <w:t xml:space="preserve">Cortes, C., Mansour, Y., Mohri, M.: Learning Bounds for Importance Weighting. In: Advances in Neural Information Processing Systems 23, pp. 442–450 (2010).</w:t>
      </w:r>
    </w:p>
    <w:p>
      <w:pPr>
        <w:pStyle w:val="referenceitem"/>
        <w:jc w:val="left"/>
      </w:pPr>
      <w:r>
        <w:t xml:space="preserve">Ding, F., Hardt, M., Miller, J., Schmidt, L.: Retiring Adult: New Datasets for Fair Machine Learning. In: Advances in Neural Information Processing Systems 34, pp. 6478–6490 (2021).</w:t>
      </w:r>
    </w:p>
    <w:p>
      <w:pPr>
        <w:pStyle w:val="referenceitem"/>
        <w:jc w:val="left"/>
      </w:pPr>
      <w:r>
        <w:t xml:space="preserve">Lin, Z., Shi, J., Pathak, D., Ramanan, D.: The CLEAR Benchmark: Continual LEArning on Real-World Imagery. In: Proceedings of the Neural Information Processing Systems Track on Datasets and Benchmarks 1 (2021).</w:t>
      </w:r>
    </w:p>
    <w:p>
      <w:pPr>
        <w:pStyle w:val="referenceitem"/>
        <w:jc w:val="left"/>
      </w:pPr>
      <w:r>
        <w:t xml:space="preserve">Holm, S.: A Simple Sequentially Rejective Multiple Test Procedure. Scandinavian Journal of Statistics 6(2), 65–70 (1979).</w:t>
      </w:r>
    </w:p>
    <w:p>
      <w:pPr>
        <w:pStyle w:val="referenceitem"/>
        <w:jc w:val="left"/>
      </w:pPr>
      <w:r>
        <w:t xml:space="preserve">He, K., Zhang, X., Ren, S., Sun, J.: Deep Residual Learning for Image Recognition. In: 2016 IEEE Conference on Computer Vision and Pattern Recognition, pp. 770–778 (2016). </w:t>
      </w:r>
      <w:hyperlink r:id="rIdL14" w:history="1">
        <w:r>
          <w:t xml:space="preserve">https://doi.org/10.1109/CVPR.2016.90</w:t>
        </w:r>
      </w:hyperlink>
    </w:p>
    <w:p>
      <w:pPr>
        <w:pStyle w:val="referenceitem"/>
        <w:jc w:val="left"/>
      </w:pPr>
      <w:r>
        <w:t xml:space="preserve">Siddiqi, N.: Credit Risk Scorecards: Developing and Implementing Intelligent Credit Scoring. Wiley, Hoboken, NJ, USA (2006). </w:t>
      </w:r>
      <w:hyperlink r:id="rIdL15" w:history="1">
        <w:r>
          <w:t xml:space="preserve">https://doi.org/10.1002/9781119201731</w:t>
        </w:r>
      </w:hyperlink>
    </w:p>
    <w:p>
      <w:pPr>
        <w:pStyle w:val="referenceitem"/>
        <w:jc w:val="left"/>
      </w:pPr>
      <w:r>
        <w:t xml:space="preserve">Cochran, W.G.: Some Methods for Strengthening the Common χ² Tests. Biometrics 10(4), 417–451 (1954). </w:t>
      </w:r>
      <w:hyperlink r:id="rIdL16" w:history="1">
        <w:r>
          <w:t xml:space="preserve">https://doi.org/10.2307/3001616</w:t>
        </w:r>
      </w:hyperlink>
    </w:p>
    <w:p>
      <w:pPr>
        <w:pStyle w:val="referenceitem"/>
        <w:jc w:val="left"/>
      </w:pPr>
      <w:r>
        <w:t xml:space="preserve">Phipson, B., Smyth, G.K.: Permutation P-values Should Never Be Zero: Calculating Exact P-values When Permutations Are Randomly Drawn. Statistical Applications in Genetics and Molecular Biology 9(1), 39 (2010). </w:t>
      </w:r>
      <w:hyperlink r:id="rIdL17" w:history="1">
        <w:r>
          <w:t xml:space="preserve">https://doi.org/10.2202/1544-6115.1585</w:t>
        </w:r>
      </w:hyperlink>
    </w:p>
    <w:p>
      <w:pPr>
        <w:pStyle w:val="referenceitem"/>
        <w:jc w:val="left"/>
      </w:pPr>
      <w:r>
        <w:t xml:space="preserve">Kish, L.: Survey Sampling. Wiley, New York, NY, USA (1965).</w:t>
      </w:r>
    </w:p>
    <w:p>
      <w:pPr>
        <w:pStyle w:val="referenceitem"/>
        <w:jc w:val="left"/>
      </w:pPr>
      <w:r>
        <w:t xml:space="preserve">Peduzzi, P., Concato, J., Kemper, E., Holford, T.R., Feinstein, A.R.: A Simulation Study of the Number of Events per Variable in Logistic Regression Analysis. Journal of Clinical Epidemiology 49(12), 1373–1379 (1996). </w:t>
      </w:r>
      <w:hyperlink r:id="rIdL18" w:history="1">
        <w:r>
          <w:t xml:space="preserve">https://doi.org/10.1016/S0895-4356(96)00236-3</w:t>
        </w:r>
      </w:hyperlink>
    </w:p>
    <w:p>
      <w:pPr>
        <w:pStyle w:val="referenceitem"/>
        <w:jc w:val="left"/>
      </w:pPr>
      <w:r>
        <w:t xml:space="preserve">Ke, G., Meng, Q., Finley, T., Wang, T., Chen, W., Ma, W., Ye, Q., Liu, T.-Y.: LightGBM: A Highly Efficient Gradient Boosting Decision Tree. In: Advances in Neural Information Processing Systems 30, pp. 3146–3154 (2017).</w:t>
      </w:r>
    </w:p>
    <w:p>
      <w:pPr>
        <w:pStyle w:val="referenceitem"/>
        <w:jc w:val="left"/>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2825–2830 (2011).</w:t>
      </w:r>
    </w:p>
    <w:p>
      <w:pPr>
        <w:pStyle w:val="referenceitem"/>
        <w:jc w:val="left"/>
      </w:pPr>
      <w:r>
        <w:t xml:space="preserve">U.S. Census Bureau: 2020 ACS 1-Year Experimental Data Release (2021), </w:t>
      </w:r>
      <w:hyperlink r:id="rIdL19" w:history="1">
        <w:r>
          <w:t xml:space="preserve">https://www.census.gov/programs-surveys/acs/data/experimental-data.html</w:t>
        </w:r>
      </w:hyperlink>
      <w:r>
        <w:t xml:space="preserve">, last accessed 21 October 2026</w:t>
      </w:r>
    </w:p>
    <w:p>
      <w:pPr>
        <w:pStyle w:val="referenceitem"/>
        <w:jc w:val="left"/>
      </w:pPr>
      <w:r>
        <w:t xml:space="preserve">U.S. Census Bureau: American Community Survey 2019 PUMS Data Dictionary (2020), </w:t>
      </w:r>
      <w:hyperlink r:id="rIdL20" w:history="1">
        <w:r>
          <w:t xml:space="preserve">https://www2.census.gov/programs-surveys/acs/tech_docs/pums/data_dict/PUMS_Data_Dictionary_2019.csv</w:t>
        </w:r>
      </w:hyperlink>
      <w:r>
        <w:t xml:space="preserve">, last accessed 21 October 2026</w:t>
      </w:r>
    </w:p>
    <w:p>
      <w:pPr>
        <w:pStyle w:val="referenceitem"/>
        <w:jc w:val="left"/>
      </w:pPr>
      <w:r>
        <w:t xml:space="preserve">Beckhusen, J.B.: Recent Changes in the Census Industry and Occupation Classification Systems. Tech. Rep. ACS-TP78, U.S. Census Bureau, Suitland, MD, USA (2020), </w:t>
      </w:r>
      <w:hyperlink r:id="rIdL21" w:history="1">
        <w:r>
          <w:t xml:space="preserve">https://www.census.gov/library/publications/2020/demo/acs-tp78.html</w:t>
        </w:r>
      </w:hyperlink>
      <w:r>
        <w:t xml:space="preserve">, last accessed 21 October 2026</w:t>
      </w:r>
    </w:p>
    <w:p>
      <w:pPr>
        <w:pStyle w:val="referenceitem"/>
        <w:jc w:val="left"/>
      </w:pPr>
      <w:r>
        <w:t xml:space="preserve">U.S. Census Bureau: Improvements to the Race Question (ACS User Note 2021-03) (2021), </w:t>
      </w:r>
      <w:hyperlink r:id="rIdL22" w:history="1">
        <w:r>
          <w:t xml:space="preserve">https://www.census.gov/programs-surveys/acs/technical-documentation/user-notes/2021-03.html</w:t>
        </w:r>
      </w:hyperlink>
      <w:r>
        <w:t xml:space="preserve">, last accessed 21 October 2026</w:t>
      </w:r>
    </w:p>
    <w:p>
      <w:pPr>
        <w:pStyle w:val="referenceitem"/>
        <w:jc w:val="left"/>
      </w:pPr>
      <w:r>
        <w:t xml:space="preserve">Vergara, A., Vembu, S., Ayhan, T., Ryan, M.A., Homer, M.L., Huerta, R.: Chemical Gas Sensor Drift Compensation Using Classifier Ensembles. Sensors and Actuators B: Chemical 166–167, 320–329 (2012). </w:t>
      </w:r>
      <w:hyperlink r:id="rIdL23" w:history="1">
        <w:r>
          <w:t xml:space="preserve">https://doi.org/10.1016/j.snb.2012.01.074</w:t>
        </w:r>
      </w:hyperlink>
    </w:p>
    <w:p>
      <w:pPr>
        <w:pStyle w:val="referenceitem"/>
        <w:jc w:val="left"/>
      </w:pPr>
      <w:r>
        <w:t xml:space="preserve">Rodriguez-Lujan, I., Fonollosa, J., Vergara, A., Homer, M., Huerta, R.: On the Calibration of Sensor Arrays for Pattern Recognition Using the Minimal Number of Experiments. Chemometrics and Intelligent Laboratory Systems 130, 123–134 (2014). </w:t>
      </w:r>
      <w:hyperlink r:id="rIdL24" w:history="1">
        <w:r>
          <w:t xml:space="preserve">https://doi.org/10.1016/j.chemolab.2013.10.012</w:t>
        </w:r>
      </w:hyperlink>
    </w:p>
    <w:p>
      <w:pPr>
        <w:pStyle w:val="referenceitem"/>
        <w:jc w:val="left"/>
      </w:pPr>
      <w:r>
        <w:t xml:space="preserve">Wilson, E.B.: Probable Inference, the Law of Succession, and Statistical Inference. Journal of the American Statistical Association 22(158), 209–212 (1927). </w:t>
      </w:r>
      <w:hyperlink r:id="rIdL25" w:history="1">
        <w:r>
          <w:t xml:space="preserve">https://doi.org/10.1080/01621459.1927.10502953</w:t>
        </w:r>
      </w:hyperlink>
    </w:p>
    <w:sectPr w:rsidR="007D1CDC" w:rsidRPr="00606587" w:rsidSect="009F7FCE">
      <w:headerReference w:type="even" r:id="rId11"/>
      <w:headerReference w:type="default" r:id="rId12"/>
      <w:footerReference w:type="even" r:id="rId13"/>
      <w:footerReference w:type="default" r:id="rId14"/>
      <w:headerReference w:type="first" r:id="rId15"/>
      <w:footerReference w:type="first" r:id="rId16"/>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66298" w:rsidRDefault="00466298">
      <w:r>
        <w:separator/>
      </w:r>
    </w:p>
  </w:endnote>
  <w:endnote w:type="continuationSeparator" w:id="0">
    <w:p w:rsidR="00466298" w:rsidRDefault="004662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682A" w:rsidRDefault="0095682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682A" w:rsidRDefault="0095682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682A" w:rsidRDefault="009568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66298" w:rsidRDefault="00466298" w:rsidP="009F7FCE">
      <w:pPr>
        <w:ind w:firstLine="0"/>
      </w:pPr>
      <w:r>
        <w:separator/>
      </w:r>
    </w:p>
  </w:footnote>
  <w:footnote w:type="continuationSeparator" w:id="0">
    <w:p w:rsidR="00466298" w:rsidRDefault="00466298"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2539" w:rsidRDefault="009B2539" w:rsidP="00090B89">
    <w:pPr>
      <w:pStyle w:val="runningheadleft"/>
    </w:pPr>
    <w:r>
      <w:fldChar w:fldCharType="begin"/>
    </w:r>
    <w:r>
      <w:instrText>PAGE   \* MERGEFORMAT</w:instrText>
    </w:r>
    <w:r>
      <w:fldChar w:fldCharType="separate"/>
    </w:r>
    <w:r w:rsidR="001B762C">
      <w:rPr>
        <w:noProof/>
      </w:rPr>
      <w:t>2</w:t>
    </w:r>
    <w:r>
      <w:fldChar w:fldCharType="end"/>
    </w:r>
    <w:r w:rsidR="00986FFD">
      <w:t xml:space="preserve"> </w:t>
    </w:r>
    <w:r w:rsidR="00986FFD">
      <w:tab/>
      <w:t>R. Guhagarkar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0B89" w:rsidRPr="00090B89" w:rsidRDefault="00986FFD" w:rsidP="00090B89">
    <w:pPr>
      <w:pStyle w:val="runningheadright"/>
    </w:pPr>
    <w:r>
      <w:tab/>
    </w:r>
    <w:r w:rsidRPr="00090B89">
      <w:t>Drift Detection, Diagnosis and Reliability Analysis</w:t>
    </w:r>
    <w:r>
      <w:tab/>
    </w:r>
    <w:r>
      <w:fldChar w:fldCharType="begin"/>
    </w:r>
    <w:r>
      <w:instrText>PAGE   \* MERGEFORMAT</w:instrText>
    </w:r>
    <w:r>
      <w:fldChar w:fldCharType="separate"/>
    </w:r>
    <w:r w:rsidR="001B762C">
      <w:rPr>
        <w:noProof/>
      </w:rPr>
      <w:t>3</w:t>
    </w:r>
    <w: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0B89" w:rsidRDefault="00466298" w:rsidP="00090B8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FCE"/>
    <w:rsid w:val="001B762C"/>
    <w:rsid w:val="00466298"/>
    <w:rsid w:val="00561C19"/>
    <w:rsid w:val="007D1CDC"/>
    <w:rsid w:val="0095682A"/>
    <w:rsid w:val="00986FFD"/>
    <w:rsid w:val="009930E4"/>
    <w:rsid w:val="009B2539"/>
    <w:rsid w:val="009F7FCE"/>
    <w:rsid w:val="00A13D60"/>
    <w:rsid w:val="00B23481"/>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1">
    <w:lsdException w:name="Normal" w:qFormat="1"/>
    <w:lsdException w:name="heading 2" w:semiHidden="1"/>
    <w:lsdException w:name="heading 3" w:semiHidden="1"/>
    <w:lsdException w:name="heading 4" w:semiHidden="1"/>
    <w:lsdException w:name="heading 5" w:semiHidden="1"/>
    <w:lsdException w:name="heading 6" w:semiHidden="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3.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4" Type="http://schemas.openxmlformats.org/officeDocument/2006/relationships/styles" Target="styles.xml"/><Relationship Id="rId14" Type="http://schemas.openxmlformats.org/officeDocument/2006/relationships/footer" Target="footer2.xm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5" Type="http://schemas.openxmlformats.org/officeDocument/2006/relationships/hyperlink" Target="https://doi.org/10.1007/s10994-025-06970-3" TargetMode="External"/><Relationship Id="rIdL6" Type="http://schemas.openxmlformats.org/officeDocument/2006/relationships/hyperlink" Target="https://doi.org/10.1016/j.patcog.2011.06.019" TargetMode="External"/><Relationship Id="rIdL7" Type="http://schemas.openxmlformats.org/officeDocument/2006/relationships/hyperlink" Target="https://doi.org/10.1007/978-3-032-04981-0_7" TargetMode="External"/><Relationship Id="rIdL8" Type="http://schemas.openxmlformats.org/officeDocument/2006/relationships/hyperlink" Target="https://doi.org/10.1016/j.ins.2023.119612" TargetMode="External"/><Relationship Id="rIdL9" Type="http://schemas.openxmlformats.org/officeDocument/2006/relationships/hyperlink" Target="https://doi.org/10.1007/978-3-540-28645-5_29" TargetMode="External"/><Relationship Id="rIdL10" Type="http://schemas.openxmlformats.org/officeDocument/2006/relationships/hyperlink" Target="https://doi.org/10.1109/ICCV48922.2021.00117" TargetMode="External"/><Relationship Id="rIdL11" Type="http://schemas.openxmlformats.org/officeDocument/2006/relationships/hyperlink" Target="https://doi.org/10.1109/CVPR.2016.319" TargetMode="External"/><Relationship Id="rIdL12" Type="http://schemas.openxmlformats.org/officeDocument/2006/relationships/hyperlink" Target="https://doi.org/10.1109/ICDM.2008.17" TargetMode="External"/><Relationship Id="rIdL13" Type="http://schemas.openxmlformats.org/officeDocument/2006/relationships/hyperlink" Target="https://doi.org/10.1016/S0378-3758(00)00115-4" TargetMode="External"/><Relationship Id="rIdL14" Type="http://schemas.openxmlformats.org/officeDocument/2006/relationships/hyperlink" Target="https://doi.org/10.1109/CVPR.2016.90" TargetMode="External"/><Relationship Id="rIdL15" Type="http://schemas.openxmlformats.org/officeDocument/2006/relationships/hyperlink" Target="https://doi.org/10.1002/9781119201731" TargetMode="External"/><Relationship Id="rIdL16" Type="http://schemas.openxmlformats.org/officeDocument/2006/relationships/hyperlink" Target="https://doi.org/10.2307/3001616" TargetMode="External"/><Relationship Id="rIdL17" Type="http://schemas.openxmlformats.org/officeDocument/2006/relationships/hyperlink" Target="https://doi.org/10.2202/1544-6115.1585" TargetMode="External"/><Relationship Id="rIdL18" Type="http://schemas.openxmlformats.org/officeDocument/2006/relationships/hyperlink" Target="https://doi.org/10.1016/S0895-4356(96)00236-3" TargetMode="External"/><Relationship Id="rIdL19" Type="http://schemas.openxmlformats.org/officeDocument/2006/relationships/hyperlink" Target="https://www.census.gov/programs-surveys/acs/data/experimental-data.html" TargetMode="External"/><Relationship Id="rIdL20" Type="http://schemas.openxmlformats.org/officeDocument/2006/relationships/hyperlink" Target="https://www2.census.gov/programs-surveys/acs/tech_docs/pums/data_dict/PUMS_Data_Dictionary_2019.csv" TargetMode="External"/><Relationship Id="rIdL21" Type="http://schemas.openxmlformats.org/officeDocument/2006/relationships/hyperlink" Target="https://www.census.gov/library/publications/2020/demo/acs-tp78.html" TargetMode="External"/><Relationship Id="rIdL22" Type="http://schemas.openxmlformats.org/officeDocument/2006/relationships/hyperlink" Target="https://www.census.gov/programs-surveys/acs/technical-documentation/user-notes/2021-03.html" TargetMode="External"/><Relationship Id="rIdL23" Type="http://schemas.openxmlformats.org/officeDocument/2006/relationships/hyperlink" Target="https://doi.org/10.1016/j.snb.2012.01.074" TargetMode="External"/><Relationship Id="rIdL24" Type="http://schemas.openxmlformats.org/officeDocument/2006/relationships/hyperlink" Target="https://doi.org/10.1016/j.chemolab.2013.10.012" TargetMode="External"/><Relationship Id="rIdL25" Type="http://schemas.openxmlformats.org/officeDocument/2006/relationships/hyperlink" Target="https://doi.org/10.1080/01621459.1927.10502953"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95C862-38A5-4806-9DA5-695508017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671</Words>
  <Characters>3830</Characters>
  <Application>Microsoft Office Word</Application>
  <DocSecurity>8</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4493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2026-10-24T13:33:10Z</dcterms:created>
  <dcterms:modified xsi:type="dcterms:W3CDTF">2026-10-24T13:33:10Z</dcterms:modified>
</cp:coreProperties>
</file>