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adds four pieces of detail to the main paper. It shows how the size of the delayed audit affects the diagnosis, reports the remediation triage for every real setting, lists how the relationship codes of the American Community Survey (ACS) were matched across their 2019 redesign and shows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2026-10-21T16:02:22Z</dcterms:created>
  <dcterms:modified xsi:type="dcterms:W3CDTF">2026-10-21T16:02:22Z</dcterms:modified>
</cp:coreProperties>
</file>