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Override PartName="/word/footer2.xml" ContentType="application/vnd.openxmlformats-officedocument.wordprocessingml.footer+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pStyle w:val="Center"/>
      </w:pPr>
      <w:r>
        <w:rPr>
          <w:b/>
          <w:bCs/>
          <w:sz w:val="28"/>
        </w:rPr>
        <w:t xml:space="preserve">VIVEKANAND EDUCATION SOCIETY’S INSTITUTE OF TECHNOLOGY</w:t>
      </w:r>
    </w:p>
    <w:p>
      <w:pPr>
        <w:pStyle w:val="Center"/>
      </w:pPr>
      <w:r>
        <w:rPr>
          <w:sz w:val="24"/>
        </w:rPr>
        <w:t xml:space="preserve">An Autonomous Institute Affiliated to the University of Mumbai</w:t>
      </w:r>
    </w:p>
    <w:p>
      <w:pPr>
        <w:pStyle w:val="Center"/>
        <w:spacing w:before="0" w:after="200"/>
      </w:pPr>
      <w:r>
        <w:rPr>
          <w:b/>
          <w:bCs/>
          <w:sz w:val="26"/>
        </w:rPr>
        <w:t xml:space="preserve">DEPARTMENT OF COMPUTER ENGINEERING</w:t>
      </w:r>
    </w:p>
    <w:p>
      <w:pPr>
        <w:pStyle w:val="Center"/>
        <w:spacing w:before="120" w:after="240"/>
      </w:pPr>
      <w:r>
        <w:drawing>
          <wp:inline distT="0" distB="0" distL="0" distR="0">
            <wp:extent cx="1080000" cy="1595454"/>
            <wp:docPr id="991" name="VESIT logo" descr="VESIT logo"/>
            <a:graphic xmlns:a="http://schemas.openxmlformats.org/drawingml/2006/main">
              <a:graphicData uri="http://schemas.openxmlformats.org/drawingml/2006/picture">
                <pic:pic xmlns:pic="http://schemas.openxmlformats.org/drawingml/2006/picture">
                  <pic:nvPicPr>
                    <pic:cNvPr id="991" name="logo.png"/>
                    <pic:cNvPicPr/>
                  </pic:nvPicPr>
                  <pic:blipFill>
                    <a:blip r:embed="rIdLogo"/>
                    <a:stretch>
                      <a:fillRect/>
                    </a:stretch>
                  </pic:blipFill>
                  <pic:spPr>
                    <a:xfrm>
                      <a:off x="0" y="0"/>
                      <a:ext cx="1080000" cy="1595454"/>
                    </a:xfrm>
                    <a:prstGeom prst="rect">
                      <a:avLst/>
                    </a:prstGeom>
                  </pic:spPr>
                </pic:pic>
              </a:graphicData>
            </a:graphic>
          </wp:inline>
        </w:drawing>
      </w:r>
    </w:p>
    <w:p>
      <w:pPr>
        <w:pStyle w:val="Center"/>
        <w:spacing w:before="0" w:after="40"/>
      </w:pPr>
      <w:r>
        <w:rPr>
          <w:b/>
          <w:bCs/>
          <w:sz w:val="28"/>
        </w:rPr>
        <w:t xml:space="preserve">CAPSTONE PROJECT–II</w:t>
      </w:r>
    </w:p>
    <w:p>
      <w:pPr>
        <w:pStyle w:val="Center"/>
        <w:spacing w:before="0" w:after="360"/>
      </w:pPr>
      <w:r>
        <w:rPr>
          <w:b/>
          <w:bCs/>
          <w:sz w:val="28"/>
        </w:rPr>
        <w:t xml:space="preserve">PROJECT REPORT</w:t>
      </w:r>
    </w:p>
    <w:p>
      <w:pPr>
        <w:pStyle w:val="Center"/>
        <w:spacing w:before="0" w:after="360"/>
      </w:pPr>
      <w:r>
        <w:rPr>
          <w:b/>
          <w:bCs/>
          <w:sz w:val="36"/>
          <w:szCs w:val="36"/>
        </w:rPr>
        <w:t xml:space="preserve">ResilientAI: Drift Detection and Diagnosis System</w:t>
      </w:r>
    </w:p>
    <w:p>
      <w:pPr>
        <w:pStyle w:val="Center"/>
        <w:spacing w:before="0" w:after="60"/>
      </w:pPr>
      <w:r>
        <w:t xml:space="preserve">Submitted in partial fulfilment of the requirements for the</w:t>
      </w:r>
    </w:p>
    <w:p>
      <w:pPr>
        <w:pStyle w:val="Center"/>
        <w:spacing w:before="0" w:after="60"/>
      </w:pPr>
      <w:r>
        <w:rPr>
          <w:b/>
          <w:bCs/>
        </w:rPr>
        <w:t xml:space="preserve">Bachelor of Engineering (B.E.) Degree in Computer Engineering</w:t>
      </w:r>
    </w:p>
    <w:p>
      <w:pPr>
        <w:pStyle w:val="Center"/>
        <w:spacing w:before="0" w:after="360"/>
      </w:pPr>
      <w:r>
        <w:t xml:space="preserve">Semester VII | Academic Year 2026–27</w:t>
      </w:r>
    </w:p>
    <w:p>
      <w:pPr>
        <w:pStyle w:val="Center"/>
        <w:spacing w:before="0" w:after="120"/>
      </w:pPr>
      <w:r>
        <w:rPr>
          <w:b/>
          <w:bCs/>
        </w:rPr>
        <w:t xml:space="preserve">Submitted by</w:t>
      </w:r>
    </w:p>
    <w:p>
      <w:pPr>
        <w:pStyle w:val="Center"/>
        <w:spacing w:before="0" w:after="60"/>
      </w:pPr>
      <w:r>
        <w:t xml:space="preserve">Rahul Guhagarkar – </w:t>
      </w:r>
      <w:r>
        <w:rPr>
          <w:highlight w:val="yellow"/>
        </w:rPr>
        <w:t xml:space="preserve">Class / Roll No.</w:t>
      </w:r>
    </w:p>
    <w:p>
      <w:pPr>
        <w:pStyle w:val="Center"/>
        <w:spacing w:before="0" w:after="60"/>
      </w:pPr>
      <w:r>
        <w:t xml:space="preserve">Nathan Cherian – </w:t>
      </w:r>
      <w:r>
        <w:rPr>
          <w:highlight w:val="yellow"/>
        </w:rPr>
        <w:t xml:space="preserve">Class / Roll No.</w:t>
      </w:r>
    </w:p>
    <w:p>
      <w:pPr>
        <w:pStyle w:val="Center"/>
        <w:spacing w:before="0" w:after="60"/>
      </w:pPr>
      <w:r>
        <w:t xml:space="preserve">Alok Pal – </w:t>
      </w:r>
      <w:r>
        <w:rPr>
          <w:highlight w:val="yellow"/>
        </w:rPr>
        <w:t xml:space="preserve">Class / Roll No.</w:t>
      </w:r>
    </w:p>
    <w:p>
      <w:pPr>
        <w:pStyle w:val="Center"/>
        <w:spacing w:before="0" w:after="60"/>
      </w:pPr>
      <w:r>
        <w:t xml:space="preserve">Akul Patre – </w:t>
      </w:r>
      <w:r>
        <w:rPr>
          <w:highlight w:val="yellow"/>
        </w:rPr>
        <w:t xml:space="preserve">Class / Roll No.</w:t>
      </w:r>
    </w:p>
    <w:p>
      <w:pPr>
        <w:pStyle w:val="Center"/>
        <w:spacing w:before="0" w:after="200"/>
      </w:pPr>
    </w:p>
    <w:p>
      <w:pPr>
        <w:pStyle w:val="Center"/>
        <w:spacing w:before="0" w:after="120"/>
      </w:pPr>
      <w:r>
        <w:rPr>
          <w:b/>
          <w:bCs/>
        </w:rPr>
        <w:t xml:space="preserve">Project Mentor</w:t>
      </w:r>
    </w:p>
    <w:p>
      <w:pPr>
        <w:pStyle w:val="Center"/>
        <w:spacing w:before="0" w:after="360"/>
      </w:pPr>
      <w:r>
        <w:rPr>
          <w:highlight w:val="yellow"/>
        </w:rPr>
        <w:t xml:space="preserve">Prof./Dr.</w:t>
      </w:r>
      <w:r>
        <w:t xml:space="preserve"> Sanjay Mirchandani, </w:t>
      </w:r>
      <w:r>
        <w:rPr>
          <w:highlight w:val="yellow"/>
        </w:rPr>
        <w:t xml:space="preserve">Designation</w:t>
      </w:r>
    </w:p>
    <w:p>
      <w:pPr>
        <w:pStyle w:val="Center"/>
        <w:spacing w:before="0" w:after="60"/>
      </w:pPr>
      <w:r>
        <w:rPr>
          <w:b/>
          <w:bCs/>
        </w:rPr>
        <w:t xml:space="preserve">A. Y. 2026–27</w:t>
      </w:r>
    </w:p>
    <w:p>
      <w:pPr>
        <w:sectPr>
          <w:pgSz w:w="12240" w:h="15840" w:orient="portrait"/>
          <w:pgMar w:top="1152" w:right="1440" w:bottom="1152" w:left="1440" w:header="720" w:footer="720" w:gutter="0"/>
          <w:vAlign w:val="center"/>
        </w:sectPr>
      </w:pPr>
    </w:p>
    <w:p>
      <w:r>
        <w:br w:type="page"/>
      </w:r>
    </w:p>
    <w:p>
      <w:pPr>
        <w:pStyle w:val="Center"/>
      </w:pPr>
      <w:r>
        <w:rPr>
          <w:b/>
          <w:bCs/>
          <w:sz w:val="28"/>
        </w:rPr>
        <w:t xml:space="preserve">VIVEKANAND EDUCATION SOCIETY’S INSTITUTE OF TECHNOLOGY</w:t>
      </w:r>
    </w:p>
    <w:p>
      <w:pPr>
        <w:pStyle w:val="Center"/>
      </w:pPr>
      <w:r>
        <w:rPr>
          <w:sz w:val="24"/>
        </w:rPr>
        <w:t xml:space="preserve">An Autonomous Institute Affiliated to the University of Mumbai</w:t>
      </w:r>
    </w:p>
    <w:p>
      <w:pPr>
        <w:pStyle w:val="Center"/>
        <w:spacing w:before="0" w:after="200"/>
      </w:pPr>
      <w:r>
        <w:rPr>
          <w:b/>
          <w:bCs/>
          <w:sz w:val="26"/>
        </w:rPr>
        <w:t xml:space="preserve">DEPARTMENT OF COMPUTER ENGINEERING</w:t>
      </w:r>
    </w:p>
    <w:p>
      <w:pPr>
        <w:pStyle w:val="Center"/>
        <w:spacing w:before="120" w:after="240"/>
      </w:pPr>
      <w:r>
        <w:drawing>
          <wp:inline distT="0" distB="0" distL="0" distR="0">
            <wp:extent cx="864000" cy="1276363"/>
            <wp:docPr id="992" name="VESIT logo" descr="VESIT logo"/>
            <a:graphic xmlns:a="http://schemas.openxmlformats.org/drawingml/2006/main">
              <a:graphicData uri="http://schemas.openxmlformats.org/drawingml/2006/picture">
                <pic:pic xmlns:pic="http://schemas.openxmlformats.org/drawingml/2006/picture">
                  <pic:nvPicPr>
                    <pic:cNvPr id="992" name="logo.png"/>
                    <pic:cNvPicPr/>
                  </pic:nvPicPr>
                  <pic:blipFill>
                    <a:blip r:embed="rIdLogo"/>
                    <a:stretch>
                      <a:fillRect/>
                    </a:stretch>
                  </pic:blipFill>
                  <pic:spPr>
                    <a:xfrm>
                      <a:off x="0" y="0"/>
                      <a:ext cx="864000" cy="1276363"/>
                    </a:xfrm>
                    <a:prstGeom prst="rect">
                      <a:avLst/>
                    </a:prstGeom>
                  </pic:spPr>
                </pic:pic>
              </a:graphicData>
            </a:graphic>
          </wp:inline>
        </w:drawing>
      </w:r>
    </w:p>
    <w:p>
      <w:pPr>
        <w:pStyle w:val="FrontTitle"/>
      </w:pPr>
      <w:r>
        <w:t xml:space="preserve">Certificate</w:t>
      </w:r>
    </w:p>
    <w:p>
      <w:pPr>
        <w:pStyle w:val="Normal"/>
      </w:pPr>
      <w:r>
        <w:t xml:space="preserve">This is to certify that </w:t>
      </w:r>
      <w:r>
        <w:rPr>
          <w:b/>
          <w:bCs/>
        </w:rPr>
        <w:t xml:space="preserve">Rahul Guhagarkar, Nathan Cherian, Alok Pal and Akul Patre</w:t>
      </w:r>
      <w:r>
        <w:t xml:space="preserve"> of Fourth Year Computer Engineering studying in Vivekanand Education Society’s Institute of Technology, affiliated to University of Mumbai have satisfactorily completed the project on </w:t>
      </w:r>
      <w:r>
        <w:rPr>
          <w:b/>
          <w:bCs/>
        </w:rPr>
        <w:t xml:space="preserve">“ResilientAI: Drift Detection and Diagnosis System”</w:t>
      </w:r>
      <w:r>
        <w:t xml:space="preserve"> as a part of their coursework of Capstone Project - II for Semester-VII under the guidance of their mentor </w:t>
      </w:r>
      <w:r>
        <w:rPr>
          <w:b/>
          <w:bCs/>
          <w:highlight w:val="yellow"/>
        </w:rPr>
        <w:t xml:space="preserve">Prof./Dr.</w:t>
      </w:r>
      <w:r>
        <w:rPr>
          <w:b/>
          <w:bCs/>
        </w:rPr>
        <w:t xml:space="preserve"> Sanjay Mirchandani</w:t>
      </w:r>
      <w:r>
        <w:t xml:space="preserve"> in the year 2026–27.</w:t>
      </w:r>
    </w:p>
    <w:p>
      <w:pPr>
        <w:pStyle w:val="Normal"/>
      </w:pPr>
      <w:r>
        <w:t xml:space="preserve">This project report entitled “ResilientAI: Drift Detection and Diagnosis System” by Rahul Guhagarkar, Nathan Cherian, Alok Pal and Akul Patre is approved for the degree of Bachelor of Engineering (B.E.) in Computer Engineering.</w:t>
      </w:r>
    </w:p>
    <w:tbl>
      <w:tblPr>
        <w:tblW w:w="60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30" w:type="dxa"/>
          <w:left w:w="80" w:type="dxa"/>
          <w:bottom w:w="30" w:type="dxa"/>
          <w:right w:w="80" w:type="dxa"/>
        </w:tblCellMar>
        <w:tblLook w:val="0000"/>
      </w:tblPr>
      <w:tblGrid>
        <w:gridCol w:w="4800"/>
        <w:gridCol w:w="1200"/>
      </w:tblGrid>
      <w:tr>
        <w:trPr>
          <w:cantSplit/>
          <w:tblHeader/>
        </w:trPr>
        <w:tc>
          <w:tcPr>
            <w:tcW w:w="4800" w:type="dxa"/>
            <w:vAlign w:val="center"/>
          </w:tcPr>
          <w:p>
            <w:pPr>
              <w:pStyle w:val="TableText"/>
              <w:keepNext/>
              <w:jc w:val="center"/>
            </w:pPr>
            <w:r>
              <w:rPr>
                <w:sz w:val="22"/>
                <w:szCs w:val="22"/>
                <w:b/>
                <w:bCs/>
              </w:rPr>
              <w:t xml:space="preserve">Programme Outcomes</w:t>
            </w:r>
          </w:p>
        </w:tc>
        <w:tc>
          <w:tcPr>
            <w:tcW w:w="1200" w:type="dxa"/>
            <w:vAlign w:val="center"/>
          </w:tcPr>
          <w:p>
            <w:pPr>
              <w:pStyle w:val="TableText"/>
              <w:keepNext/>
              <w:jc w:val="center"/>
            </w:pPr>
            <w:r>
              <w:rPr>
                <w:sz w:val="22"/>
                <w:szCs w:val="22"/>
                <w:b/>
                <w:bCs/>
              </w:rPr>
              <w:t xml:space="preserve">Grade</w:t>
            </w:r>
          </w:p>
        </w:tc>
      </w:tr>
      <w:tr>
        <w:trPr>
          <w:cantSplit/>
        </w:trPr>
        <w:tc>
          <w:tcPr>
            <w:tcW w:w="4800" w:type="dxa"/>
            <w:vAlign w:val="center"/>
          </w:tcPr>
          <w:p>
            <w:pPr>
              <w:pStyle w:val="TableText"/>
              <w:jc w:val="left"/>
            </w:pPr>
            <w:r>
              <w:rPr>
                <w:sz w:val="22"/>
                <w:szCs w:val="22"/>
              </w:rPr>
              <w:t xml:space="preserve">PO1, PO2, PO3, PO4, PO5, PO6, PO7, PO8, PO9, PO10, PO11, PSO1, PSO2</w:t>
            </w:r>
          </w:p>
        </w:tc>
        <w:tc>
          <w:tcPr>
            <w:tcW w:w="1200" w:type="dxa"/>
            <w:vAlign w:val="center"/>
          </w:tcPr>
          <w:p>
            <w:pPr>
              <w:pStyle w:val="TableText"/>
              <w:jc w:val="center"/>
            </w:pPr>
            <w:r>
              <w:rPr>
                <w:sz w:val="22"/>
                <w:szCs w:val="22"/>
              </w:rPr>
              <w:t xml:space="preserve"> </w:t>
            </w:r>
          </w:p>
        </w:tc>
      </w:tr>
    </w:tbl>
    <w:p>
      <w:pPr>
        <w:pStyle w:val="Signature"/>
        <w:spacing w:before="480" w:after="0"/>
      </w:pPr>
      <w:r>
        <w:t xml:space="preserve">Date:</w:t>
      </w:r>
    </w:p>
    <w:p>
      <w:pPr>
        <w:pStyle w:val="Signature"/>
        <w:spacing w:before="480" w:after="0"/>
      </w:pPr>
      <w:r>
        <w:t xml:space="preserve">________________________________________</w:t>
      </w:r>
    </w:p>
    <w:p>
      <w:pPr>
        <w:pStyle w:val="Signature"/>
      </w:pPr>
      <w:r>
        <w:t xml:space="preserve">Project Guide: </w:t>
      </w:r>
      <w:r>
        <w:rPr>
          <w:highlight w:val="yellow"/>
        </w:rPr>
        <w:t xml:space="preserve">Prof./Dr.</w:t>
      </w:r>
      <w:r>
        <w:t xml:space="preserve"> Sanjay Mirchandani</w:t>
      </w:r>
    </w:p>
    <w:p>
      <w:r>
        <w:br w:type="page"/>
      </w:r>
    </w:p>
    <w:p>
      <w:pPr>
        <w:pStyle w:val="FrontTitle"/>
      </w:pPr>
      <w:r>
        <w:t xml:space="preserve">Project Report Approval</w:t>
      </w:r>
    </w:p>
    <w:p>
      <w:pPr>
        <w:pStyle w:val="Center"/>
      </w:pPr>
      <w:r>
        <w:rPr>
          <w:b/>
          <w:bCs/>
        </w:rPr>
        <w:t xml:space="preserve">For</w:t>
      </w:r>
    </w:p>
    <w:p>
      <w:pPr>
        <w:pStyle w:val="Center"/>
        <w:spacing w:before="0" w:after="360"/>
      </w:pPr>
      <w:r>
        <w:rPr>
          <w:b/>
          <w:bCs/>
        </w:rPr>
        <w:t xml:space="preserve">B. E. (Computer Engineering)</w:t>
      </w:r>
    </w:p>
    <w:p>
      <w:pPr>
        <w:pStyle w:val="Normal"/>
      </w:pPr>
      <w:r>
        <w:t xml:space="preserve">This project report entitled “ResilientAI: Drift Detection and Diagnosis System” by Rahul Guhagarkar, Nathan Cherian, Alok Pal and Akul Patre is approved for the degree of Bachelor of Engineering (B.E.) in Computer Engineering.</w:t>
      </w:r>
    </w:p>
    <w:p>
      <w:pPr>
        <w:pStyle w:val="Signature"/>
        <w:spacing w:before="600" w:after="0"/>
        <w:jc w:val="right"/>
      </w:pPr>
      <w:r>
        <w:t xml:space="preserve">________________________________________</w:t>
      </w:r>
    </w:p>
    <w:p>
      <w:pPr>
        <w:pStyle w:val="Signature"/>
        <w:jc w:val="right"/>
      </w:pPr>
      <w:r>
        <w:t xml:space="preserve">Internal Examiner</w:t>
      </w:r>
    </w:p>
    <w:p>
      <w:pPr>
        <w:pStyle w:val="Signature"/>
        <w:spacing w:before="600" w:after="0"/>
        <w:jc w:val="right"/>
      </w:pPr>
      <w:r>
        <w:t xml:space="preserve">________________________________________</w:t>
      </w:r>
    </w:p>
    <w:p>
      <w:pPr>
        <w:pStyle w:val="Signature"/>
        <w:jc w:val="right"/>
      </w:pPr>
      <w:r>
        <w:t xml:space="preserve">External Examiner</w:t>
      </w:r>
    </w:p>
    <w:p>
      <w:pPr>
        <w:pStyle w:val="Signature"/>
        <w:spacing w:before="600" w:after="0"/>
        <w:jc w:val="right"/>
      </w:pPr>
      <w:r>
        <w:t xml:space="preserve">________________________________________</w:t>
      </w:r>
    </w:p>
    <w:p>
      <w:pPr>
        <w:pStyle w:val="Signature"/>
        <w:jc w:val="right"/>
      </w:pPr>
      <w:r>
        <w:t xml:space="preserve">Head of the Department</w:t>
      </w:r>
    </w:p>
    <w:p>
      <w:pPr>
        <w:pStyle w:val="Signature"/>
        <w:spacing w:before="600" w:after="0"/>
        <w:jc w:val="right"/>
      </w:pPr>
      <w:r>
        <w:t xml:space="preserve">________________________________________</w:t>
      </w:r>
    </w:p>
    <w:p>
      <w:pPr>
        <w:pStyle w:val="Signature"/>
        <w:jc w:val="right"/>
      </w:pPr>
      <w:r>
        <w:t xml:space="preserve">Principal</w:t>
      </w:r>
    </w:p>
    <w:p>
      <w:pPr>
        <w:pStyle w:val="Signature"/>
        <w:spacing w:before="480" w:after="0"/>
      </w:pPr>
      <w:r>
        <w:t xml:space="preserve">Date:</w:t>
      </w:r>
    </w:p>
    <w:p>
      <w:pPr>
        <w:pStyle w:val="Signature"/>
        <w:spacing w:before="240" w:after="0"/>
      </w:pPr>
      <w:r>
        <w:t xml:space="preserve">Place:</w:t>
      </w:r>
    </w:p>
    <w:p>
      <w:r>
        <w:br w:type="page"/>
      </w:r>
    </w:p>
    <w:p>
      <w:pPr>
        <w:pStyle w:val="FrontTitle"/>
      </w:pPr>
      <w:r>
        <w:t xml:space="preserve">Declaration</w:t>
      </w:r>
    </w:p>
    <w:p>
      <w:pPr>
        <w:pStyle w:val="Normal"/>
      </w:pPr>
      <w:r>
        <w:t xml:space="preserve">We declare that this written submission represents our ideas in our own words and where others’ ideas or words have been included, we have adequately cited and referenced the original sources. We also declare that we have adhered to all principles of academic honesty and integrity and have not misrepresented or fabricated or falsified any idea/data/fact/source in our submission. We understand that any violation of the above will be cause for disciplinary action by the Institute and can also evoke penal action from the sources which have thus not been properly cited or from whom proper permission has not been taken when needed.</w:t>
      </w:r>
    </w:p>
    <w:tbl>
      <w:tblPr>
        <w:tblW w:w="9200" w:type="dxa"/>
        <w:tblLayout w:type="fixed"/>
        <w:tblLook w:val="0000"/>
      </w:tblPr>
      <w:tblGrid>
        <w:gridCol w:w="4600"/>
        <w:gridCol w:w="4600"/>
      </w:tblGrid>
      <w:tr>
        <w:tc>
          <w:tcPr>
            <w:tcW w:w="4600" w:type="dxa"/>
          </w:tcPr>
          <w:p>
            <w:pPr>
              <w:pStyle w:val="Signature"/>
              <w:spacing w:before="560" w:after="0"/>
            </w:pPr>
            <w:r>
              <w:t xml:space="preserve">________________________________</w:t>
            </w:r>
          </w:p>
          <w:p>
            <w:pPr>
              <w:pStyle w:val="Signature"/>
            </w:pPr>
            <w:r>
              <w:t xml:space="preserve">(Signature)</w:t>
            </w:r>
          </w:p>
          <w:p>
            <w:pPr>
              <w:pStyle w:val="Signature"/>
              <w:spacing w:before="60" w:after="0"/>
            </w:pPr>
            <w:r>
              <w:t xml:space="preserve">Rahul Guhagarkar (</w:t>
            </w:r>
            <w:r>
              <w:rPr>
                <w:highlight w:val="yellow"/>
              </w:rPr>
              <w:t xml:space="preserve">Class / Roll No.</w:t>
            </w:r>
            <w:r>
              <w:t xml:space="preserve">)</w:t>
            </w:r>
          </w:p>
        </w:tc>
        <w:tc>
          <w:tcPr>
            <w:tcW w:w="4600" w:type="dxa"/>
          </w:tcPr>
          <w:p>
            <w:pPr>
              <w:pStyle w:val="Signature"/>
              <w:spacing w:before="560" w:after="0"/>
            </w:pPr>
            <w:r>
              <w:t xml:space="preserve">________________________________</w:t>
            </w:r>
          </w:p>
          <w:p>
            <w:pPr>
              <w:pStyle w:val="Signature"/>
            </w:pPr>
            <w:r>
              <w:t xml:space="preserve">(Signature)</w:t>
            </w:r>
          </w:p>
          <w:p>
            <w:pPr>
              <w:pStyle w:val="Signature"/>
              <w:spacing w:before="60" w:after="0"/>
            </w:pPr>
            <w:r>
              <w:t xml:space="preserve">Nathan Cherian (</w:t>
            </w:r>
            <w:r>
              <w:rPr>
                <w:highlight w:val="yellow"/>
              </w:rPr>
              <w:t xml:space="preserve">Class / Roll No.</w:t>
            </w:r>
            <w:r>
              <w:t xml:space="preserve">)</w:t>
            </w:r>
          </w:p>
        </w:tc>
      </w:tr>
      <w:tr>
        <w:tc>
          <w:tcPr>
            <w:tcW w:w="4600" w:type="dxa"/>
          </w:tcPr>
          <w:p>
            <w:pPr>
              <w:pStyle w:val="Signature"/>
              <w:spacing w:before="560" w:after="0"/>
            </w:pPr>
            <w:r>
              <w:t xml:space="preserve">________________________________</w:t>
            </w:r>
          </w:p>
          <w:p>
            <w:pPr>
              <w:pStyle w:val="Signature"/>
            </w:pPr>
            <w:r>
              <w:t xml:space="preserve">(Signature)</w:t>
            </w:r>
          </w:p>
          <w:p>
            <w:pPr>
              <w:pStyle w:val="Signature"/>
              <w:spacing w:before="60" w:after="0"/>
            </w:pPr>
            <w:r>
              <w:t xml:space="preserve">Alok Pal (</w:t>
            </w:r>
            <w:r>
              <w:rPr>
                <w:highlight w:val="yellow"/>
              </w:rPr>
              <w:t xml:space="preserve">Class / Roll No.</w:t>
            </w:r>
            <w:r>
              <w:t xml:space="preserve">)</w:t>
            </w:r>
          </w:p>
        </w:tc>
        <w:tc>
          <w:tcPr>
            <w:tcW w:w="4600" w:type="dxa"/>
          </w:tcPr>
          <w:p>
            <w:pPr>
              <w:pStyle w:val="Signature"/>
              <w:spacing w:before="560" w:after="0"/>
            </w:pPr>
            <w:r>
              <w:t xml:space="preserve">________________________________</w:t>
            </w:r>
          </w:p>
          <w:p>
            <w:pPr>
              <w:pStyle w:val="Signature"/>
            </w:pPr>
            <w:r>
              <w:t xml:space="preserve">(Signature)</w:t>
            </w:r>
          </w:p>
          <w:p>
            <w:pPr>
              <w:pStyle w:val="Signature"/>
              <w:spacing w:before="60" w:after="0"/>
            </w:pPr>
            <w:r>
              <w:t xml:space="preserve">Akul Patre (</w:t>
            </w:r>
            <w:r>
              <w:rPr>
                <w:highlight w:val="yellow"/>
              </w:rPr>
              <w:t xml:space="preserve">Class / Roll No.</w:t>
            </w:r>
            <w:r>
              <w:t xml:space="preserve">)</w:t>
            </w:r>
          </w:p>
        </w:tc>
      </w:tr>
    </w:tbl>
    <w:p>
      <w:pPr>
        <w:pStyle w:val="Signature"/>
        <w:spacing w:before="480" w:after="0"/>
      </w:pPr>
      <w:r>
        <w:t xml:space="preserve">Date:</w:t>
      </w:r>
    </w:p>
    <w:p>
      <w:r>
        <w:br w:type="page"/>
      </w:r>
    </w:p>
    <w:p>
      <w:pPr>
        <w:pStyle w:val="FrontTitle"/>
      </w:pPr>
      <w:r>
        <w:t xml:space="preserve">ACKNOWLEDGEMENT</w:t>
      </w:r>
    </w:p>
    <w:p>
      <w:pPr>
        <w:pStyle w:val="Normal"/>
      </w:pPr>
      <w:r>
        <w:t xml:space="preserve">We are thankful to our college, Vivekanand Education Society’s Institute of Technology, for considering our project and extending help at all stages needed during our work of collecting information regarding the project.</w:t>
      </w:r>
    </w:p>
    <w:p>
      <w:pPr>
        <w:pStyle w:val="Normal"/>
      </w:pPr>
      <w:r>
        <w:t xml:space="preserve">It gives us immense pleasure to express our deep and sincere gratitude to our project mentor, </w:t>
      </w:r>
      <w:r>
        <w:rPr>
          <w:highlight w:val="yellow"/>
        </w:rPr>
        <w:t xml:space="preserve">Prof./Dr.</w:t>
      </w:r>
      <w:r>
        <w:t xml:space="preserve"> Sanjay Mirchandani, for the kind help and valuable advice during the development of the project synopsis and for the guidance and suggestions that shaped this work at every review.</w:t>
      </w:r>
    </w:p>
    <w:p>
      <w:pPr>
        <w:pStyle w:val="Normal"/>
      </w:pPr>
      <w:r>
        <w:t xml:space="preserve">We are deeply indebted to our Principal Dr. (Mrs.) J. M. Nair and the Head of the Computer Department Dr. (Mrs.) Nupur Giri for giving us this valuable opportunity to do this project.</w:t>
      </w:r>
    </w:p>
    <w:p>
      <w:pPr>
        <w:pStyle w:val="Normal"/>
      </w:pPr>
      <w:r>
        <w:t xml:space="preserve">We express our hearty thanks to them for their assistance, without which it would have been difficult to finish this project report successfully.</w:t>
      </w:r>
    </w:p>
    <w:p>
      <w:pPr>
        <w:pStyle w:val="Normal"/>
      </w:pPr>
      <w:r>
        <w:t xml:space="preserve">We convey our deep sense of gratitude to all teaching and non-teaching staff for their constant encouragement, support and selfless help throughout the project work. It is a great pleasure to acknowledge the help and suggestions we received from the Department of Computer Engineering.</w:t>
      </w:r>
    </w:p>
    <w:p>
      <w:pPr>
        <w:pStyle w:val="Normal"/>
      </w:pPr>
      <w:r>
        <w:t xml:space="preserve">We wish to express our profound thanks to all those who helped us in gathering information about the project. Our families too have provided moral support and encouragement several times.</w:t>
      </w:r>
    </w:p>
    <w:p>
      <w:r>
        <w:br w:type="page"/>
      </w:r>
    </w:p>
    <w:p>
      <w:pPr>
        <w:pStyle w:val="Center"/>
      </w:pPr>
      <w:r>
        <w:rPr>
          <w:b/>
          <w:bCs/>
          <w:sz w:val="26"/>
        </w:rPr>
        <w:t xml:space="preserve">DEPARTMENT OF COMPUTER ENGINEERING</w:t>
      </w:r>
    </w:p>
    <w:p>
      <w:pPr>
        <w:pStyle w:val="FrontTitle"/>
      </w:pPr>
      <w:r>
        <w:rPr>
          <w:sz w:val="28"/>
        </w:rPr>
        <w:t xml:space="preserve">COURSE OUTCOMES FOR CAPSTONE PROJECT–II</w:t>
      </w:r>
    </w:p>
    <w:tbl>
      <w:tblPr>
        <w:tblW w:w="9259"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30" w:type="dxa"/>
          <w:left w:w="80" w:type="dxa"/>
          <w:bottom w:w="30" w:type="dxa"/>
          <w:right w:w="80" w:type="dxa"/>
        </w:tblCellMar>
        <w:tblLook w:val="0000"/>
      </w:tblPr>
      <w:tblGrid>
        <w:gridCol w:w="1649"/>
        <w:gridCol w:w="7610"/>
      </w:tblGrid>
      <w:tr>
        <w:trPr>
          <w:cantSplit/>
          <w:tblHeader/>
        </w:trPr>
        <w:tc>
          <w:tcPr>
            <w:tcW w:w="1649" w:type="dxa"/>
            <w:shd w:val="clear" w:color="auto" w:fill="D9E2F3"/>
            <w:vAlign w:val="center"/>
          </w:tcPr>
          <w:p>
            <w:pPr>
              <w:pStyle w:val="TableText"/>
              <w:keepNext/>
              <w:jc w:val="center"/>
            </w:pPr>
            <w:r>
              <w:rPr>
                <w:sz w:val="22"/>
                <w:szCs w:val="22"/>
                <w:b/>
                <w:bCs/>
              </w:rPr>
              <w:t xml:space="preserve">Course Outcome</w:t>
            </w:r>
          </w:p>
        </w:tc>
        <w:tc>
          <w:tcPr>
            <w:tcW w:w="7610" w:type="dxa"/>
            <w:shd w:val="clear" w:color="auto" w:fill="D9E2F3"/>
            <w:vAlign w:val="center"/>
          </w:tcPr>
          <w:p>
            <w:pPr>
              <w:pStyle w:val="TableText"/>
              <w:keepNext/>
              <w:jc w:val="center"/>
            </w:pPr>
            <w:r>
              <w:rPr>
                <w:sz w:val="22"/>
                <w:szCs w:val="22"/>
                <w:b/>
                <w:bCs/>
              </w:rPr>
              <w:t xml:space="preserve">Description</w:t>
            </w:r>
          </w:p>
        </w:tc>
      </w:tr>
      <w:tr>
        <w:trPr>
          <w:cantSplit/>
        </w:trPr>
        <w:tc>
          <w:tcPr>
            <w:tcW w:w="1649" w:type="dxa"/>
            <w:vAlign w:val="center"/>
          </w:tcPr>
          <w:p>
            <w:pPr>
              <w:pStyle w:val="TableText"/>
              <w:keepNext/>
              <w:jc w:val="center"/>
            </w:pPr>
            <w:r>
              <w:rPr>
                <w:sz w:val="22"/>
                <w:szCs w:val="22"/>
              </w:rPr>
              <w:t xml:space="preserve">CO1</w:t>
            </w:r>
          </w:p>
        </w:tc>
        <w:tc>
          <w:tcPr>
            <w:tcW w:w="7610" w:type="dxa"/>
            <w:vAlign w:val="center"/>
          </w:tcPr>
          <w:p>
            <w:pPr>
              <w:pStyle w:val="TableText"/>
              <w:keepNext/>
              <w:jc w:val="left"/>
            </w:pPr>
            <w:r>
              <w:rPr>
                <w:sz w:val="22"/>
                <w:szCs w:val="22"/>
              </w:rPr>
              <w:t xml:space="preserve">Implement and integrate all modules of the proposed system effectively.</w:t>
            </w:r>
          </w:p>
        </w:tc>
      </w:tr>
      <w:tr>
        <w:trPr>
          <w:cantSplit/>
        </w:trPr>
        <w:tc>
          <w:tcPr>
            <w:tcW w:w="1649" w:type="dxa"/>
            <w:vAlign w:val="center"/>
          </w:tcPr>
          <w:p>
            <w:pPr>
              <w:pStyle w:val="TableText"/>
              <w:keepNext/>
              <w:jc w:val="center"/>
            </w:pPr>
            <w:r>
              <w:rPr>
                <w:sz w:val="22"/>
                <w:szCs w:val="22"/>
              </w:rPr>
              <w:t xml:space="preserve">CO2</w:t>
            </w:r>
          </w:p>
        </w:tc>
        <w:tc>
          <w:tcPr>
            <w:tcW w:w="7610" w:type="dxa"/>
            <w:vAlign w:val="center"/>
          </w:tcPr>
          <w:p>
            <w:pPr>
              <w:pStyle w:val="TableText"/>
              <w:keepNext/>
              <w:jc w:val="left"/>
            </w:pPr>
            <w:r>
              <w:rPr>
                <w:sz w:val="22"/>
                <w:szCs w:val="22"/>
              </w:rPr>
              <w:t xml:space="preserve">Perform testing, debugging, validation, and performance optimization of the developed solution.</w:t>
            </w:r>
          </w:p>
        </w:tc>
      </w:tr>
      <w:tr>
        <w:trPr>
          <w:cantSplit/>
        </w:trPr>
        <w:tc>
          <w:tcPr>
            <w:tcW w:w="1649" w:type="dxa"/>
            <w:vAlign w:val="center"/>
          </w:tcPr>
          <w:p>
            <w:pPr>
              <w:pStyle w:val="TableText"/>
              <w:jc w:val="center"/>
            </w:pPr>
            <w:r>
              <w:rPr>
                <w:sz w:val="22"/>
                <w:szCs w:val="22"/>
              </w:rPr>
              <w:t xml:space="preserve">CO3</w:t>
            </w:r>
          </w:p>
        </w:tc>
        <w:tc>
          <w:tcPr>
            <w:tcW w:w="7610" w:type="dxa"/>
            <w:vAlign w:val="center"/>
          </w:tcPr>
          <w:p>
            <w:pPr>
              <w:pStyle w:val="TableText"/>
              <w:jc w:val="left"/>
            </w:pPr>
            <w:r>
              <w:rPr>
                <w:sz w:val="22"/>
                <w:szCs w:val="22"/>
              </w:rPr>
              <w:t xml:space="preserve">Analyze project outcomes using appropriate engineering tools and metrics.</w:t>
            </w:r>
          </w:p>
        </w:tc>
      </w:tr>
      <w:tr>
        <w:trPr>
          <w:cantSplit/>
        </w:trPr>
        <w:tc>
          <w:tcPr>
            <w:tcW w:w="1649" w:type="dxa"/>
            <w:vAlign w:val="center"/>
          </w:tcPr>
          <w:p>
            <w:pPr>
              <w:pStyle w:val="TableText"/>
              <w:jc w:val="center"/>
            </w:pPr>
            <w:r>
              <w:rPr>
                <w:sz w:val="22"/>
                <w:szCs w:val="22"/>
              </w:rPr>
              <w:t xml:space="preserve">CO4</w:t>
            </w:r>
          </w:p>
        </w:tc>
        <w:tc>
          <w:tcPr>
            <w:tcW w:w="7610" w:type="dxa"/>
            <w:vAlign w:val="center"/>
          </w:tcPr>
          <w:p>
            <w:pPr>
              <w:pStyle w:val="TableText"/>
              <w:jc w:val="left"/>
            </w:pPr>
            <w:r>
              <w:rPr>
                <w:sz w:val="22"/>
                <w:szCs w:val="22"/>
              </w:rPr>
              <w:t xml:space="preserve">Demonstrate deployment readiness, usability, security, scalability, and sustainability considerations.</w:t>
            </w:r>
          </w:p>
        </w:tc>
      </w:tr>
      <w:tr>
        <w:trPr>
          <w:cantSplit/>
        </w:trPr>
        <w:tc>
          <w:tcPr>
            <w:tcW w:w="1649" w:type="dxa"/>
            <w:vAlign w:val="center"/>
          </w:tcPr>
          <w:p>
            <w:pPr>
              <w:pStyle w:val="TableText"/>
              <w:jc w:val="center"/>
            </w:pPr>
            <w:r>
              <w:rPr>
                <w:sz w:val="22"/>
                <w:szCs w:val="22"/>
              </w:rPr>
              <w:t xml:space="preserve">CO5</w:t>
            </w:r>
          </w:p>
        </w:tc>
        <w:tc>
          <w:tcPr>
            <w:tcW w:w="7610" w:type="dxa"/>
            <w:vAlign w:val="center"/>
          </w:tcPr>
          <w:p>
            <w:pPr>
              <w:pStyle w:val="TableText"/>
              <w:jc w:val="left"/>
            </w:pPr>
            <w:r>
              <w:rPr>
                <w:sz w:val="22"/>
                <w:szCs w:val="22"/>
              </w:rPr>
              <w:t xml:space="preserve">Analyze, interpret, and present research outcomes effectively using appropriate research methodologies, analytical tools, and presentation techniques.</w:t>
            </w:r>
          </w:p>
        </w:tc>
      </w:tr>
      <w:tr>
        <w:trPr>
          <w:cantSplit/>
        </w:trPr>
        <w:tc>
          <w:tcPr>
            <w:tcW w:w="1649" w:type="dxa"/>
            <w:vAlign w:val="center"/>
          </w:tcPr>
          <w:p>
            <w:pPr>
              <w:pStyle w:val="TableText"/>
              <w:jc w:val="center"/>
            </w:pPr>
            <w:r>
              <w:rPr>
                <w:sz w:val="22"/>
                <w:szCs w:val="22"/>
              </w:rPr>
              <w:t xml:space="preserve">CO6</w:t>
            </w:r>
          </w:p>
        </w:tc>
        <w:tc>
          <w:tcPr>
            <w:tcW w:w="7610" w:type="dxa"/>
            <w:vAlign w:val="center"/>
          </w:tcPr>
          <w:p>
            <w:pPr>
              <w:pStyle w:val="TableText"/>
              <w:jc w:val="left"/>
            </w:pPr>
            <w:r>
              <w:rPr>
                <w:sz w:val="22"/>
                <w:szCs w:val="22"/>
              </w:rPr>
              <w:t xml:space="preserve">Present and defend the complete project professionally through demonstrations, presentations, and comprehensive technical documentation.</w:t>
            </w:r>
          </w:p>
        </w:tc>
      </w:tr>
    </w:tbl>
    <w:p>
      <w:pPr>
        <w:pStyle w:val="Normal"/>
        <w:spacing w:before="0" w:after="0"/>
      </w:pPr>
    </w:p>
    <w:p>
      <w:pPr>
        <w:pStyle w:val="Center"/>
        <w:spacing w:before="240" w:after="120"/>
      </w:pPr>
      <w:r>
        <w:rPr>
          <w:b/>
          <w:bCs/>
          <w:sz w:val="28"/>
        </w:rPr>
        <w:t xml:space="preserve">CO–PO–PSO Mapping Table</w:t>
      </w:r>
    </w:p>
    <w:tbl>
      <w:tblPr>
        <w:tblW w:w="925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30" w:type="dxa"/>
          <w:left w:w="80" w:type="dxa"/>
          <w:bottom w:w="30" w:type="dxa"/>
          <w:right w:w="80" w:type="dxa"/>
        </w:tblCellMar>
        <w:tblLook w:val="0000"/>
      </w:tblPr>
      <w:tblGrid>
        <w:gridCol w:w="841"/>
        <w:gridCol w:w="647"/>
        <w:gridCol w:w="647"/>
        <w:gridCol w:w="647"/>
        <w:gridCol w:w="647"/>
        <w:gridCol w:w="647"/>
        <w:gridCol w:w="647"/>
        <w:gridCol w:w="647"/>
        <w:gridCol w:w="647"/>
        <w:gridCol w:w="647"/>
        <w:gridCol w:w="647"/>
        <w:gridCol w:w="647"/>
        <w:gridCol w:w="647"/>
        <w:gridCol w:w="647"/>
      </w:tblGrid>
      <w:tr>
        <w:trPr>
          <w:cantSplit/>
          <w:tblHeader/>
        </w:trPr>
        <w:tc>
          <w:tcPr>
            <w:tcW w:w="841" w:type="dxa"/>
            <w:shd w:val="clear" w:color="auto" w:fill="D9E2F3"/>
            <w:vAlign w:val="center"/>
          </w:tcPr>
          <w:p>
            <w:pPr>
              <w:pStyle w:val="TableText"/>
              <w:keepNext/>
              <w:jc w:val="center"/>
            </w:pPr>
            <w:r>
              <w:rPr>
                <w:sz w:val="20"/>
                <w:szCs w:val="20"/>
                <w:b/>
                <w:bCs/>
              </w:rPr>
              <w:t xml:space="preserve">CO</w:t>
            </w:r>
          </w:p>
        </w:tc>
        <w:tc>
          <w:tcPr>
            <w:tcW w:w="647" w:type="dxa"/>
            <w:shd w:val="clear" w:color="auto" w:fill="D9E2F3"/>
            <w:vAlign w:val="center"/>
          </w:tcPr>
          <w:p>
            <w:pPr>
              <w:pStyle w:val="TableText"/>
              <w:keepNext/>
              <w:jc w:val="center"/>
            </w:pPr>
            <w:r>
              <w:rPr>
                <w:sz w:val="20"/>
                <w:szCs w:val="20"/>
                <w:b/>
                <w:bCs/>
              </w:rPr>
              <w:t xml:space="preserve">PO1</w:t>
            </w:r>
          </w:p>
        </w:tc>
        <w:tc>
          <w:tcPr>
            <w:tcW w:w="647" w:type="dxa"/>
            <w:shd w:val="clear" w:color="auto" w:fill="D9E2F3"/>
            <w:vAlign w:val="center"/>
          </w:tcPr>
          <w:p>
            <w:pPr>
              <w:pStyle w:val="TableText"/>
              <w:keepNext/>
              <w:jc w:val="center"/>
            </w:pPr>
            <w:r>
              <w:rPr>
                <w:sz w:val="20"/>
                <w:szCs w:val="20"/>
                <w:b/>
                <w:bCs/>
              </w:rPr>
              <w:t xml:space="preserve">PO2</w:t>
            </w:r>
          </w:p>
        </w:tc>
        <w:tc>
          <w:tcPr>
            <w:tcW w:w="647" w:type="dxa"/>
            <w:shd w:val="clear" w:color="auto" w:fill="D9E2F3"/>
            <w:vAlign w:val="center"/>
          </w:tcPr>
          <w:p>
            <w:pPr>
              <w:pStyle w:val="TableText"/>
              <w:keepNext/>
              <w:jc w:val="center"/>
            </w:pPr>
            <w:r>
              <w:rPr>
                <w:sz w:val="20"/>
                <w:szCs w:val="20"/>
                <w:b/>
                <w:bCs/>
              </w:rPr>
              <w:t xml:space="preserve">PO3</w:t>
            </w:r>
          </w:p>
        </w:tc>
        <w:tc>
          <w:tcPr>
            <w:tcW w:w="647" w:type="dxa"/>
            <w:shd w:val="clear" w:color="auto" w:fill="D9E2F3"/>
            <w:vAlign w:val="center"/>
          </w:tcPr>
          <w:p>
            <w:pPr>
              <w:pStyle w:val="TableText"/>
              <w:keepNext/>
              <w:jc w:val="center"/>
            </w:pPr>
            <w:r>
              <w:rPr>
                <w:sz w:val="20"/>
                <w:szCs w:val="20"/>
                <w:b/>
                <w:bCs/>
              </w:rPr>
              <w:t xml:space="preserve">PO4</w:t>
            </w:r>
          </w:p>
        </w:tc>
        <w:tc>
          <w:tcPr>
            <w:tcW w:w="647" w:type="dxa"/>
            <w:shd w:val="clear" w:color="auto" w:fill="D9E2F3"/>
            <w:vAlign w:val="center"/>
          </w:tcPr>
          <w:p>
            <w:pPr>
              <w:pStyle w:val="TableText"/>
              <w:keepNext/>
              <w:jc w:val="center"/>
            </w:pPr>
            <w:r>
              <w:rPr>
                <w:sz w:val="20"/>
                <w:szCs w:val="20"/>
                <w:b/>
                <w:bCs/>
              </w:rPr>
              <w:t xml:space="preserve">PO5</w:t>
            </w:r>
          </w:p>
        </w:tc>
        <w:tc>
          <w:tcPr>
            <w:tcW w:w="647" w:type="dxa"/>
            <w:shd w:val="clear" w:color="auto" w:fill="D9E2F3"/>
            <w:vAlign w:val="center"/>
          </w:tcPr>
          <w:p>
            <w:pPr>
              <w:pStyle w:val="TableText"/>
              <w:keepNext/>
              <w:jc w:val="center"/>
            </w:pPr>
            <w:r>
              <w:rPr>
                <w:sz w:val="20"/>
                <w:szCs w:val="20"/>
                <w:b/>
                <w:bCs/>
              </w:rPr>
              <w:t xml:space="preserve">PO6</w:t>
            </w:r>
          </w:p>
        </w:tc>
        <w:tc>
          <w:tcPr>
            <w:tcW w:w="647" w:type="dxa"/>
            <w:shd w:val="clear" w:color="auto" w:fill="D9E2F3"/>
            <w:vAlign w:val="center"/>
          </w:tcPr>
          <w:p>
            <w:pPr>
              <w:pStyle w:val="TableText"/>
              <w:keepNext/>
              <w:jc w:val="center"/>
            </w:pPr>
            <w:r>
              <w:rPr>
                <w:sz w:val="20"/>
                <w:szCs w:val="20"/>
                <w:b/>
                <w:bCs/>
              </w:rPr>
              <w:t xml:space="preserve">PO7</w:t>
            </w:r>
          </w:p>
        </w:tc>
        <w:tc>
          <w:tcPr>
            <w:tcW w:w="647" w:type="dxa"/>
            <w:shd w:val="clear" w:color="auto" w:fill="D9E2F3"/>
            <w:vAlign w:val="center"/>
          </w:tcPr>
          <w:p>
            <w:pPr>
              <w:pStyle w:val="TableText"/>
              <w:keepNext/>
              <w:jc w:val="center"/>
            </w:pPr>
            <w:r>
              <w:rPr>
                <w:sz w:val="20"/>
                <w:szCs w:val="20"/>
                <w:b/>
                <w:bCs/>
              </w:rPr>
              <w:t xml:space="preserve">PO8</w:t>
            </w:r>
          </w:p>
        </w:tc>
        <w:tc>
          <w:tcPr>
            <w:tcW w:w="647" w:type="dxa"/>
            <w:shd w:val="clear" w:color="auto" w:fill="D9E2F3"/>
            <w:vAlign w:val="center"/>
          </w:tcPr>
          <w:p>
            <w:pPr>
              <w:pStyle w:val="TableText"/>
              <w:keepNext/>
              <w:jc w:val="center"/>
            </w:pPr>
            <w:r>
              <w:rPr>
                <w:sz w:val="20"/>
                <w:szCs w:val="20"/>
                <w:b/>
                <w:bCs/>
              </w:rPr>
              <w:t xml:space="preserve">PO9</w:t>
            </w:r>
          </w:p>
        </w:tc>
        <w:tc>
          <w:tcPr>
            <w:tcW w:w="647" w:type="dxa"/>
            <w:shd w:val="clear" w:color="auto" w:fill="D9E2F3"/>
            <w:vAlign w:val="center"/>
          </w:tcPr>
          <w:p>
            <w:pPr>
              <w:pStyle w:val="TableText"/>
              <w:keepNext/>
              <w:jc w:val="center"/>
            </w:pPr>
            <w:r>
              <w:rPr>
                <w:sz w:val="20"/>
                <w:szCs w:val="20"/>
                <w:b/>
                <w:bCs/>
              </w:rPr>
              <w:t xml:space="preserve">PO10</w:t>
            </w:r>
          </w:p>
        </w:tc>
        <w:tc>
          <w:tcPr>
            <w:tcW w:w="647" w:type="dxa"/>
            <w:shd w:val="clear" w:color="auto" w:fill="D9E2F3"/>
            <w:vAlign w:val="center"/>
          </w:tcPr>
          <w:p>
            <w:pPr>
              <w:pStyle w:val="TableText"/>
              <w:keepNext/>
              <w:jc w:val="center"/>
            </w:pPr>
            <w:r>
              <w:rPr>
                <w:sz w:val="20"/>
                <w:szCs w:val="20"/>
                <w:b/>
                <w:bCs/>
              </w:rPr>
              <w:t xml:space="preserve">PO11</w:t>
            </w:r>
          </w:p>
        </w:tc>
        <w:tc>
          <w:tcPr>
            <w:tcW w:w="647" w:type="dxa"/>
            <w:shd w:val="clear" w:color="auto" w:fill="D9E2F3"/>
            <w:vAlign w:val="center"/>
          </w:tcPr>
          <w:p>
            <w:pPr>
              <w:pStyle w:val="TableText"/>
              <w:keepNext/>
              <w:jc w:val="center"/>
            </w:pPr>
            <w:r>
              <w:rPr>
                <w:sz w:val="20"/>
                <w:szCs w:val="20"/>
                <w:b/>
                <w:bCs/>
              </w:rPr>
              <w:t xml:space="preserve">PSO1</w:t>
            </w:r>
          </w:p>
        </w:tc>
        <w:tc>
          <w:tcPr>
            <w:tcW w:w="647" w:type="dxa"/>
            <w:shd w:val="clear" w:color="auto" w:fill="D9E2F3"/>
            <w:vAlign w:val="center"/>
          </w:tcPr>
          <w:p>
            <w:pPr>
              <w:pStyle w:val="TableText"/>
              <w:keepNext/>
              <w:jc w:val="center"/>
            </w:pPr>
            <w:r>
              <w:rPr>
                <w:sz w:val="20"/>
                <w:szCs w:val="20"/>
                <w:b/>
                <w:bCs/>
              </w:rPr>
              <w:t xml:space="preserve">PSO2</w:t>
            </w:r>
          </w:p>
        </w:tc>
      </w:tr>
      <w:tr>
        <w:trPr>
          <w:cantSplit/>
        </w:trPr>
        <w:tc>
          <w:tcPr>
            <w:tcW w:w="841" w:type="dxa"/>
            <w:vAlign w:val="center"/>
          </w:tcPr>
          <w:p>
            <w:pPr>
              <w:pStyle w:val="TableText"/>
              <w:keepNext/>
              <w:jc w:val="center"/>
            </w:pPr>
            <w:r>
              <w:rPr>
                <w:sz w:val="20"/>
                <w:szCs w:val="20"/>
              </w:rPr>
              <w:t xml:space="preserve">CO1</w:t>
            </w:r>
          </w:p>
        </w:tc>
        <w:tc>
          <w:tcPr>
            <w:tcW w:w="647" w:type="dxa"/>
            <w:vAlign w:val="center"/>
          </w:tcPr>
          <w:p>
            <w:pPr>
              <w:pStyle w:val="TableText"/>
              <w:keepNext/>
              <w:jc w:val="center"/>
            </w:pPr>
            <w:r>
              <w:rPr>
                <w:sz w:val="20"/>
                <w:szCs w:val="20"/>
              </w:rPr>
              <w:t xml:space="preserve">2</w:t>
            </w:r>
          </w:p>
        </w:tc>
        <w:tc>
          <w:tcPr>
            <w:tcW w:w="647" w:type="dxa"/>
            <w:vAlign w:val="center"/>
          </w:tcPr>
          <w:p>
            <w:pPr>
              <w:pStyle w:val="TableText"/>
              <w:keepNext/>
              <w:jc w:val="center"/>
            </w:pPr>
            <w:r>
              <w:rPr>
                <w:sz w:val="20"/>
                <w:szCs w:val="20"/>
              </w:rPr>
              <w:t xml:space="preserve">3</w:t>
            </w:r>
          </w:p>
        </w:tc>
        <w:tc>
          <w:tcPr>
            <w:tcW w:w="647" w:type="dxa"/>
            <w:vAlign w:val="center"/>
          </w:tcPr>
          <w:p>
            <w:pPr>
              <w:pStyle w:val="TableText"/>
              <w:keepNext/>
              <w:jc w:val="center"/>
            </w:pPr>
            <w:r>
              <w:rPr>
                <w:sz w:val="20"/>
                <w:szCs w:val="20"/>
              </w:rPr>
              <w:t xml:space="preserve">3</w:t>
            </w:r>
          </w:p>
        </w:tc>
        <w:tc>
          <w:tcPr>
            <w:tcW w:w="647" w:type="dxa"/>
            <w:vAlign w:val="center"/>
          </w:tcPr>
          <w:p>
            <w:pPr>
              <w:pStyle w:val="TableText"/>
              <w:keepNext/>
              <w:jc w:val="center"/>
            </w:pPr>
            <w:r>
              <w:rPr>
                <w:sz w:val="20"/>
                <w:szCs w:val="20"/>
              </w:rPr>
              <w:t xml:space="preserve">–</w:t>
            </w:r>
          </w:p>
        </w:tc>
        <w:tc>
          <w:tcPr>
            <w:tcW w:w="647" w:type="dxa"/>
            <w:vAlign w:val="center"/>
          </w:tcPr>
          <w:p>
            <w:pPr>
              <w:pStyle w:val="TableText"/>
              <w:keepNext/>
              <w:jc w:val="center"/>
            </w:pPr>
            <w:r>
              <w:rPr>
                <w:sz w:val="20"/>
                <w:szCs w:val="20"/>
              </w:rPr>
              <w:t xml:space="preserve">3</w:t>
            </w:r>
          </w:p>
        </w:tc>
        <w:tc>
          <w:tcPr>
            <w:tcW w:w="647" w:type="dxa"/>
            <w:vAlign w:val="center"/>
          </w:tcPr>
          <w:p>
            <w:pPr>
              <w:pStyle w:val="TableText"/>
              <w:keepNext/>
              <w:jc w:val="center"/>
            </w:pPr>
            <w:r>
              <w:rPr>
                <w:sz w:val="20"/>
                <w:szCs w:val="20"/>
              </w:rPr>
              <w:t xml:space="preserve">–</w:t>
            </w:r>
          </w:p>
        </w:tc>
        <w:tc>
          <w:tcPr>
            <w:tcW w:w="647" w:type="dxa"/>
            <w:vAlign w:val="center"/>
          </w:tcPr>
          <w:p>
            <w:pPr>
              <w:pStyle w:val="TableText"/>
              <w:keepNext/>
              <w:jc w:val="center"/>
            </w:pPr>
            <w:r>
              <w:rPr>
                <w:sz w:val="20"/>
                <w:szCs w:val="20"/>
              </w:rPr>
              <w:t xml:space="preserve">–</w:t>
            </w:r>
          </w:p>
        </w:tc>
        <w:tc>
          <w:tcPr>
            <w:tcW w:w="647" w:type="dxa"/>
            <w:vAlign w:val="center"/>
          </w:tcPr>
          <w:p>
            <w:pPr>
              <w:pStyle w:val="TableText"/>
              <w:keepNext/>
              <w:jc w:val="center"/>
            </w:pPr>
            <w:r>
              <w:rPr>
                <w:sz w:val="20"/>
                <w:szCs w:val="20"/>
              </w:rPr>
              <w:t xml:space="preserve">–</w:t>
            </w:r>
          </w:p>
        </w:tc>
        <w:tc>
          <w:tcPr>
            <w:tcW w:w="647" w:type="dxa"/>
            <w:vAlign w:val="center"/>
          </w:tcPr>
          <w:p>
            <w:pPr>
              <w:pStyle w:val="TableText"/>
              <w:keepNext/>
              <w:jc w:val="center"/>
            </w:pPr>
            <w:r>
              <w:rPr>
                <w:sz w:val="20"/>
                <w:szCs w:val="20"/>
              </w:rPr>
              <w:t xml:space="preserve">3</w:t>
            </w:r>
          </w:p>
        </w:tc>
        <w:tc>
          <w:tcPr>
            <w:tcW w:w="647" w:type="dxa"/>
            <w:vAlign w:val="center"/>
          </w:tcPr>
          <w:p>
            <w:pPr>
              <w:pStyle w:val="TableText"/>
              <w:keepNext/>
              <w:jc w:val="center"/>
            </w:pPr>
            <w:r>
              <w:rPr>
                <w:sz w:val="20"/>
                <w:szCs w:val="20"/>
              </w:rPr>
              <w:t xml:space="preserve">–</w:t>
            </w:r>
          </w:p>
        </w:tc>
        <w:tc>
          <w:tcPr>
            <w:tcW w:w="647" w:type="dxa"/>
            <w:vAlign w:val="center"/>
          </w:tcPr>
          <w:p>
            <w:pPr>
              <w:pStyle w:val="TableText"/>
              <w:keepNext/>
              <w:jc w:val="center"/>
            </w:pPr>
            <w:r>
              <w:rPr>
                <w:sz w:val="20"/>
                <w:szCs w:val="20"/>
              </w:rPr>
              <w:t xml:space="preserve">2</w:t>
            </w:r>
          </w:p>
        </w:tc>
        <w:tc>
          <w:tcPr>
            <w:tcW w:w="647" w:type="dxa"/>
            <w:vAlign w:val="center"/>
          </w:tcPr>
          <w:p>
            <w:pPr>
              <w:pStyle w:val="TableText"/>
              <w:keepNext/>
              <w:jc w:val="center"/>
            </w:pPr>
            <w:r>
              <w:rPr>
                <w:sz w:val="20"/>
                <w:szCs w:val="20"/>
              </w:rPr>
              <w:t xml:space="preserve">3</w:t>
            </w:r>
          </w:p>
        </w:tc>
        <w:tc>
          <w:tcPr>
            <w:tcW w:w="647" w:type="dxa"/>
            <w:vAlign w:val="center"/>
          </w:tcPr>
          <w:p>
            <w:pPr>
              <w:pStyle w:val="TableText"/>
              <w:keepNext/>
              <w:jc w:val="center"/>
            </w:pPr>
            <w:r>
              <w:rPr>
                <w:sz w:val="20"/>
                <w:szCs w:val="20"/>
              </w:rPr>
              <w:t xml:space="preserve">3</w:t>
            </w:r>
          </w:p>
        </w:tc>
      </w:tr>
      <w:tr>
        <w:trPr>
          <w:cantSplit/>
        </w:trPr>
        <w:tc>
          <w:tcPr>
            <w:tcW w:w="841" w:type="dxa"/>
            <w:vAlign w:val="center"/>
          </w:tcPr>
          <w:p>
            <w:pPr>
              <w:pStyle w:val="TableText"/>
              <w:keepNext/>
              <w:jc w:val="center"/>
            </w:pPr>
            <w:r>
              <w:rPr>
                <w:sz w:val="20"/>
                <w:szCs w:val="20"/>
              </w:rPr>
              <w:t xml:space="preserve">CO2</w:t>
            </w:r>
          </w:p>
        </w:tc>
        <w:tc>
          <w:tcPr>
            <w:tcW w:w="647" w:type="dxa"/>
            <w:vAlign w:val="center"/>
          </w:tcPr>
          <w:p>
            <w:pPr>
              <w:pStyle w:val="TableText"/>
              <w:keepNext/>
              <w:jc w:val="center"/>
            </w:pPr>
            <w:r>
              <w:rPr>
                <w:sz w:val="20"/>
                <w:szCs w:val="20"/>
              </w:rPr>
              <w:t xml:space="preserve">2</w:t>
            </w:r>
          </w:p>
        </w:tc>
        <w:tc>
          <w:tcPr>
            <w:tcW w:w="647" w:type="dxa"/>
            <w:vAlign w:val="center"/>
          </w:tcPr>
          <w:p>
            <w:pPr>
              <w:pStyle w:val="TableText"/>
              <w:keepNext/>
              <w:jc w:val="center"/>
            </w:pPr>
            <w:r>
              <w:rPr>
                <w:sz w:val="20"/>
                <w:szCs w:val="20"/>
              </w:rPr>
              <w:t xml:space="preserve">3</w:t>
            </w:r>
          </w:p>
        </w:tc>
        <w:tc>
          <w:tcPr>
            <w:tcW w:w="647" w:type="dxa"/>
            <w:vAlign w:val="center"/>
          </w:tcPr>
          <w:p>
            <w:pPr>
              <w:pStyle w:val="TableText"/>
              <w:keepNext/>
              <w:jc w:val="center"/>
            </w:pPr>
            <w:r>
              <w:rPr>
                <w:sz w:val="20"/>
                <w:szCs w:val="20"/>
              </w:rPr>
              <w:t xml:space="preserve">2</w:t>
            </w:r>
          </w:p>
        </w:tc>
        <w:tc>
          <w:tcPr>
            <w:tcW w:w="647" w:type="dxa"/>
            <w:vAlign w:val="center"/>
          </w:tcPr>
          <w:p>
            <w:pPr>
              <w:pStyle w:val="TableText"/>
              <w:keepNext/>
              <w:jc w:val="center"/>
            </w:pPr>
            <w:r>
              <w:rPr>
                <w:sz w:val="20"/>
                <w:szCs w:val="20"/>
              </w:rPr>
              <w:t xml:space="preserve">3</w:t>
            </w:r>
          </w:p>
        </w:tc>
        <w:tc>
          <w:tcPr>
            <w:tcW w:w="647" w:type="dxa"/>
            <w:vAlign w:val="center"/>
          </w:tcPr>
          <w:p>
            <w:pPr>
              <w:pStyle w:val="TableText"/>
              <w:keepNext/>
              <w:jc w:val="center"/>
            </w:pPr>
            <w:r>
              <w:rPr>
                <w:sz w:val="20"/>
                <w:szCs w:val="20"/>
              </w:rPr>
              <w:t xml:space="preserve">3</w:t>
            </w:r>
          </w:p>
        </w:tc>
        <w:tc>
          <w:tcPr>
            <w:tcW w:w="647" w:type="dxa"/>
            <w:vAlign w:val="center"/>
          </w:tcPr>
          <w:p>
            <w:pPr>
              <w:pStyle w:val="TableText"/>
              <w:keepNext/>
              <w:jc w:val="center"/>
            </w:pPr>
            <w:r>
              <w:rPr>
                <w:sz w:val="20"/>
                <w:szCs w:val="20"/>
              </w:rPr>
              <w:t xml:space="preserve">–</w:t>
            </w:r>
          </w:p>
        </w:tc>
        <w:tc>
          <w:tcPr>
            <w:tcW w:w="647" w:type="dxa"/>
            <w:vAlign w:val="center"/>
          </w:tcPr>
          <w:p>
            <w:pPr>
              <w:pStyle w:val="TableText"/>
              <w:keepNext/>
              <w:jc w:val="center"/>
            </w:pPr>
            <w:r>
              <w:rPr>
                <w:sz w:val="20"/>
                <w:szCs w:val="20"/>
              </w:rPr>
              <w:t xml:space="preserve">–</w:t>
            </w:r>
          </w:p>
        </w:tc>
        <w:tc>
          <w:tcPr>
            <w:tcW w:w="647" w:type="dxa"/>
            <w:vAlign w:val="center"/>
          </w:tcPr>
          <w:p>
            <w:pPr>
              <w:pStyle w:val="TableText"/>
              <w:keepNext/>
              <w:jc w:val="center"/>
            </w:pPr>
            <w:r>
              <w:rPr>
                <w:sz w:val="20"/>
                <w:szCs w:val="20"/>
              </w:rPr>
              <w:t xml:space="preserve">–</w:t>
            </w:r>
          </w:p>
        </w:tc>
        <w:tc>
          <w:tcPr>
            <w:tcW w:w="647" w:type="dxa"/>
            <w:vAlign w:val="center"/>
          </w:tcPr>
          <w:p>
            <w:pPr>
              <w:pStyle w:val="TableText"/>
              <w:keepNext/>
              <w:jc w:val="center"/>
            </w:pPr>
            <w:r>
              <w:rPr>
                <w:sz w:val="20"/>
                <w:szCs w:val="20"/>
              </w:rPr>
              <w:t xml:space="preserve">2</w:t>
            </w:r>
          </w:p>
        </w:tc>
        <w:tc>
          <w:tcPr>
            <w:tcW w:w="647" w:type="dxa"/>
            <w:vAlign w:val="center"/>
          </w:tcPr>
          <w:p>
            <w:pPr>
              <w:pStyle w:val="TableText"/>
              <w:keepNext/>
              <w:jc w:val="center"/>
            </w:pPr>
            <w:r>
              <w:rPr>
                <w:sz w:val="20"/>
                <w:szCs w:val="20"/>
              </w:rPr>
              <w:t xml:space="preserve">–</w:t>
            </w:r>
          </w:p>
        </w:tc>
        <w:tc>
          <w:tcPr>
            <w:tcW w:w="647" w:type="dxa"/>
            <w:vAlign w:val="center"/>
          </w:tcPr>
          <w:p>
            <w:pPr>
              <w:pStyle w:val="TableText"/>
              <w:keepNext/>
              <w:jc w:val="center"/>
            </w:pPr>
            <w:r>
              <w:rPr>
                <w:sz w:val="20"/>
                <w:szCs w:val="20"/>
              </w:rPr>
              <w:t xml:space="preserve">2</w:t>
            </w:r>
          </w:p>
        </w:tc>
        <w:tc>
          <w:tcPr>
            <w:tcW w:w="647" w:type="dxa"/>
            <w:vAlign w:val="center"/>
          </w:tcPr>
          <w:p>
            <w:pPr>
              <w:pStyle w:val="TableText"/>
              <w:keepNext/>
              <w:jc w:val="center"/>
            </w:pPr>
            <w:r>
              <w:rPr>
                <w:sz w:val="20"/>
                <w:szCs w:val="20"/>
              </w:rPr>
              <w:t xml:space="preserve">3</w:t>
            </w:r>
          </w:p>
        </w:tc>
        <w:tc>
          <w:tcPr>
            <w:tcW w:w="647" w:type="dxa"/>
            <w:vAlign w:val="center"/>
          </w:tcPr>
          <w:p>
            <w:pPr>
              <w:pStyle w:val="TableText"/>
              <w:keepNext/>
              <w:jc w:val="center"/>
            </w:pPr>
            <w:r>
              <w:rPr>
                <w:sz w:val="20"/>
                <w:szCs w:val="20"/>
              </w:rPr>
              <w:t xml:space="preserve">2</w:t>
            </w:r>
          </w:p>
        </w:tc>
      </w:tr>
      <w:tr>
        <w:trPr>
          <w:cantSplit/>
        </w:trPr>
        <w:tc>
          <w:tcPr>
            <w:tcW w:w="841" w:type="dxa"/>
            <w:vAlign w:val="center"/>
          </w:tcPr>
          <w:p>
            <w:pPr>
              <w:pStyle w:val="TableText"/>
              <w:jc w:val="center"/>
            </w:pPr>
            <w:r>
              <w:rPr>
                <w:sz w:val="20"/>
                <w:szCs w:val="20"/>
              </w:rPr>
              <w:t xml:space="preserve">CO3</w:t>
            </w:r>
          </w:p>
        </w:tc>
        <w:tc>
          <w:tcPr>
            <w:tcW w:w="647" w:type="dxa"/>
            <w:vAlign w:val="center"/>
          </w:tcPr>
          <w:p>
            <w:pPr>
              <w:pStyle w:val="TableText"/>
              <w:jc w:val="center"/>
            </w:pPr>
            <w:r>
              <w:rPr>
                <w:sz w:val="20"/>
                <w:szCs w:val="20"/>
              </w:rPr>
              <w:t xml:space="preserve">2</w:t>
            </w:r>
          </w:p>
        </w:tc>
        <w:tc>
          <w:tcPr>
            <w:tcW w:w="647" w:type="dxa"/>
            <w:vAlign w:val="center"/>
          </w:tcPr>
          <w:p>
            <w:pPr>
              <w:pStyle w:val="TableText"/>
              <w:jc w:val="center"/>
            </w:pPr>
            <w:r>
              <w:rPr>
                <w:sz w:val="20"/>
                <w:szCs w:val="20"/>
              </w:rPr>
              <w:t xml:space="preserve">3</w:t>
            </w:r>
          </w:p>
        </w:tc>
        <w:tc>
          <w:tcPr>
            <w:tcW w:w="647" w:type="dxa"/>
            <w:vAlign w:val="center"/>
          </w:tcPr>
          <w:p>
            <w:pPr>
              <w:pStyle w:val="TableText"/>
              <w:jc w:val="center"/>
            </w:pPr>
            <w:r>
              <w:rPr>
                <w:sz w:val="20"/>
                <w:szCs w:val="20"/>
              </w:rPr>
              <w:t xml:space="preserve">2</w:t>
            </w:r>
          </w:p>
        </w:tc>
        <w:tc>
          <w:tcPr>
            <w:tcW w:w="647" w:type="dxa"/>
            <w:vAlign w:val="center"/>
          </w:tcPr>
          <w:p>
            <w:pPr>
              <w:pStyle w:val="TableText"/>
              <w:jc w:val="center"/>
            </w:pPr>
            <w:r>
              <w:rPr>
                <w:sz w:val="20"/>
                <w:szCs w:val="20"/>
              </w:rPr>
              <w:t xml:space="preserve">3</w:t>
            </w:r>
          </w:p>
        </w:tc>
        <w:tc>
          <w:tcPr>
            <w:tcW w:w="647" w:type="dxa"/>
            <w:vAlign w:val="center"/>
          </w:tcPr>
          <w:p>
            <w:pPr>
              <w:pStyle w:val="TableText"/>
              <w:jc w:val="center"/>
            </w:pPr>
            <w:r>
              <w:rPr>
                <w:sz w:val="20"/>
                <w:szCs w:val="20"/>
              </w:rPr>
              <w:t xml:space="preserve">3</w:t>
            </w:r>
          </w:p>
        </w:tc>
        <w:tc>
          <w:tcPr>
            <w:tcW w:w="647" w:type="dxa"/>
            <w:vAlign w:val="center"/>
          </w:tcPr>
          <w:p>
            <w:pPr>
              <w:pStyle w:val="TableText"/>
              <w:jc w:val="center"/>
            </w:pPr>
            <w:r>
              <w:rPr>
                <w:sz w:val="20"/>
                <w:szCs w:val="20"/>
              </w:rPr>
              <w:t xml:space="preserve">–</w:t>
            </w:r>
          </w:p>
        </w:tc>
        <w:tc>
          <w:tcPr>
            <w:tcW w:w="647" w:type="dxa"/>
            <w:vAlign w:val="center"/>
          </w:tcPr>
          <w:p>
            <w:pPr>
              <w:pStyle w:val="TableText"/>
              <w:jc w:val="center"/>
            </w:pPr>
            <w:r>
              <w:rPr>
                <w:sz w:val="20"/>
                <w:szCs w:val="20"/>
              </w:rPr>
              <w:t xml:space="preserve">–</w:t>
            </w:r>
          </w:p>
        </w:tc>
        <w:tc>
          <w:tcPr>
            <w:tcW w:w="647" w:type="dxa"/>
            <w:vAlign w:val="center"/>
          </w:tcPr>
          <w:p>
            <w:pPr>
              <w:pStyle w:val="TableText"/>
              <w:jc w:val="center"/>
            </w:pPr>
            <w:r>
              <w:rPr>
                <w:sz w:val="20"/>
                <w:szCs w:val="20"/>
              </w:rPr>
              <w:t xml:space="preserve">–</w:t>
            </w:r>
          </w:p>
        </w:tc>
        <w:tc>
          <w:tcPr>
            <w:tcW w:w="647" w:type="dxa"/>
            <w:vAlign w:val="center"/>
          </w:tcPr>
          <w:p>
            <w:pPr>
              <w:pStyle w:val="TableText"/>
              <w:jc w:val="center"/>
            </w:pPr>
            <w:r>
              <w:rPr>
                <w:sz w:val="20"/>
                <w:szCs w:val="20"/>
              </w:rPr>
              <w:t xml:space="preserve">–</w:t>
            </w:r>
          </w:p>
        </w:tc>
        <w:tc>
          <w:tcPr>
            <w:tcW w:w="647" w:type="dxa"/>
            <w:vAlign w:val="center"/>
          </w:tcPr>
          <w:p>
            <w:pPr>
              <w:pStyle w:val="TableText"/>
              <w:jc w:val="center"/>
            </w:pPr>
            <w:r>
              <w:rPr>
                <w:sz w:val="20"/>
                <w:szCs w:val="20"/>
              </w:rPr>
              <w:t xml:space="preserve">2</w:t>
            </w:r>
          </w:p>
        </w:tc>
        <w:tc>
          <w:tcPr>
            <w:tcW w:w="647" w:type="dxa"/>
            <w:vAlign w:val="center"/>
          </w:tcPr>
          <w:p>
            <w:pPr>
              <w:pStyle w:val="TableText"/>
              <w:jc w:val="center"/>
            </w:pPr>
            <w:r>
              <w:rPr>
                <w:sz w:val="20"/>
                <w:szCs w:val="20"/>
              </w:rPr>
              <w:t xml:space="preserve">2</w:t>
            </w:r>
          </w:p>
        </w:tc>
        <w:tc>
          <w:tcPr>
            <w:tcW w:w="647" w:type="dxa"/>
            <w:vAlign w:val="center"/>
          </w:tcPr>
          <w:p>
            <w:pPr>
              <w:pStyle w:val="TableText"/>
              <w:jc w:val="center"/>
            </w:pPr>
            <w:r>
              <w:rPr>
                <w:sz w:val="20"/>
                <w:szCs w:val="20"/>
              </w:rPr>
              <w:t xml:space="preserve">3</w:t>
            </w:r>
          </w:p>
        </w:tc>
        <w:tc>
          <w:tcPr>
            <w:tcW w:w="647" w:type="dxa"/>
            <w:vAlign w:val="center"/>
          </w:tcPr>
          <w:p>
            <w:pPr>
              <w:pStyle w:val="TableText"/>
              <w:jc w:val="center"/>
            </w:pPr>
            <w:r>
              <w:rPr>
                <w:sz w:val="20"/>
                <w:szCs w:val="20"/>
              </w:rPr>
              <w:t xml:space="preserve">2</w:t>
            </w:r>
          </w:p>
        </w:tc>
      </w:tr>
      <w:tr>
        <w:trPr>
          <w:cantSplit/>
        </w:trPr>
        <w:tc>
          <w:tcPr>
            <w:tcW w:w="841" w:type="dxa"/>
            <w:vAlign w:val="center"/>
          </w:tcPr>
          <w:p>
            <w:pPr>
              <w:pStyle w:val="TableText"/>
              <w:jc w:val="center"/>
            </w:pPr>
            <w:r>
              <w:rPr>
                <w:sz w:val="20"/>
                <w:szCs w:val="20"/>
              </w:rPr>
              <w:t xml:space="preserve">CO4</w:t>
            </w:r>
          </w:p>
        </w:tc>
        <w:tc>
          <w:tcPr>
            <w:tcW w:w="647" w:type="dxa"/>
            <w:vAlign w:val="center"/>
          </w:tcPr>
          <w:p>
            <w:pPr>
              <w:pStyle w:val="TableText"/>
              <w:jc w:val="center"/>
            </w:pPr>
            <w:r>
              <w:rPr>
                <w:sz w:val="20"/>
                <w:szCs w:val="20"/>
              </w:rPr>
              <w:t xml:space="preserve">2</w:t>
            </w:r>
          </w:p>
        </w:tc>
        <w:tc>
          <w:tcPr>
            <w:tcW w:w="647" w:type="dxa"/>
            <w:vAlign w:val="center"/>
          </w:tcPr>
          <w:p>
            <w:pPr>
              <w:pStyle w:val="TableText"/>
              <w:jc w:val="center"/>
            </w:pPr>
            <w:r>
              <w:rPr>
                <w:sz w:val="20"/>
                <w:szCs w:val="20"/>
              </w:rPr>
              <w:t xml:space="preserve">2</w:t>
            </w:r>
          </w:p>
        </w:tc>
        <w:tc>
          <w:tcPr>
            <w:tcW w:w="647" w:type="dxa"/>
            <w:vAlign w:val="center"/>
          </w:tcPr>
          <w:p>
            <w:pPr>
              <w:pStyle w:val="TableText"/>
              <w:jc w:val="center"/>
            </w:pPr>
            <w:r>
              <w:rPr>
                <w:sz w:val="20"/>
                <w:szCs w:val="20"/>
              </w:rPr>
              <w:t xml:space="preserve">3</w:t>
            </w:r>
          </w:p>
        </w:tc>
        <w:tc>
          <w:tcPr>
            <w:tcW w:w="647" w:type="dxa"/>
            <w:vAlign w:val="center"/>
          </w:tcPr>
          <w:p>
            <w:pPr>
              <w:pStyle w:val="TableText"/>
              <w:jc w:val="center"/>
            </w:pPr>
            <w:r>
              <w:rPr>
                <w:sz w:val="20"/>
                <w:szCs w:val="20"/>
              </w:rPr>
              <w:t xml:space="preserve">2</w:t>
            </w:r>
          </w:p>
        </w:tc>
        <w:tc>
          <w:tcPr>
            <w:tcW w:w="647" w:type="dxa"/>
            <w:vAlign w:val="center"/>
          </w:tcPr>
          <w:p>
            <w:pPr>
              <w:pStyle w:val="TableText"/>
              <w:jc w:val="center"/>
            </w:pPr>
            <w:r>
              <w:rPr>
                <w:sz w:val="20"/>
                <w:szCs w:val="20"/>
              </w:rPr>
              <w:t xml:space="preserve">3</w:t>
            </w:r>
          </w:p>
        </w:tc>
        <w:tc>
          <w:tcPr>
            <w:tcW w:w="647" w:type="dxa"/>
            <w:vAlign w:val="center"/>
          </w:tcPr>
          <w:p>
            <w:pPr>
              <w:pStyle w:val="TableText"/>
              <w:jc w:val="center"/>
            </w:pPr>
            <w:r>
              <w:rPr>
                <w:sz w:val="20"/>
                <w:szCs w:val="20"/>
              </w:rPr>
              <w:t xml:space="preserve">2</w:t>
            </w:r>
          </w:p>
        </w:tc>
        <w:tc>
          <w:tcPr>
            <w:tcW w:w="647" w:type="dxa"/>
            <w:vAlign w:val="center"/>
          </w:tcPr>
          <w:p>
            <w:pPr>
              <w:pStyle w:val="TableText"/>
              <w:jc w:val="center"/>
            </w:pPr>
            <w:r>
              <w:rPr>
                <w:sz w:val="20"/>
                <w:szCs w:val="20"/>
              </w:rPr>
              <w:t xml:space="preserve">3</w:t>
            </w:r>
          </w:p>
        </w:tc>
        <w:tc>
          <w:tcPr>
            <w:tcW w:w="647" w:type="dxa"/>
            <w:vAlign w:val="center"/>
          </w:tcPr>
          <w:p>
            <w:pPr>
              <w:pStyle w:val="TableText"/>
              <w:jc w:val="center"/>
            </w:pPr>
            <w:r>
              <w:rPr>
                <w:sz w:val="20"/>
                <w:szCs w:val="20"/>
              </w:rPr>
              <w:t xml:space="preserve">2</w:t>
            </w:r>
          </w:p>
        </w:tc>
        <w:tc>
          <w:tcPr>
            <w:tcW w:w="647" w:type="dxa"/>
            <w:vAlign w:val="center"/>
          </w:tcPr>
          <w:p>
            <w:pPr>
              <w:pStyle w:val="TableText"/>
              <w:jc w:val="center"/>
            </w:pPr>
            <w:r>
              <w:rPr>
                <w:sz w:val="20"/>
                <w:szCs w:val="20"/>
              </w:rPr>
              <w:t xml:space="preserve">–</w:t>
            </w:r>
          </w:p>
        </w:tc>
        <w:tc>
          <w:tcPr>
            <w:tcW w:w="647" w:type="dxa"/>
            <w:vAlign w:val="center"/>
          </w:tcPr>
          <w:p>
            <w:pPr>
              <w:pStyle w:val="TableText"/>
              <w:jc w:val="center"/>
            </w:pPr>
            <w:r>
              <w:rPr>
                <w:sz w:val="20"/>
                <w:szCs w:val="20"/>
              </w:rPr>
              <w:t xml:space="preserve">–</w:t>
            </w:r>
          </w:p>
        </w:tc>
        <w:tc>
          <w:tcPr>
            <w:tcW w:w="647" w:type="dxa"/>
            <w:vAlign w:val="center"/>
          </w:tcPr>
          <w:p>
            <w:pPr>
              <w:pStyle w:val="TableText"/>
              <w:jc w:val="center"/>
            </w:pPr>
            <w:r>
              <w:rPr>
                <w:sz w:val="20"/>
                <w:szCs w:val="20"/>
              </w:rPr>
              <w:t xml:space="preserve">3</w:t>
            </w:r>
          </w:p>
        </w:tc>
        <w:tc>
          <w:tcPr>
            <w:tcW w:w="647" w:type="dxa"/>
            <w:vAlign w:val="center"/>
          </w:tcPr>
          <w:p>
            <w:pPr>
              <w:pStyle w:val="TableText"/>
              <w:jc w:val="center"/>
            </w:pPr>
            <w:r>
              <w:rPr>
                <w:sz w:val="20"/>
                <w:szCs w:val="20"/>
              </w:rPr>
              <w:t xml:space="preserve">3</w:t>
            </w:r>
          </w:p>
        </w:tc>
        <w:tc>
          <w:tcPr>
            <w:tcW w:w="647" w:type="dxa"/>
            <w:vAlign w:val="center"/>
          </w:tcPr>
          <w:p>
            <w:pPr>
              <w:pStyle w:val="TableText"/>
              <w:jc w:val="center"/>
            </w:pPr>
            <w:r>
              <w:rPr>
                <w:sz w:val="20"/>
                <w:szCs w:val="20"/>
              </w:rPr>
              <w:t xml:space="preserve">3</w:t>
            </w:r>
          </w:p>
        </w:tc>
      </w:tr>
      <w:tr>
        <w:trPr>
          <w:cantSplit/>
        </w:trPr>
        <w:tc>
          <w:tcPr>
            <w:tcW w:w="841" w:type="dxa"/>
            <w:vAlign w:val="center"/>
          </w:tcPr>
          <w:p>
            <w:pPr>
              <w:pStyle w:val="TableText"/>
              <w:jc w:val="center"/>
            </w:pPr>
            <w:r>
              <w:rPr>
                <w:sz w:val="20"/>
                <w:szCs w:val="20"/>
              </w:rPr>
              <w:t xml:space="preserve">CO5</w:t>
            </w:r>
          </w:p>
        </w:tc>
        <w:tc>
          <w:tcPr>
            <w:tcW w:w="647" w:type="dxa"/>
            <w:vAlign w:val="center"/>
          </w:tcPr>
          <w:p>
            <w:pPr>
              <w:pStyle w:val="TableText"/>
              <w:jc w:val="center"/>
            </w:pPr>
            <w:r>
              <w:rPr>
                <w:sz w:val="20"/>
                <w:szCs w:val="20"/>
              </w:rPr>
              <w:t xml:space="preserve">2</w:t>
            </w:r>
          </w:p>
        </w:tc>
        <w:tc>
          <w:tcPr>
            <w:tcW w:w="647" w:type="dxa"/>
            <w:vAlign w:val="center"/>
          </w:tcPr>
          <w:p>
            <w:pPr>
              <w:pStyle w:val="TableText"/>
              <w:jc w:val="center"/>
            </w:pPr>
            <w:r>
              <w:rPr>
                <w:sz w:val="20"/>
                <w:szCs w:val="20"/>
              </w:rPr>
              <w:t xml:space="preserve">3</w:t>
            </w:r>
          </w:p>
        </w:tc>
        <w:tc>
          <w:tcPr>
            <w:tcW w:w="647" w:type="dxa"/>
            <w:vAlign w:val="center"/>
          </w:tcPr>
          <w:p>
            <w:pPr>
              <w:pStyle w:val="TableText"/>
              <w:jc w:val="center"/>
            </w:pPr>
            <w:r>
              <w:rPr>
                <w:sz w:val="20"/>
                <w:szCs w:val="20"/>
              </w:rPr>
              <w:t xml:space="preserve">–</w:t>
            </w:r>
          </w:p>
        </w:tc>
        <w:tc>
          <w:tcPr>
            <w:tcW w:w="647" w:type="dxa"/>
            <w:vAlign w:val="center"/>
          </w:tcPr>
          <w:p>
            <w:pPr>
              <w:pStyle w:val="TableText"/>
              <w:jc w:val="center"/>
            </w:pPr>
            <w:r>
              <w:rPr>
                <w:sz w:val="20"/>
                <w:szCs w:val="20"/>
              </w:rPr>
              <w:t xml:space="preserve">3</w:t>
            </w:r>
          </w:p>
        </w:tc>
        <w:tc>
          <w:tcPr>
            <w:tcW w:w="647" w:type="dxa"/>
            <w:vAlign w:val="center"/>
          </w:tcPr>
          <w:p>
            <w:pPr>
              <w:pStyle w:val="TableText"/>
              <w:jc w:val="center"/>
            </w:pPr>
            <w:r>
              <w:rPr>
                <w:sz w:val="20"/>
                <w:szCs w:val="20"/>
              </w:rPr>
              <w:t xml:space="preserve">3</w:t>
            </w:r>
          </w:p>
        </w:tc>
        <w:tc>
          <w:tcPr>
            <w:tcW w:w="647" w:type="dxa"/>
            <w:vAlign w:val="center"/>
          </w:tcPr>
          <w:p>
            <w:pPr>
              <w:pStyle w:val="TableText"/>
              <w:jc w:val="center"/>
            </w:pPr>
            <w:r>
              <w:rPr>
                <w:sz w:val="20"/>
                <w:szCs w:val="20"/>
              </w:rPr>
              <w:t xml:space="preserve">–</w:t>
            </w:r>
          </w:p>
        </w:tc>
        <w:tc>
          <w:tcPr>
            <w:tcW w:w="647" w:type="dxa"/>
            <w:vAlign w:val="center"/>
          </w:tcPr>
          <w:p>
            <w:pPr>
              <w:pStyle w:val="TableText"/>
              <w:jc w:val="center"/>
            </w:pPr>
            <w:r>
              <w:rPr>
                <w:sz w:val="20"/>
                <w:szCs w:val="20"/>
              </w:rPr>
              <w:t xml:space="preserve">–</w:t>
            </w:r>
          </w:p>
        </w:tc>
        <w:tc>
          <w:tcPr>
            <w:tcW w:w="647" w:type="dxa"/>
            <w:vAlign w:val="center"/>
          </w:tcPr>
          <w:p>
            <w:pPr>
              <w:pStyle w:val="TableText"/>
              <w:jc w:val="center"/>
            </w:pPr>
            <w:r>
              <w:rPr>
                <w:sz w:val="20"/>
                <w:szCs w:val="20"/>
              </w:rPr>
              <w:t xml:space="preserve">2</w:t>
            </w:r>
          </w:p>
        </w:tc>
        <w:tc>
          <w:tcPr>
            <w:tcW w:w="647" w:type="dxa"/>
            <w:vAlign w:val="center"/>
          </w:tcPr>
          <w:p>
            <w:pPr>
              <w:pStyle w:val="TableText"/>
              <w:jc w:val="center"/>
            </w:pPr>
            <w:r>
              <w:rPr>
                <w:sz w:val="20"/>
                <w:szCs w:val="20"/>
              </w:rPr>
              <w:t xml:space="preserve">–</w:t>
            </w:r>
          </w:p>
        </w:tc>
        <w:tc>
          <w:tcPr>
            <w:tcW w:w="647" w:type="dxa"/>
            <w:vAlign w:val="center"/>
          </w:tcPr>
          <w:p>
            <w:pPr>
              <w:pStyle w:val="TableText"/>
              <w:jc w:val="center"/>
            </w:pPr>
            <w:r>
              <w:rPr>
                <w:sz w:val="20"/>
                <w:szCs w:val="20"/>
              </w:rPr>
              <w:t xml:space="preserve">3</w:t>
            </w:r>
          </w:p>
        </w:tc>
        <w:tc>
          <w:tcPr>
            <w:tcW w:w="647" w:type="dxa"/>
            <w:vAlign w:val="center"/>
          </w:tcPr>
          <w:p>
            <w:pPr>
              <w:pStyle w:val="TableText"/>
              <w:jc w:val="center"/>
            </w:pPr>
            <w:r>
              <w:rPr>
                <w:sz w:val="20"/>
                <w:szCs w:val="20"/>
              </w:rPr>
              <w:t xml:space="preserve">2</w:t>
            </w:r>
          </w:p>
        </w:tc>
        <w:tc>
          <w:tcPr>
            <w:tcW w:w="647" w:type="dxa"/>
            <w:vAlign w:val="center"/>
          </w:tcPr>
          <w:p>
            <w:pPr>
              <w:pStyle w:val="TableText"/>
              <w:jc w:val="center"/>
            </w:pPr>
            <w:r>
              <w:rPr>
                <w:sz w:val="20"/>
                <w:szCs w:val="20"/>
              </w:rPr>
              <w:t xml:space="preserve">2</w:t>
            </w:r>
          </w:p>
        </w:tc>
        <w:tc>
          <w:tcPr>
            <w:tcW w:w="647" w:type="dxa"/>
            <w:vAlign w:val="center"/>
          </w:tcPr>
          <w:p>
            <w:pPr>
              <w:pStyle w:val="TableText"/>
              <w:jc w:val="center"/>
            </w:pPr>
            <w:r>
              <w:rPr>
                <w:sz w:val="20"/>
                <w:szCs w:val="20"/>
              </w:rPr>
              <w:t xml:space="preserve">2</w:t>
            </w:r>
          </w:p>
        </w:tc>
      </w:tr>
      <w:tr>
        <w:trPr>
          <w:cantSplit/>
        </w:trPr>
        <w:tc>
          <w:tcPr>
            <w:tcW w:w="841" w:type="dxa"/>
            <w:vAlign w:val="center"/>
          </w:tcPr>
          <w:p>
            <w:pPr>
              <w:pStyle w:val="TableText"/>
              <w:jc w:val="center"/>
            </w:pPr>
            <w:r>
              <w:rPr>
                <w:sz w:val="20"/>
                <w:szCs w:val="20"/>
              </w:rPr>
              <w:t xml:space="preserve">CO6</w:t>
            </w:r>
          </w:p>
        </w:tc>
        <w:tc>
          <w:tcPr>
            <w:tcW w:w="647" w:type="dxa"/>
            <w:vAlign w:val="center"/>
          </w:tcPr>
          <w:p>
            <w:pPr>
              <w:pStyle w:val="TableText"/>
              <w:jc w:val="center"/>
            </w:pPr>
            <w:r>
              <w:rPr>
                <w:sz w:val="20"/>
                <w:szCs w:val="20"/>
              </w:rPr>
              <w:t xml:space="preserve">–</w:t>
            </w:r>
          </w:p>
        </w:tc>
        <w:tc>
          <w:tcPr>
            <w:tcW w:w="647" w:type="dxa"/>
            <w:vAlign w:val="center"/>
          </w:tcPr>
          <w:p>
            <w:pPr>
              <w:pStyle w:val="TableText"/>
              <w:jc w:val="center"/>
            </w:pPr>
            <w:r>
              <w:rPr>
                <w:sz w:val="20"/>
                <w:szCs w:val="20"/>
              </w:rPr>
              <w:t xml:space="preserve">–</w:t>
            </w:r>
          </w:p>
        </w:tc>
        <w:tc>
          <w:tcPr>
            <w:tcW w:w="647" w:type="dxa"/>
            <w:vAlign w:val="center"/>
          </w:tcPr>
          <w:p>
            <w:pPr>
              <w:pStyle w:val="TableText"/>
              <w:jc w:val="center"/>
            </w:pPr>
            <w:r>
              <w:rPr>
                <w:sz w:val="20"/>
                <w:szCs w:val="20"/>
              </w:rPr>
              <w:t xml:space="preserve">–</w:t>
            </w:r>
          </w:p>
        </w:tc>
        <w:tc>
          <w:tcPr>
            <w:tcW w:w="647" w:type="dxa"/>
            <w:vAlign w:val="center"/>
          </w:tcPr>
          <w:p>
            <w:pPr>
              <w:pStyle w:val="TableText"/>
              <w:jc w:val="center"/>
            </w:pPr>
            <w:r>
              <w:rPr>
                <w:sz w:val="20"/>
                <w:szCs w:val="20"/>
              </w:rPr>
              <w:t xml:space="preserve">–</w:t>
            </w:r>
          </w:p>
        </w:tc>
        <w:tc>
          <w:tcPr>
            <w:tcW w:w="647" w:type="dxa"/>
            <w:vAlign w:val="center"/>
          </w:tcPr>
          <w:p>
            <w:pPr>
              <w:pStyle w:val="TableText"/>
              <w:jc w:val="center"/>
            </w:pPr>
            <w:r>
              <w:rPr>
                <w:sz w:val="20"/>
                <w:szCs w:val="20"/>
              </w:rPr>
              <w:t xml:space="preserve">2</w:t>
            </w:r>
          </w:p>
        </w:tc>
        <w:tc>
          <w:tcPr>
            <w:tcW w:w="647" w:type="dxa"/>
            <w:vAlign w:val="center"/>
          </w:tcPr>
          <w:p>
            <w:pPr>
              <w:pStyle w:val="TableText"/>
              <w:jc w:val="center"/>
            </w:pPr>
            <w:r>
              <w:rPr>
                <w:sz w:val="20"/>
                <w:szCs w:val="20"/>
              </w:rPr>
              <w:t xml:space="preserve">–</w:t>
            </w:r>
          </w:p>
        </w:tc>
        <w:tc>
          <w:tcPr>
            <w:tcW w:w="647" w:type="dxa"/>
            <w:vAlign w:val="center"/>
          </w:tcPr>
          <w:p>
            <w:pPr>
              <w:pStyle w:val="TableText"/>
              <w:jc w:val="center"/>
            </w:pPr>
            <w:r>
              <w:rPr>
                <w:sz w:val="20"/>
                <w:szCs w:val="20"/>
              </w:rPr>
              <w:t xml:space="preserve">–</w:t>
            </w:r>
          </w:p>
        </w:tc>
        <w:tc>
          <w:tcPr>
            <w:tcW w:w="647" w:type="dxa"/>
            <w:vAlign w:val="center"/>
          </w:tcPr>
          <w:p>
            <w:pPr>
              <w:pStyle w:val="TableText"/>
              <w:jc w:val="center"/>
            </w:pPr>
            <w:r>
              <w:rPr>
                <w:sz w:val="20"/>
                <w:szCs w:val="20"/>
              </w:rPr>
              <w:t xml:space="preserve">2</w:t>
            </w:r>
          </w:p>
        </w:tc>
        <w:tc>
          <w:tcPr>
            <w:tcW w:w="647" w:type="dxa"/>
            <w:vAlign w:val="center"/>
          </w:tcPr>
          <w:p>
            <w:pPr>
              <w:pStyle w:val="TableText"/>
              <w:jc w:val="center"/>
            </w:pPr>
            <w:r>
              <w:rPr>
                <w:sz w:val="20"/>
                <w:szCs w:val="20"/>
              </w:rPr>
              <w:t xml:space="preserve">3</w:t>
            </w:r>
          </w:p>
        </w:tc>
        <w:tc>
          <w:tcPr>
            <w:tcW w:w="647" w:type="dxa"/>
            <w:vAlign w:val="center"/>
          </w:tcPr>
          <w:p>
            <w:pPr>
              <w:pStyle w:val="TableText"/>
              <w:jc w:val="center"/>
            </w:pPr>
            <w:r>
              <w:rPr>
                <w:sz w:val="20"/>
                <w:szCs w:val="20"/>
              </w:rPr>
              <w:t xml:space="preserve">3</w:t>
            </w:r>
          </w:p>
        </w:tc>
        <w:tc>
          <w:tcPr>
            <w:tcW w:w="647" w:type="dxa"/>
            <w:vAlign w:val="center"/>
          </w:tcPr>
          <w:p>
            <w:pPr>
              <w:pStyle w:val="TableText"/>
              <w:jc w:val="center"/>
            </w:pPr>
            <w:r>
              <w:rPr>
                <w:sz w:val="20"/>
                <w:szCs w:val="20"/>
              </w:rPr>
              <w:t xml:space="preserve">2</w:t>
            </w:r>
          </w:p>
        </w:tc>
        <w:tc>
          <w:tcPr>
            <w:tcW w:w="647" w:type="dxa"/>
            <w:vAlign w:val="center"/>
          </w:tcPr>
          <w:p>
            <w:pPr>
              <w:pStyle w:val="TableText"/>
              <w:jc w:val="center"/>
            </w:pPr>
            <w:r>
              <w:rPr>
                <w:sz w:val="20"/>
                <w:szCs w:val="20"/>
              </w:rPr>
              <w:t xml:space="preserve">2</w:t>
            </w:r>
          </w:p>
        </w:tc>
        <w:tc>
          <w:tcPr>
            <w:tcW w:w="647" w:type="dxa"/>
            <w:vAlign w:val="center"/>
          </w:tcPr>
          <w:p>
            <w:pPr>
              <w:pStyle w:val="TableText"/>
              <w:jc w:val="center"/>
            </w:pPr>
            <w:r>
              <w:rPr>
                <w:sz w:val="20"/>
                <w:szCs w:val="20"/>
              </w:rPr>
              <w:t xml:space="preserve">2</w:t>
            </w:r>
          </w:p>
        </w:tc>
      </w:tr>
    </w:tbl>
    <w:p>
      <w:pPr>
        <w:pStyle w:val="Normal"/>
        <w:spacing w:before="120" w:after="120"/>
      </w:pPr>
      <w:r>
        <w:rPr>
          <w:i/>
          <w:iCs/>
        </w:rPr>
        <w:t xml:space="preserve">Mapping scale: 3 = High correlation; 2 = Moderate correlation; 1 = Low correlation; – = No direct correlation.</w:t>
      </w:r>
    </w:p>
    <w:p>
      <w:pPr>
        <w:pStyle w:val="Normal"/>
      </w:pPr>
      <w:r>
        <w:t xml:space="preserve">The table below shows where this report gives the evidence for each course outcome of Capstone Project II.</w:t>
      </w:r>
    </w:p>
    <w:tbl>
      <w:tblPr>
        <w:tblW w:w="9259"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30" w:type="dxa"/>
          <w:left w:w="80" w:type="dxa"/>
          <w:bottom w:w="30" w:type="dxa"/>
          <w:right w:w="80" w:type="dxa"/>
        </w:tblCellMar>
        <w:tblLook w:val="0000"/>
      </w:tblPr>
      <w:tblGrid>
        <w:gridCol w:w="1218"/>
        <w:gridCol w:w="5117"/>
        <w:gridCol w:w="2924"/>
      </w:tblGrid>
      <w:tr>
        <w:trPr>
          <w:cantSplit/>
          <w:tblHeader/>
        </w:trPr>
        <w:tc>
          <w:tcPr>
            <w:tcW w:w="1218" w:type="dxa"/>
            <w:shd w:val="clear" w:color="auto" w:fill="D9E2F3"/>
            <w:vAlign w:val="center"/>
          </w:tcPr>
          <w:p>
            <w:pPr>
              <w:pStyle w:val="TableText"/>
              <w:keepNext/>
              <w:jc w:val="center"/>
            </w:pPr>
            <w:r>
              <w:rPr>
                <w:sz w:val="20"/>
                <w:szCs w:val="20"/>
                <w:b/>
                <w:bCs/>
              </w:rPr>
              <w:t xml:space="preserve">CO</w:t>
            </w:r>
          </w:p>
        </w:tc>
        <w:tc>
          <w:tcPr>
            <w:tcW w:w="5117" w:type="dxa"/>
            <w:shd w:val="clear" w:color="auto" w:fill="D9E2F3"/>
            <w:vAlign w:val="center"/>
          </w:tcPr>
          <w:p>
            <w:pPr>
              <w:pStyle w:val="TableText"/>
              <w:keepNext/>
              <w:jc w:val="center"/>
            </w:pPr>
            <w:r>
              <w:rPr>
                <w:sz w:val="20"/>
                <w:szCs w:val="20"/>
                <w:b/>
                <w:bCs/>
              </w:rPr>
              <w:t xml:space="preserve">How the project meets it</w:t>
            </w:r>
          </w:p>
        </w:tc>
        <w:tc>
          <w:tcPr>
            <w:tcW w:w="2924" w:type="dxa"/>
            <w:shd w:val="clear" w:color="auto" w:fill="D9E2F3"/>
            <w:vAlign w:val="center"/>
          </w:tcPr>
          <w:p>
            <w:pPr>
              <w:pStyle w:val="TableText"/>
              <w:keepNext/>
              <w:jc w:val="center"/>
            </w:pPr>
            <w:r>
              <w:rPr>
                <w:sz w:val="20"/>
                <w:szCs w:val="20"/>
                <w:b/>
                <w:bCs/>
              </w:rPr>
              <w:t xml:space="preserve">Evidence</w:t>
            </w:r>
          </w:p>
        </w:tc>
      </w:tr>
      <w:tr>
        <w:trPr>
          <w:cantSplit/>
        </w:trPr>
        <w:tc>
          <w:tcPr>
            <w:tcW w:w="1218" w:type="dxa"/>
            <w:vAlign w:val="center"/>
          </w:tcPr>
          <w:p>
            <w:pPr>
              <w:pStyle w:val="TableText"/>
              <w:keepNext/>
              <w:jc w:val="left"/>
            </w:pPr>
            <w:r>
              <w:rPr>
                <w:sz w:val="20"/>
                <w:szCs w:val="20"/>
              </w:rPr>
              <w:t xml:space="preserve">CO1</w:t>
            </w:r>
          </w:p>
        </w:tc>
        <w:tc>
          <w:tcPr>
            <w:tcW w:w="5117" w:type="dxa"/>
            <w:vAlign w:val="center"/>
          </w:tcPr>
          <w:p>
            <w:pPr>
              <w:pStyle w:val="TableText"/>
              <w:keepNext/>
              <w:jc w:val="left"/>
            </w:pPr>
            <w:r>
              <w:rPr>
                <w:sz w:val="20"/>
                <w:szCs w:val="20"/>
              </w:rPr>
              <w:t xml:space="preserve">Detection, accuracy estimation, localization, drift type diagnosis, root cause analysis, reliability scoring and remediation triage are implemented as separate modules and joined in one monitoring pipeline with a dashboard.</w:t>
            </w:r>
          </w:p>
        </w:tc>
        <w:tc>
          <w:tcPr>
            <w:tcW w:w="2924" w:type="dxa"/>
            <w:vAlign w:val="center"/>
          </w:tcPr>
          <w:p>
            <w:pPr>
              <w:pStyle w:val="TableText"/>
              <w:keepNext/>
              <w:jc w:val="left"/>
            </w:pPr>
            <w:r>
              <w:rPr>
                <w:sz w:val="20"/>
                <w:szCs w:val="20"/>
              </w:rPr>
              <w:t xml:space="preserve">Chapters </w:t>
            </w:r>
            <w:r>
              <w:rPr>
                <w:sz w:val="20"/>
                <w:szCs w:val="20"/>
              </w:rPr>
              <w:t xml:space="preserve">4</w:t>
            </w:r>
            <w:r>
              <w:rPr>
                <w:sz w:val="20"/>
                <w:szCs w:val="20"/>
              </w:rPr>
              <w:t xml:space="preserve"> and </w:t>
            </w:r>
            <w:r>
              <w:rPr>
                <w:sz w:val="20"/>
                <w:szCs w:val="20"/>
              </w:rPr>
              <w:t xml:space="preserve">5</w:t>
            </w:r>
          </w:p>
        </w:tc>
      </w:tr>
      <w:tr>
        <w:trPr>
          <w:cantSplit/>
        </w:trPr>
        <w:tc>
          <w:tcPr>
            <w:tcW w:w="1218" w:type="dxa"/>
            <w:vAlign w:val="center"/>
          </w:tcPr>
          <w:p>
            <w:pPr>
              <w:pStyle w:val="TableText"/>
              <w:keepNext/>
              <w:jc w:val="left"/>
            </w:pPr>
            <w:r>
              <w:rPr>
                <w:sz w:val="20"/>
                <w:szCs w:val="20"/>
              </w:rPr>
              <w:t xml:space="preserve">CO2</w:t>
            </w:r>
          </w:p>
        </w:tc>
        <w:tc>
          <w:tcPr>
            <w:tcW w:w="5117" w:type="dxa"/>
            <w:vAlign w:val="center"/>
          </w:tcPr>
          <w:p>
            <w:pPr>
              <w:pStyle w:val="TableText"/>
              <w:keepNext/>
              <w:jc w:val="left"/>
            </w:pPr>
            <w:r>
              <w:rPr>
                <w:sz w:val="20"/>
                <w:szCs w:val="20"/>
              </w:rPr>
              <w:t xml:space="preserve">113 automated tests, statistical checks of the false alarm rate, a benchmark with known drift types and a full rerun after a code review found two errors.</w:t>
            </w:r>
          </w:p>
        </w:tc>
        <w:tc>
          <w:tcPr>
            <w:tcW w:w="2924" w:type="dxa"/>
            <w:vAlign w:val="center"/>
          </w:tcPr>
          <w:p>
            <w:pPr>
              <w:pStyle w:val="TableText"/>
              <w:keepNext/>
              <w:jc w:val="left"/>
            </w:pPr>
            <w:r>
              <w:rPr>
                <w:sz w:val="20"/>
                <w:szCs w:val="20"/>
              </w:rPr>
              <w:t xml:space="preserve">Chapter </w:t>
            </w:r>
            <w:r>
              <w:rPr>
                <w:sz w:val="20"/>
                <w:szCs w:val="20"/>
              </w:rPr>
              <w:t xml:space="preserve">6</w:t>
            </w:r>
          </w:p>
        </w:tc>
      </w:tr>
      <w:tr>
        <w:trPr>
          <w:cantSplit/>
        </w:trPr>
        <w:tc>
          <w:tcPr>
            <w:tcW w:w="1218" w:type="dxa"/>
            <w:vAlign w:val="center"/>
          </w:tcPr>
          <w:p>
            <w:pPr>
              <w:pStyle w:val="TableText"/>
              <w:jc w:val="left"/>
            </w:pPr>
            <w:r>
              <w:rPr>
                <w:sz w:val="20"/>
                <w:szCs w:val="20"/>
              </w:rPr>
              <w:t xml:space="preserve">CO3</w:t>
            </w:r>
          </w:p>
        </w:tc>
        <w:tc>
          <w:tcPr>
            <w:tcW w:w="5117" w:type="dxa"/>
            <w:vAlign w:val="center"/>
          </w:tcPr>
          <w:p>
            <w:pPr>
              <w:pStyle w:val="TableText"/>
              <w:jc w:val="left"/>
            </w:pPr>
            <w:r>
              <w:rPr>
                <w:sz w:val="20"/>
                <w:szCs w:val="20"/>
              </w:rPr>
              <w:t xml:space="preserve">Correct-type rate with Wilson intervals, paired permutation tests with Holm correction, mean absolute error of the accuracy estimates, area under the ROC curve and run times.</w:t>
            </w:r>
          </w:p>
        </w:tc>
        <w:tc>
          <w:tcPr>
            <w:tcW w:w="2924" w:type="dxa"/>
            <w:vAlign w:val="center"/>
          </w:tcPr>
          <w:p>
            <w:pPr>
              <w:pStyle w:val="TableText"/>
              <w:jc w:val="left"/>
            </w:pPr>
            <w:r>
              <w:rPr>
                <w:sz w:val="20"/>
                <w:szCs w:val="20"/>
              </w:rPr>
              <w:t xml:space="preserve">Sections </w:t>
            </w:r>
            <w:r>
              <w:rPr>
                <w:sz w:val="20"/>
                <w:szCs w:val="20"/>
              </w:rPr>
              <w:t xml:space="preserve">7.2</w:t>
            </w:r>
            <w:r>
              <w:rPr>
                <w:sz w:val="20"/>
                <w:szCs w:val="20"/>
              </w:rPr>
              <w:t xml:space="preserve"> and </w:t>
            </w:r>
            <w:r>
              <w:rPr>
                <w:sz w:val="20"/>
                <w:szCs w:val="20"/>
              </w:rPr>
              <w:t xml:space="preserve">7.4</w:t>
            </w:r>
          </w:p>
        </w:tc>
      </w:tr>
      <w:tr>
        <w:trPr>
          <w:cantSplit/>
        </w:trPr>
        <w:tc>
          <w:tcPr>
            <w:tcW w:w="1218" w:type="dxa"/>
            <w:vAlign w:val="center"/>
          </w:tcPr>
          <w:p>
            <w:pPr>
              <w:pStyle w:val="TableText"/>
              <w:jc w:val="left"/>
            </w:pPr>
            <w:r>
              <w:rPr>
                <w:sz w:val="20"/>
                <w:szCs w:val="20"/>
              </w:rPr>
              <w:t xml:space="preserve">CO4</w:t>
            </w:r>
          </w:p>
        </w:tc>
        <w:tc>
          <w:tcPr>
            <w:tcW w:w="5117" w:type="dxa"/>
            <w:vAlign w:val="center"/>
          </w:tcPr>
          <w:p>
            <w:pPr>
              <w:pStyle w:val="TableText"/>
              <w:jc w:val="left"/>
            </w:pPr>
            <w:r>
              <w:rPr>
                <w:sz w:val="20"/>
                <w:szCs w:val="20"/>
              </w:rPr>
              <w:t xml:space="preserve">Local deployment through a Streamlit dashboard, a stated error rate for every decision, measured run times, privacy of the data and a sustainability assessment.</w:t>
            </w:r>
          </w:p>
        </w:tc>
        <w:tc>
          <w:tcPr>
            <w:tcW w:w="2924" w:type="dxa"/>
            <w:vAlign w:val="center"/>
          </w:tcPr>
          <w:p>
            <w:pPr>
              <w:pStyle w:val="TableText"/>
              <w:jc w:val="left"/>
            </w:pPr>
            <w:r>
              <w:rPr>
                <w:sz w:val="20"/>
                <w:szCs w:val="20"/>
              </w:rPr>
              <w:t xml:space="preserve">Sections </w:t>
            </w:r>
            <w:r>
              <w:rPr>
                <w:sz w:val="20"/>
                <w:szCs w:val="20"/>
              </w:rPr>
              <w:t xml:space="preserve">3.3</w:t>
            </w:r>
            <w:r>
              <w:rPr>
                <w:sz w:val="20"/>
                <w:szCs w:val="20"/>
              </w:rPr>
              <w:t xml:space="preserve">, </w:t>
            </w:r>
            <w:r>
              <w:rPr>
                <w:sz w:val="20"/>
                <w:szCs w:val="20"/>
              </w:rPr>
              <w:t xml:space="preserve">7.1</w:t>
            </w:r>
            <w:r>
              <w:rPr>
                <w:sz w:val="20"/>
                <w:szCs w:val="20"/>
              </w:rPr>
              <w:t xml:space="preserve"> and </w:t>
            </w:r>
            <w:r>
              <w:rPr>
                <w:sz w:val="20"/>
                <w:szCs w:val="20"/>
              </w:rPr>
              <w:t xml:space="preserve">7.7</w:t>
            </w:r>
          </w:p>
        </w:tc>
      </w:tr>
      <w:tr>
        <w:trPr>
          <w:cantSplit/>
        </w:trPr>
        <w:tc>
          <w:tcPr>
            <w:tcW w:w="1218" w:type="dxa"/>
            <w:vAlign w:val="center"/>
          </w:tcPr>
          <w:p>
            <w:pPr>
              <w:pStyle w:val="TableText"/>
              <w:jc w:val="left"/>
            </w:pPr>
            <w:r>
              <w:rPr>
                <w:sz w:val="20"/>
                <w:szCs w:val="20"/>
              </w:rPr>
              <w:t xml:space="preserve">CO5</w:t>
            </w:r>
          </w:p>
        </w:tc>
        <w:tc>
          <w:tcPr>
            <w:tcW w:w="5117" w:type="dxa"/>
            <w:vAlign w:val="center"/>
          </w:tcPr>
          <w:p>
            <w:pPr>
              <w:pStyle w:val="TableText"/>
              <w:jc w:val="left"/>
            </w:pPr>
            <w:r>
              <w:rPr>
                <w:sz w:val="20"/>
                <w:szCs w:val="20"/>
              </w:rPr>
              <w:t xml:space="preserve">Literature and patent survey, hypothesis-testing methodology, a held-out benchmark design and a research paper prepared for publication.</w:t>
            </w:r>
          </w:p>
        </w:tc>
        <w:tc>
          <w:tcPr>
            <w:tcW w:w="2924" w:type="dxa"/>
            <w:vAlign w:val="center"/>
          </w:tcPr>
          <w:p>
            <w:pPr>
              <w:pStyle w:val="TableText"/>
              <w:jc w:val="left"/>
            </w:pPr>
            <w:r>
              <w:rPr>
                <w:sz w:val="20"/>
                <w:szCs w:val="20"/>
              </w:rPr>
              <w:t xml:space="preserve">Chapter </w:t>
            </w:r>
            <w:r>
              <w:rPr>
                <w:sz w:val="20"/>
                <w:szCs w:val="20"/>
              </w:rPr>
              <w:t xml:space="preserve">2</w:t>
            </w:r>
            <w:r>
              <w:rPr>
                <w:sz w:val="20"/>
                <w:szCs w:val="20"/>
              </w:rPr>
              <w:t xml:space="preserve">, Section </w:t>
            </w:r>
            <w:r>
              <w:rPr>
                <w:sz w:val="20"/>
                <w:szCs w:val="20"/>
              </w:rPr>
              <w:t xml:space="preserve">7.4</w:t>
            </w:r>
            <w:r>
              <w:rPr>
                <w:sz w:val="20"/>
                <w:szCs w:val="20"/>
              </w:rPr>
              <w:t xml:space="preserve">, Appendix I</w:t>
            </w:r>
          </w:p>
        </w:tc>
      </w:tr>
      <w:tr>
        <w:trPr>
          <w:cantSplit/>
        </w:trPr>
        <w:tc>
          <w:tcPr>
            <w:tcW w:w="1218" w:type="dxa"/>
            <w:vAlign w:val="center"/>
          </w:tcPr>
          <w:p>
            <w:pPr>
              <w:pStyle w:val="TableText"/>
              <w:jc w:val="left"/>
            </w:pPr>
            <w:r>
              <w:rPr>
                <w:sz w:val="20"/>
                <w:szCs w:val="20"/>
              </w:rPr>
              <w:t xml:space="preserve">CO6</w:t>
            </w:r>
          </w:p>
        </w:tc>
        <w:tc>
          <w:tcPr>
            <w:tcW w:w="5117" w:type="dxa"/>
            <w:vAlign w:val="center"/>
          </w:tcPr>
          <w:p>
            <w:pPr>
              <w:pStyle w:val="TableText"/>
              <w:jc w:val="left"/>
            </w:pPr>
            <w:r>
              <w:rPr>
                <w:sz w:val="20"/>
                <w:szCs w:val="20"/>
              </w:rPr>
              <w:t xml:space="preserve">This report, the dashboard demonstration and the project presentation.</w:t>
            </w:r>
          </w:p>
        </w:tc>
        <w:tc>
          <w:tcPr>
            <w:tcW w:w="2924" w:type="dxa"/>
            <w:vAlign w:val="center"/>
          </w:tcPr>
          <w:p>
            <w:pPr>
              <w:pStyle w:val="TableText"/>
              <w:jc w:val="left"/>
            </w:pPr>
            <w:r>
              <w:rPr>
                <w:sz w:val="20"/>
                <w:szCs w:val="20"/>
              </w:rPr>
              <w:t xml:space="preserve">This report, Appendix I</w:t>
            </w:r>
          </w:p>
        </w:tc>
      </w:tr>
    </w:tbl>
    <w:p>
      <w:pPr>
        <w:spacing w:before="0" w:after="120" w:line="240" w:lineRule="auto"/>
      </w:pPr>
    </w:p>
    <w:p>
      <w:r>
        <w:br w:type="page"/>
      </w:r>
    </w:p>
    <w:p>
      <w:pPr>
        <w:pStyle w:val="FrontTitle"/>
      </w:pPr>
      <w:r>
        <w:t xml:space="preserve">TABLE OF CONTENTS</w:t>
      </w:r>
    </w:p>
    <w:p>
      <w:pPr>
        <w:pStyle w:val="TOC1"/>
        <w:pBdr>
          <w:bottom w:val="single" w:sz="4" w:space="2" w:color="000000"/>
        </w:pBdr>
      </w:pPr>
      <w:r>
        <w:t xml:space="preserve">Title</w:t>
      </w:r>
      <w:r>
        <w:t xml:space="preserve"/>
        <w:tab/>
        <w:t xml:space="preserve">Page No.</w:t>
      </w:r>
    </w:p>
    <w:p>
      <w:pPr>
        <w:pStyle w:val="TOC1"/>
      </w:pPr>
      <w:r>
        <w:fldChar w:fldCharType="begin"/>
      </w:r>
      <w:r>
        <w:instrText xml:space="preserve"> TOC \o "1-3" \h \z \u </w:instrText>
      </w:r>
      <w:r>
        <w:fldChar w:fldCharType="separate"/>
      </w:r>
      <w:r>
        <w:t xml:space="preserve">ABSTRACT</w:t>
        <w:tab/>
        <w:t xml:space="preserve">xvi</w:t>
      </w:r>
    </w:p>
    <w:p>
      <w:pPr>
        <w:pStyle w:val="TOC1"/>
      </w:pPr>
      <w:r>
        <w:t xml:space="preserve">CHAPTER 1: INTRODUCTION</w:t>
        <w:tab/>
        <w:t xml:space="preserve">1</w:t>
      </w:r>
    </w:p>
    <w:p>
      <w:pPr>
        <w:pStyle w:val="TOC2"/>
      </w:pPr>
      <w:r>
        <w:t xml:space="preserve">1.1 Introduction</w:t>
        <w:tab/>
        <w:t xml:space="preserve">1</w:t>
      </w:r>
    </w:p>
    <w:p>
      <w:pPr>
        <w:pStyle w:val="TOC2"/>
      </w:pPr>
      <w:r>
        <w:t xml:space="preserve">1.2 Motivation</w:t>
        <w:tab/>
        <w:t xml:space="preserve">2</w:t>
      </w:r>
    </w:p>
    <w:p>
      <w:pPr>
        <w:pStyle w:val="TOC2"/>
      </w:pPr>
      <w:r>
        <w:t xml:space="preserve">1.3 Problem Definition</w:t>
        <w:tab/>
        <w:t xml:space="preserve">3</w:t>
      </w:r>
    </w:p>
    <w:p>
      <w:pPr>
        <w:pStyle w:val="TOC2"/>
      </w:pPr>
      <w:r>
        <w:t xml:space="preserve">1.4 Existing Systems</w:t>
        <w:tab/>
        <w:t xml:space="preserve">3</w:t>
      </w:r>
    </w:p>
    <w:p>
      <w:pPr>
        <w:pStyle w:val="TOC2"/>
      </w:pPr>
      <w:r>
        <w:t xml:space="preserve">1.5 Lacunae in Existing Systems</w:t>
        <w:tab/>
        <w:t xml:space="preserve">4</w:t>
      </w:r>
    </w:p>
    <w:p>
      <w:pPr>
        <w:pStyle w:val="TOC2"/>
      </w:pPr>
      <w:r>
        <w:t xml:space="preserve">1.6 Relevance of the Project</w:t>
        <w:tab/>
        <w:t xml:space="preserve">5</w:t>
      </w:r>
    </w:p>
    <w:p>
      <w:pPr>
        <w:pStyle w:val="TOC2"/>
      </w:pPr>
      <w:r>
        <w:t xml:space="preserve">1.7 Alignment with the United Nations Sustainable Development Goals (SDGs)</w:t>
        <w:tab/>
        <w:t xml:space="preserve">5</w:t>
      </w:r>
    </w:p>
    <w:p>
      <w:pPr>
        <w:pStyle w:val="TOC1"/>
      </w:pPr>
      <w:r>
        <w:t xml:space="preserve">CHAPTER 2: LITERATURE SURVEY</w:t>
        <w:tab/>
        <w:t xml:space="preserve">7</w:t>
      </w:r>
    </w:p>
    <w:p>
      <w:pPr>
        <w:pStyle w:val="TOC2"/>
      </w:pPr>
      <w:r>
        <w:t xml:space="preserve">2.1 Brief Overview of the Literature Survey</w:t>
        <w:tab/>
        <w:t xml:space="preserve">7</w:t>
      </w:r>
    </w:p>
    <w:p>
      <w:pPr>
        <w:pStyle w:val="TOC2"/>
      </w:pPr>
      <w:r>
        <w:t xml:space="preserve">2.2 Related Works / Research Papers Referred</w:t>
        <w:tab/>
        <w:t xml:space="preserve">7</w:t>
      </w:r>
    </w:p>
    <w:p>
      <w:pPr>
        <w:pStyle w:val="TOC2"/>
      </w:pPr>
      <w:r>
        <w:t xml:space="preserve">2.3 Patent Search</w:t>
        <w:tab/>
        <w:t xml:space="preserve">9</w:t>
      </w:r>
    </w:p>
    <w:p>
      <w:pPr>
        <w:pStyle w:val="TOC2"/>
      </w:pPr>
      <w:r>
        <w:t xml:space="preserve">2.4 Inference Drawn</w:t>
        <w:tab/>
        <w:t xml:space="preserve">10</w:t>
      </w:r>
    </w:p>
    <w:p>
      <w:pPr>
        <w:pStyle w:val="TOC2"/>
      </w:pPr>
      <w:r>
        <w:t xml:space="preserve">2.5 Comparison with Existing Systems</w:t>
        <w:tab/>
        <w:t xml:space="preserve">11</w:t>
      </w:r>
    </w:p>
    <w:p>
      <w:pPr>
        <w:pStyle w:val="TOC2"/>
      </w:pPr>
      <w:r>
        <w:t xml:space="preserve">2.6 Feasibility Analysis</w:t>
        <w:tab/>
        <w:t xml:space="preserve">12</w:t>
      </w:r>
    </w:p>
    <w:p>
      <w:pPr>
        <w:pStyle w:val="TOC3"/>
      </w:pPr>
      <w:r>
        <w:t xml:space="preserve">2.6.1 Technical Feasibility</w:t>
        <w:tab/>
        <w:t xml:space="preserve">12</w:t>
      </w:r>
    </w:p>
    <w:p>
      <w:pPr>
        <w:pStyle w:val="TOC3"/>
      </w:pPr>
      <w:r>
        <w:t xml:space="preserve">2.6.2 Economic and Financial Feasibility</w:t>
        <w:tab/>
        <w:t xml:space="preserve">12</w:t>
      </w:r>
    </w:p>
    <w:p>
      <w:pPr>
        <w:pStyle w:val="TOC3"/>
      </w:pPr>
      <w:r>
        <w:t xml:space="preserve">2.6.3 Cost-effectiveness Analysis</w:t>
        <w:tab/>
        <w:t xml:space="preserve">13</w:t>
      </w:r>
    </w:p>
    <w:p>
      <w:pPr>
        <w:pStyle w:val="TOC3"/>
      </w:pPr>
      <w:r>
        <w:t xml:space="preserve">2.6.4 Operational Feasibility and Risk Analysis</w:t>
        <w:tab/>
        <w:t xml:space="preserve">13</w:t>
      </w:r>
    </w:p>
    <w:p>
      <w:pPr>
        <w:pStyle w:val="TOC3"/>
      </w:pPr>
      <w:r>
        <w:t xml:space="preserve">2.6.5 Environmental and Sustainability Feasibility</w:t>
        <w:tab/>
        <w:t xml:space="preserve">14</w:t>
      </w:r>
    </w:p>
    <w:p>
      <w:pPr>
        <w:pStyle w:val="TOC3"/>
      </w:pPr>
      <w:r>
        <w:t xml:space="preserve">2.6.6 Legal, Ethical and Privacy Feasibility</w:t>
        <w:tab/>
        <w:t xml:space="preserve">14</w:t>
      </w:r>
    </w:p>
    <w:p>
      <w:pPr>
        <w:pStyle w:val="TOC2"/>
      </w:pPr>
      <w:r>
        <w:t xml:space="preserve">2.7 Expected Outcomes / Deliverables</w:t>
        <w:tab/>
        <w:t xml:space="preserve">14</w:t>
      </w:r>
    </w:p>
    <w:p>
      <w:pPr>
        <w:pStyle w:val="TOC1"/>
      </w:pPr>
      <w:r>
        <w:t xml:space="preserve">CHAPTER 3: REQUIREMENT GATHERING FOR THE PROPOSED SYSTEM</w:t>
        <w:tab/>
        <w:t xml:space="preserve">15</w:t>
      </w:r>
    </w:p>
    <w:p>
      <w:pPr>
        <w:pStyle w:val="TOC2"/>
      </w:pPr>
      <w:r>
        <w:t xml:space="preserve">3.1 Introduction to Requirement Gathering</w:t>
        <w:tab/>
        <w:t xml:space="preserve">15</w:t>
      </w:r>
    </w:p>
    <w:p>
      <w:pPr>
        <w:pStyle w:val="TOC2"/>
      </w:pPr>
      <w:r>
        <w:t xml:space="preserve">3.2 Functional Requirements</w:t>
        <w:tab/>
        <w:t xml:space="preserve">16</w:t>
      </w:r>
    </w:p>
    <w:p>
      <w:pPr>
        <w:pStyle w:val="TOC2"/>
      </w:pPr>
      <w:r>
        <w:t xml:space="preserve">3.3 Non-Functional Requirements</w:t>
        <w:tab/>
        <w:t xml:space="preserve">17</w:t>
      </w:r>
    </w:p>
    <w:p>
      <w:pPr>
        <w:pStyle w:val="TOC2"/>
      </w:pPr>
      <w:r>
        <w:t xml:space="preserve">3.4 Hardware, Software, Technologies and Tools Utilized</w:t>
        <w:tab/>
        <w:t xml:space="preserve">18</w:t>
      </w:r>
    </w:p>
    <w:p>
      <w:pPr>
        <w:pStyle w:val="TOC2"/>
      </w:pPr>
      <w:r>
        <w:t xml:space="preserve">3.5 Constraints</w:t>
        <w:tab/>
        <w:t xml:space="preserve">19</w:t>
      </w:r>
    </w:p>
    <w:p>
      <w:pPr>
        <w:pStyle w:val="TOC1"/>
      </w:pPr>
      <w:r>
        <w:t xml:space="preserve">CHAPTER 4: PROPOSED DESIGN</w:t>
        <w:tab/>
        <w:t xml:space="preserve">20</w:t>
      </w:r>
    </w:p>
    <w:p>
      <w:pPr>
        <w:pStyle w:val="TOC2"/>
      </w:pPr>
      <w:r>
        <w:t xml:space="preserve">4.1 Block Diagram of the System</w:t>
        <w:tab/>
        <w:t xml:space="preserve">20</w:t>
      </w:r>
    </w:p>
    <w:p>
      <w:pPr>
        <w:pStyle w:val="TOC2"/>
      </w:pPr>
      <w:r>
        <w:t xml:space="preserve">4.2 Modular Design of the System</w:t>
        <w:tab/>
        <w:t xml:space="preserve">22</w:t>
      </w:r>
    </w:p>
    <w:p>
      <w:pPr>
        <w:pStyle w:val="TOC2"/>
      </w:pPr>
      <w:r>
        <w:t xml:space="preserve">4.3 Detailed Design</w:t>
        <w:tab/>
        <w:t xml:space="preserve">24</w:t>
      </w:r>
    </w:p>
    <w:p>
      <w:pPr>
        <w:pStyle w:val="TOC3"/>
      </w:pPr>
      <w:r>
        <w:t xml:space="preserve">4.3.1 Class Design</w:t>
        <w:tab/>
        <w:t xml:space="preserve">24</w:t>
      </w:r>
    </w:p>
    <w:p>
      <w:pPr>
        <w:pStyle w:val="TOC3"/>
      </w:pPr>
      <w:r>
        <w:t xml:space="preserve">4.3.2 Data Flow</w:t>
        <w:tab/>
        <w:t xml:space="preserve">26</w:t>
      </w:r>
    </w:p>
    <w:p>
      <w:pPr>
        <w:pStyle w:val="TOC3"/>
      </w:pPr>
      <w:r>
        <w:t xml:space="preserve">4.3.3 Report Structure</w:t>
        <w:tab/>
        <w:t xml:space="preserve">27</w:t>
      </w:r>
    </w:p>
    <w:p>
      <w:pPr>
        <w:pStyle w:val="TOC3"/>
      </w:pPr>
      <w:r>
        <w:t xml:space="preserve">4.3.4 Statistical Design</w:t>
        <w:tab/>
        <w:t xml:space="preserve">27</w:t>
      </w:r>
    </w:p>
    <w:p>
      <w:pPr>
        <w:pStyle w:val="TOC2"/>
      </w:pPr>
      <w:r>
        <w:t xml:space="preserve">4.4 Project Scheduling and Tracking</w:t>
        <w:tab/>
        <w:t xml:space="preserve">27</w:t>
      </w:r>
    </w:p>
    <w:p>
      <w:pPr>
        <w:pStyle w:val="TOC2"/>
      </w:pPr>
      <w:r>
        <w:t xml:space="preserve">4.5 Sustainability-by-Design Decisions</w:t>
        <w:tab/>
        <w:t xml:space="preserve">29</w:t>
      </w:r>
    </w:p>
    <w:p>
      <w:pPr>
        <w:pStyle w:val="TOC1"/>
      </w:pPr>
      <w:r>
        <w:t xml:space="preserve">CHAPTER 5: IMPLEMENTATION OF THE PROPOSED SYSTEM</w:t>
        <w:tab/>
        <w:t xml:space="preserve">30</w:t>
      </w:r>
    </w:p>
    <w:p>
      <w:pPr>
        <w:pStyle w:val="TOC2"/>
      </w:pPr>
      <w:r>
        <w:t xml:space="preserve">5.1 Methodology Employed for Development</w:t>
        <w:tab/>
        <w:t xml:space="preserve">30</w:t>
      </w:r>
    </w:p>
    <w:p>
      <w:pPr>
        <w:pStyle w:val="TOC2"/>
      </w:pPr>
      <w:r>
        <w:t xml:space="preserve">5.2 Algorithms and Flowcharts for Modules Developed</w:t>
        <w:tab/>
        <w:t xml:space="preserve">31</w:t>
      </w:r>
    </w:p>
    <w:p>
      <w:pPr>
        <w:pStyle w:val="TOC3"/>
      </w:pPr>
      <w:r>
        <w:t xml:space="preserve">5.2.1 Detection and Localization</w:t>
        <w:tab/>
        <w:t xml:space="preserve">31</w:t>
      </w:r>
    </w:p>
    <w:p>
      <w:pPr>
        <w:pStyle w:val="TOC3"/>
      </w:pPr>
      <w:r>
        <w:t xml:space="preserve">5.2.2 Accuracy Estimation</w:t>
        <w:tab/>
        <w:t xml:space="preserve">34</w:t>
      </w:r>
    </w:p>
    <w:p>
      <w:pPr>
        <w:pStyle w:val="TOC3"/>
      </w:pPr>
      <w:r>
        <w:t xml:space="preserve">5.2.3 Drift Type Diagnosis</w:t>
        <w:tab/>
        <w:t xml:space="preserve">34</w:t>
      </w:r>
    </w:p>
    <w:p>
      <w:pPr>
        <w:pStyle w:val="TOC3"/>
      </w:pPr>
      <w:r>
        <w:t xml:space="preserve">5.2.4 Root Cause Analysis</w:t>
        <w:tab/>
        <w:t xml:space="preserve">36</w:t>
      </w:r>
    </w:p>
    <w:p>
      <w:pPr>
        <w:pStyle w:val="TOC3"/>
      </w:pPr>
      <w:r>
        <w:t xml:space="preserve">5.2.5 Reliability Scoring and Remediation Triage</w:t>
        <w:tab/>
        <w:t xml:space="preserve">37</w:t>
      </w:r>
    </w:p>
    <w:p>
      <w:pPr>
        <w:pStyle w:val="TOC2"/>
      </w:pPr>
      <w:r>
        <w:t xml:space="preserve">5.3 Dataset Sources and Utilization</w:t>
        <w:tab/>
        <w:t xml:space="preserve">39</w:t>
      </w:r>
    </w:p>
    <w:p>
      <w:pPr>
        <w:pStyle w:val="TOC1"/>
      </w:pPr>
      <w:r>
        <w:t xml:space="preserve">CHAPTER 6: TESTING OF THE PROPOSED SYSTEM</w:t>
        <w:tab/>
        <w:t xml:space="preserve">42</w:t>
      </w:r>
    </w:p>
    <w:p>
      <w:pPr>
        <w:pStyle w:val="TOC2"/>
      </w:pPr>
      <w:r>
        <w:t xml:space="preserve">6.1 Introduction to Testing</w:t>
        <w:tab/>
        <w:t xml:space="preserve">42</w:t>
      </w:r>
    </w:p>
    <w:p>
      <w:pPr>
        <w:pStyle w:val="TOC2"/>
      </w:pPr>
      <w:r>
        <w:t xml:space="preserve">6.2 Types of Tests Considered</w:t>
        <w:tab/>
        <w:t xml:space="preserve">42</w:t>
      </w:r>
    </w:p>
    <w:p>
      <w:pPr>
        <w:pStyle w:val="TOC2"/>
      </w:pPr>
      <w:r>
        <w:t xml:space="preserve">6.3 Test Case Scenarios</w:t>
        <w:tab/>
        <w:t xml:space="preserve">43</w:t>
      </w:r>
    </w:p>
    <w:p>
      <w:pPr>
        <w:pStyle w:val="TOC2"/>
      </w:pPr>
      <w:r>
        <w:t xml:space="preserve">6.4 Inference Drawn from the Test Cases</w:t>
        <w:tab/>
        <w:t xml:space="preserve">45</w:t>
      </w:r>
    </w:p>
    <w:p>
      <w:pPr>
        <w:pStyle w:val="TOC1"/>
      </w:pPr>
      <w:r>
        <w:t xml:space="preserve">CHAPTER 7: RESULTS AND DISCUSSION</w:t>
        <w:tab/>
        <w:t xml:space="preserve">46</w:t>
      </w:r>
    </w:p>
    <w:p>
      <w:pPr>
        <w:pStyle w:val="TOC2"/>
      </w:pPr>
      <w:r>
        <w:t xml:space="preserve">7.1 User Interface Screenshots for Respective Modules</w:t>
        <w:tab/>
        <w:t xml:space="preserve">46</w:t>
      </w:r>
    </w:p>
    <w:p>
      <w:pPr>
        <w:pStyle w:val="TOC2"/>
      </w:pPr>
      <w:r>
        <w:t xml:space="preserve">7.2 Performance Evaluation Measures</w:t>
        <w:tab/>
        <w:t xml:space="preserve">56</w:t>
      </w:r>
    </w:p>
    <w:p>
      <w:pPr>
        <w:pStyle w:val="TOC2"/>
      </w:pPr>
      <w:r>
        <w:t xml:space="preserve">7.3 Input Parameters / Features Considered</w:t>
        <w:tab/>
        <w:t xml:space="preserve">57</w:t>
      </w:r>
    </w:p>
    <w:p>
      <w:pPr>
        <w:pStyle w:val="TOC2"/>
      </w:pPr>
      <w:r>
        <w:t xml:space="preserve">7.4 Graphical and Statistical Output</w:t>
        <w:tab/>
        <w:t xml:space="preserve">58</w:t>
      </w:r>
    </w:p>
    <w:p>
      <w:pPr>
        <w:pStyle w:val="TOC3"/>
      </w:pPr>
      <w:r>
        <w:t xml:space="preserve">7.4.1 Drift Type against Baselines</w:t>
        <w:tab/>
        <w:t xml:space="preserve">58</w:t>
      </w:r>
    </w:p>
    <w:p>
      <w:pPr>
        <w:pStyle w:val="TOC3"/>
      </w:pPr>
      <w:r>
        <w:t xml:space="preserve">7.4.2 Held-out Mechanisms</w:t>
        <w:tab/>
        <w:t xml:space="preserve">60</w:t>
      </w:r>
    </w:p>
    <w:p>
      <w:pPr>
        <w:pStyle w:val="TOC3"/>
      </w:pPr>
      <w:r>
        <w:t xml:space="preserve">7.4.3 Size of the Delayed Audit</w:t>
        <w:tab/>
        <w:t xml:space="preserve">61</w:t>
      </w:r>
    </w:p>
    <w:p>
      <w:pPr>
        <w:pStyle w:val="TOC3"/>
      </w:pPr>
      <w:r>
        <w:t xml:space="preserve">7.4.4 Detection and Accuracy Estimation</w:t>
        <w:tab/>
        <w:t xml:space="preserve">61</w:t>
      </w:r>
    </w:p>
    <w:p>
      <w:pPr>
        <w:pStyle w:val="TOC3"/>
      </w:pPr>
      <w:r>
        <w:t xml:space="preserve">7.4.5 Real Drift</w:t>
        <w:tab/>
        <w:t xml:space="preserve">62</w:t>
      </w:r>
    </w:p>
    <w:p>
      <w:pPr>
        <w:pStyle w:val="TOC3"/>
      </w:pPr>
      <w:r>
        <w:t xml:space="preserve">7.4.6 Reliability and Triage</w:t>
        <w:tab/>
        <w:t xml:space="preserve">65</w:t>
      </w:r>
    </w:p>
    <w:p>
      <w:pPr>
        <w:pStyle w:val="TOC3"/>
      </w:pPr>
      <w:r>
        <w:t xml:space="preserve">7.4.7 Computational Cost</w:t>
        <w:tab/>
        <w:t xml:space="preserve">66</w:t>
      </w:r>
    </w:p>
    <w:p>
      <w:pPr>
        <w:pStyle w:val="TOC2"/>
      </w:pPr>
      <w:r>
        <w:t xml:space="preserve">7.5 Comparison of Results with Existing Systems</w:t>
        <w:tab/>
        <w:t xml:space="preserve">66</w:t>
      </w:r>
    </w:p>
    <w:p>
      <w:pPr>
        <w:pStyle w:val="TOC2"/>
      </w:pPr>
      <w:r>
        <w:t xml:space="preserve">7.6 Inference Drawn</w:t>
        <w:tab/>
        <w:t xml:space="preserve">67</w:t>
      </w:r>
    </w:p>
    <w:p>
      <w:pPr>
        <w:pStyle w:val="TOC2"/>
      </w:pPr>
      <w:r>
        <w:t xml:space="preserve">7.7 Sustainability Impact Assessment and Rubric Justification</w:t>
        <w:tab/>
        <w:t xml:space="preserve">67</w:t>
      </w:r>
    </w:p>
    <w:p>
      <w:pPr>
        <w:pStyle w:val="TOC3"/>
      </w:pPr>
      <w:r>
        <w:t xml:space="preserve">7.7.1 Scope, Boundary and Evidence</w:t>
        <w:tab/>
        <w:t xml:space="preserve">67</w:t>
      </w:r>
    </w:p>
    <w:p>
      <w:pPr>
        <w:pStyle w:val="TOC3"/>
      </w:pPr>
      <w:r>
        <w:t xml:space="preserve">7.7.2 Material Sustainability Topics</w:t>
        <w:tab/>
        <w:t xml:space="preserve">68</w:t>
      </w:r>
    </w:p>
    <w:p>
      <w:pPr>
        <w:pStyle w:val="TOC3"/>
      </w:pPr>
      <w:r>
        <w:t xml:space="preserve">7.7.3 Sustainability Targets and Progress</w:t>
        <w:tab/>
        <w:t xml:space="preserve">68</w:t>
      </w:r>
    </w:p>
    <w:p>
      <w:pPr>
        <w:pStyle w:val="TOC3"/>
      </w:pPr>
      <w:r>
        <w:t xml:space="preserve">7.7.4 SDG Alignment and Evidence</w:t>
        <w:tab/>
        <w:t xml:space="preserve">69</w:t>
      </w:r>
    </w:p>
    <w:p>
      <w:pPr>
        <w:pStyle w:val="TOC3"/>
      </w:pPr>
      <w:r>
        <w:t xml:space="preserve">7.7.5 Sustainability Assessment Rubric</w:t>
        <w:tab/>
        <w:t xml:space="preserve">69</w:t>
      </w:r>
    </w:p>
    <w:p>
      <w:pPr>
        <w:pStyle w:val="TOC3"/>
      </w:pPr>
      <w:r>
        <w:t xml:space="preserve">7.7.6 Evidence and Limitations Statement</w:t>
        <w:tab/>
        <w:t xml:space="preserve">70</w:t>
      </w:r>
    </w:p>
    <w:p>
      <w:pPr>
        <w:pStyle w:val="TOC1"/>
      </w:pPr>
      <w:r>
        <w:t xml:space="preserve">CHAPTER 8: CONCLUSION</w:t>
        <w:tab/>
        <w:t xml:space="preserve">71</w:t>
      </w:r>
    </w:p>
    <w:p>
      <w:pPr>
        <w:pStyle w:val="TOC2"/>
      </w:pPr>
      <w:r>
        <w:t xml:space="preserve">8.1 Limitations</w:t>
        <w:tab/>
        <w:t xml:space="preserve">71</w:t>
      </w:r>
    </w:p>
    <w:p>
      <w:pPr>
        <w:pStyle w:val="TOC2"/>
      </w:pPr>
      <w:r>
        <w:t xml:space="preserve">8.2 Future Scope</w:t>
        <w:tab/>
        <w:t xml:space="preserve">72</w:t>
      </w:r>
    </w:p>
    <w:p>
      <w:pPr>
        <w:pStyle w:val="TOC1"/>
      </w:pPr>
      <w:r>
        <w:t xml:space="preserve">REFERENCES</w:t>
        <w:tab/>
        <w:t xml:space="preserve">73</w:t>
      </w:r>
    </w:p>
    <w:p>
      <w:pPr>
        <w:pStyle w:val="TOC1"/>
      </w:pPr>
      <w:r>
        <w:t xml:space="preserve">APPENDIX – I: PROJECT EVIDENCE AND SUPPORTING DOCUMENTS</w:t>
        <w:tab/>
        <w:t xml:space="preserve">79</w:t>
      </w:r>
    </w:p>
    <w:p>
      <w:pPr>
        <w:pStyle w:val="TOC2"/>
      </w:pPr>
      <w:r>
        <w:t xml:space="preserve">A. IPR / Research Publication Evidence</w:t>
        <w:tab/>
        <w:t xml:space="preserve">79</w:t>
      </w:r>
    </w:p>
    <w:p>
      <w:pPr>
        <w:pStyle w:val="TOC2"/>
      </w:pPr>
      <w:r>
        <w:t xml:space="preserve">B. Project Competition / Award Certificates</w:t>
        <w:tab/>
        <w:t xml:space="preserve">79</w:t>
      </w:r>
    </w:p>
    <w:p>
      <w:pPr>
        <w:pStyle w:val="TOC2"/>
      </w:pPr>
      <w:r>
        <w:t xml:space="preserve">C. Progress Review Sheets</w:t>
        <w:tab/>
        <w:t xml:space="preserve">79</w:t>
      </w:r>
    </w:p>
    <w:p>
      <w:pPr>
        <w:pStyle w:val="TOC2"/>
      </w:pPr>
      <w:r>
        <w:t xml:space="preserve">D. Additional Supporting Material</w:t>
        <w:tab/>
        <w:t xml:space="preserve">79</w:t>
      </w:r>
    </w:p>
    <w:p>
      <w:pPr>
        <w:pStyle w:val="TOC2"/>
      </w:pPr>
      <w:r>
        <w:t xml:space="preserve">E. Video Presentation</w:t>
        <w:tab/>
        <w:t xml:space="preserve">80</w:t>
      </w:r>
      <w:r>
        <w:fldChar w:fldCharType="end"/>
      </w:r>
    </w:p>
    <w:p>
      <w:r>
        <w:br w:type="page"/>
      </w:r>
    </w:p>
    <w:p>
      <w:pPr>
        <w:pStyle w:val="FrontTitle"/>
      </w:pPr>
      <w:r>
        <w:t xml:space="preserve">LIST OF FIGURES</w:t>
      </w:r>
    </w:p>
    <w:p>
      <w:pPr>
        <w:pStyle w:val="TOC1"/>
        <w:pBdr>
          <w:bottom w:val="single" w:sz="4" w:space="2" w:color="000000"/>
        </w:pBdr>
      </w:pPr>
      <w:r>
        <w:t xml:space="preserve">Figure</w:t>
      </w:r>
      <w:r>
        <w:t xml:space="preserve"/>
        <w:tab/>
        <w:t xml:space="preserve">Page No.</w:t>
      </w:r>
    </w:p>
    <w:p>
      <w:pPr>
        <w:pStyle w:val="TOC2"/>
        <w:ind w:left="0" w:right="400" w:hanging="0"/>
      </w:pPr>
      <w:r>
        <w:fldChar w:fldCharType="begin"/>
      </w:r>
      <w:r>
        <w:instrText xml:space="preserve"> TOC \h \z \t "Figure Caption,1" </w:instrText>
      </w:r>
      <w:r>
        <w:fldChar w:fldCharType="separate"/>
      </w:r>
      <w:r>
        <w:t xml:space="preserve">Fig. 1.1: The four drift types on toy data with two classes (circles and triangles). The dashed line is the decision boundary learned on the reference data; in (d) the labels are reversed inside the shaded region</w:t>
        <w:tab/>
        <w:t xml:space="preserve">1</w:t>
      </w:r>
    </w:p>
    <w:p>
      <w:pPr>
        <w:pStyle w:val="TOC2"/>
        <w:ind w:left="0" w:right="400" w:hanging="0"/>
      </w:pPr>
      <w:r>
        <w:t xml:space="preserve">Fig. 3.1: Use cases of ResilientAI for its three groups of direct users</w:t>
        <w:tab/>
        <w:t xml:space="preserve">16</w:t>
      </w:r>
    </w:p>
    <w:p>
      <w:pPr>
        <w:pStyle w:val="TOC2"/>
        <w:ind w:left="0" w:right="400" w:hanging="0"/>
      </w:pPr>
      <w:r>
        <w:t xml:space="preserve">Fig. 4.1: Block diagram of ResilientAI. Stage letters follow the order in which a production window is processed; dashed arrows carry optional or supporting data</w:t>
        <w:tab/>
        <w:t xml:space="preserve">21</w:t>
      </w:r>
    </w:p>
    <w:p>
      <w:pPr>
        <w:pStyle w:val="TOC2"/>
        <w:ind w:left="0" w:right="400" w:hanging="0"/>
      </w:pPr>
      <w:r>
        <w:t xml:space="preserve">Fig. 4.2: Packages of the implementation, arranged in layers; each layer uses the layers below it</w:t>
        <w:tab/>
        <w:t xml:space="preserve">22</w:t>
      </w:r>
    </w:p>
    <w:p>
      <w:pPr>
        <w:pStyle w:val="TOC2"/>
        <w:ind w:left="0" w:right="400" w:hanging="0"/>
      </w:pPr>
      <w:r>
        <w:t xml:space="preserve">Fig. 4.3: Main classes and functions. Hollow triangles mark inheritance, diamonds mark composition and dashed arrows mark use or return values</w:t>
        <w:tab/>
        <w:t xml:space="preserve">25</w:t>
      </w:r>
    </w:p>
    <w:p>
      <w:pPr>
        <w:pStyle w:val="TOC2"/>
        <w:ind w:left="0" w:right="400" w:hanging="0"/>
      </w:pPr>
      <w:r>
        <w:t xml:space="preserve">Fig. 4.4: Flow of data from the public datasets to the dashboard, the paper and this report</w:t>
        <w:tab/>
        <w:t xml:space="preserve">26</w:t>
      </w:r>
    </w:p>
    <w:p>
      <w:pPr>
        <w:pStyle w:val="TOC2"/>
        <w:ind w:left="0" w:right="400" w:hanging="0"/>
      </w:pPr>
      <w:r>
        <w:t xml:space="preserve">Fig. 4.5: Timeline of the project. Bars show the phases, dashed lines the main milestones and the gray band the semester break</w:t>
        <w:tab/>
        <w:t xml:space="preserve">28</w:t>
      </w:r>
    </w:p>
    <w:p>
      <w:pPr>
        <w:pStyle w:val="TOC2"/>
        <w:ind w:left="0" w:right="400" w:hanging="0"/>
      </w:pPr>
      <w:r>
        <w:t xml:space="preserve">Fig. 5.1: Flowchart of detection, accuracy estimation and localization for one window</w:t>
        <w:tab/>
        <w:t xml:space="preserve">32</w:t>
      </w:r>
    </w:p>
    <w:p>
      <w:pPr>
        <w:pStyle w:val="TOC2"/>
        <w:ind w:left="0" w:right="400" w:hanging="0"/>
      </w:pPr>
      <w:r>
        <w:t xml:space="preserve">Fig. 5.2: Decision path that names the drift type. Questions are shown in white boxes and verdicts in gray boxes; the upper row needs no labels and the lower row uses the audit</w:t>
        <w:tab/>
        <w:t xml:space="preserve">34</w:t>
      </w:r>
    </w:p>
    <w:p>
      <w:pPr>
        <w:pStyle w:val="TOC2"/>
        <w:ind w:left="0" w:right="400" w:hanging="0"/>
      </w:pPr>
      <w:r>
        <w:t xml:space="preserve">Fig. 5.3: Class activation maps for the 4 images of CLEAR-10 bucket 10 with the highest out-of-distribution scores. The top row gives each image with its predicted and true class, the bottom row the map of evidence for the predicted class (red is most evidence)</w:t>
        <w:tab/>
        <w:t xml:space="preserve">37</w:t>
      </w:r>
    </w:p>
    <w:p>
      <w:pPr>
        <w:pStyle w:val="TOC2"/>
        <w:ind w:left="0" w:right="400" w:hanging="0"/>
      </w:pPr>
      <w:r>
        <w:t xml:space="preserve">Fig. 5.4: Flowcharts of (a) the reliability score of each prediction and (b) the remediation triage</w:t>
        <w:tab/>
        <w:t xml:space="preserve">38</w:t>
      </w:r>
    </w:p>
    <w:p>
      <w:pPr>
        <w:pStyle w:val="TOC2"/>
        <w:ind w:left="0" w:right="400" w:hanging="0"/>
      </w:pPr>
      <w:r>
        <w:t xml:space="preserve">Fig. 7.1: Top of the ACS tab: task and model selectors, the description of the study, the headline numbers and the strip of steps</w:t>
        <w:tab/>
        <w:t xml:space="preserve">46</w:t>
      </w:r>
    </w:p>
    <w:p>
      <w:pPr>
        <w:pStyle w:val="TOC2"/>
        <w:ind w:left="0" w:right="400" w:hanging="0"/>
      </w:pPr>
      <w:r>
        <w:t xml:space="preserve">Fig. 7.2: Step 2a: the label-free accuracy estimate (CBPE) against the measured accuracy, its error per window and the confidence histograms of the reference and of CA 2023</w:t>
        <w:tab/>
        <w:t xml:space="preserve">47</w:t>
      </w:r>
    </w:p>
    <w:p>
      <w:pPr>
        <w:pStyle w:val="TOC2"/>
        <w:ind w:left="0" w:right="400" w:hanging="0"/>
      </w:pPr>
      <w:r>
        <w:t xml:space="preserve">Fig. 7.3: Step 2b: the statistic of every detector per window and, at the bottom, which detector raised an alarm on which window (filled circles)</w:t>
        <w:tab/>
        <w:t xml:space="preserve">48</w:t>
      </w:r>
    </w:p>
    <w:p>
      <w:pPr>
        <w:pStyle w:val="TOC2"/>
        <w:ind w:left="0" w:right="400" w:hanging="0"/>
      </w:pPr>
      <w:r>
        <w:t xml:space="preserve">Fig. 7.4: Step 2c: effect size of every feature per window (KS statistic for numeric features, Cramér’s V for nominal ones; a star marks a significant shift) and the share of rows with occupation codes never seen in the reference</w:t>
        <w:tab/>
        <w:t xml:space="preserve">49</w:t>
      </w:r>
    </w:p>
    <w:p>
      <w:pPr>
        <w:pStyle w:val="TOC2"/>
        <w:ind w:left="0" w:right="400" w:hanging="0"/>
      </w:pPr>
      <w:r>
        <w:t xml:space="preserve">Fig. 7.5: Step 3a: change in the mean absolute SHAP value of each feature per window and the reliance on each feature in the reference and in CA 2023</w:t>
        <w:tab/>
        <w:t xml:space="preserve">50</w:t>
      </w:r>
    </w:p>
    <w:p>
      <w:pPr>
        <w:pStyle w:val="TOC2"/>
        <w:ind w:left="0" w:right="400" w:hanging="0"/>
      </w:pPr>
      <w:r>
        <w:t xml:space="preserve">Fig. 7.6: Step 3b: the decision path of the diagnosis for every window, from the label-free tests to the audit, with the verdict on the right; below, the actual, predicted and BBSE-estimated share of positive cases</w:t>
        <w:tab/>
        <w:t xml:space="preserve">51</w:t>
      </w:r>
    </w:p>
    <w:p>
      <w:pPr>
        <w:pStyle w:val="TOC2"/>
        <w:ind w:left="0" w:right="400" w:hanging="0"/>
      </w:pPr>
      <w:r>
        <w:t xml:space="preserve">Fig. 7.7: Step 4: how well each signal ranks wrong predictions above right ones (area under the ROC curve), the share of predictions per risk label, the error rate inside each label and the weights the fusion learned</w:t>
        <w:tab/>
        <w:t xml:space="preserve">52</w:t>
      </w:r>
    </w:p>
    <w:p>
      <w:pPr>
        <w:pStyle w:val="TOC2"/>
        <w:ind w:left="0" w:right="400" w:hanging="0"/>
      </w:pPr>
      <w:r>
        <w:t xml:space="preserve">Fig. 7.8: Step 5: accuracy recovered by each repair strategy in each window, graded on labeled data (blue means a gain, red a loss, gray not applicable)</w:t>
        <w:tab/>
        <w:t xml:space="preserve">53</w:t>
      </w:r>
    </w:p>
    <w:p>
      <w:pPr>
        <w:pStyle w:val="TOC2"/>
        <w:ind w:left="0" w:right="400" w:hanging="0"/>
      </w:pPr>
      <w:r>
        <w:t xml:space="preserve">Fig. 7.9: CLEAR-10 tab, step 3a: class activation maps of the most unusual images of bucket 10</w:t>
        <w:tab/>
        <w:t xml:space="preserve">54</w:t>
      </w:r>
    </w:p>
    <w:p>
      <w:pPr>
        <w:pStyle w:val="TOC2"/>
        <w:ind w:left="0" w:right="400" w:hanging="0"/>
      </w:pPr>
      <w:r>
        <w:t xml:space="preserve">Fig. 7.10: Benchmark tab, step 6: injected against diagnosed drift types, the stage at which each verdict was reached, the effect of the audit size and the correct diagnosis by intensity</w:t>
        <w:tab/>
        <w:t xml:space="preserve">55</w:t>
      </w:r>
    </w:p>
    <w:p>
      <w:pPr>
        <w:pStyle w:val="TOC2"/>
        <w:ind w:left="0" w:right="400" w:hanging="0"/>
      </w:pPr>
      <w:r>
        <w:t xml:space="preserve">Fig. 7.11: Benchmark tab, step 7: share of windows whose drift type is named correctly by our procedure, the rule baselines, the learned meta-classifier and the ablations, with paired tests</w:t>
        <w:tab/>
        <w:t xml:space="preserve">56</w:t>
      </w:r>
    </w:p>
    <w:p>
      <w:pPr>
        <w:pStyle w:val="TOC2"/>
        <w:ind w:left="0" w:right="400" w:hanging="0"/>
      </w:pPr>
      <w:r>
        <w:t xml:space="preserve">Fig. 7.12: Injected (rows) and diagnosed (columns) drift types on the benchmark with LR, in counts of windows; darker cells hold a larger share of their row</w:t>
        <w:tab/>
        <w:t xml:space="preserve">59</w:t>
      </w:r>
    </w:p>
    <w:p>
      <w:pPr>
        <w:pStyle w:val="TOC2"/>
        <w:ind w:left="0" w:right="400" w:hanging="0"/>
      </w:pPr>
      <w:r>
        <w:t xml:space="preserve">Fig. 7.13: Share of concept drift and label noise windows identified correctly at audit sizes of 200, 600 and 1000 labels (ACS Income, design A, LR), with 95% intervals</w:t>
        <w:tab/>
        <w:t xml:space="preserve">61</w:t>
      </w:r>
    </w:p>
    <w:p>
      <w:pPr>
        <w:pStyle w:val="TOC2"/>
        <w:ind w:left="0" w:right="400" w:hanging="0"/>
      </w:pPr>
      <w:r>
        <w:t xml:space="preserve">Fig. 7.14: Measured accuracy of both models and the label-free CBPE estimate on the temporal windows of the four datasets</w:t>
        <w:tab/>
        <w:t xml:space="preserve">63</w:t>
      </w:r>
      <w:r>
        <w:fldChar w:fldCharType="end"/>
      </w:r>
    </w:p>
    <w:p>
      <w:r>
        <w:br w:type="page"/>
      </w:r>
    </w:p>
    <w:p>
      <w:pPr>
        <w:pStyle w:val="FrontTitle"/>
      </w:pPr>
      <w:r>
        <w:t xml:space="preserve">LIST OF TABLES</w:t>
      </w:r>
    </w:p>
    <w:p>
      <w:pPr>
        <w:pStyle w:val="TOC1"/>
        <w:pBdr>
          <w:bottom w:val="single" w:sz="4" w:space="2" w:color="000000"/>
        </w:pBdr>
      </w:pPr>
      <w:r>
        <w:t xml:space="preserve">Table</w:t>
      </w:r>
      <w:r>
        <w:t xml:space="preserve"/>
        <w:tab/>
        <w:t xml:space="preserve">Page No.</w:t>
      </w:r>
    </w:p>
    <w:p>
      <w:pPr>
        <w:pStyle w:val="TOC2"/>
        <w:ind w:left="0" w:right="400" w:hanging="0"/>
      </w:pPr>
      <w:r>
        <w:fldChar w:fldCharType="begin"/>
      </w:r>
      <w:r>
        <w:instrText xml:space="preserve"> TOC \h \z \t "Table Caption,1" </w:instrText>
      </w:r>
      <w:r>
        <w:fldChar w:fldCharType="separate"/>
      </w:r>
      <w:r>
        <w:t xml:space="preserve">Table 1.1: Alignment of the project with the Sustainable Development Goals</w:t>
        <w:tab/>
        <w:t xml:space="preserve">5</w:t>
      </w:r>
    </w:p>
    <w:p>
      <w:pPr>
        <w:pStyle w:val="TOC2"/>
        <w:ind w:left="0" w:right="400" w:hanging="0"/>
      </w:pPr>
      <w:r>
        <w:t xml:space="preserve">Table 2.1: Research papers referred, with the inference drawn for this project</w:t>
        <w:tab/>
        <w:t xml:space="preserve">7</w:t>
      </w:r>
    </w:p>
    <w:p>
      <w:pPr>
        <w:pStyle w:val="TOC2"/>
        <w:ind w:left="0" w:right="400" w:hanging="0"/>
      </w:pPr>
      <w:r>
        <w:t xml:space="preserve">Table 2.2: Patents closest to the project, as checked on 30 October 2026</w:t>
        <w:tab/>
        <w:t xml:space="preserve">10</w:t>
      </w:r>
    </w:p>
    <w:p>
      <w:pPr>
        <w:pStyle w:val="TOC2"/>
        <w:ind w:left="0" w:right="400" w:hanging="0"/>
      </w:pPr>
      <w:r>
        <w:t xml:space="preserve">Table 2.3: Comparison of ResilientAI with existing systems</w:t>
        <w:tab/>
        <w:t xml:space="preserve">11</w:t>
      </w:r>
    </w:p>
    <w:p>
      <w:pPr>
        <w:pStyle w:val="TOC2"/>
        <w:ind w:left="0" w:right="400" w:hanging="0"/>
      </w:pPr>
      <w:r>
        <w:t xml:space="preserve">Table 2.4: Capabilities of the closest methods and of ResilientAI. A tick marks a capability the method provides</w:t>
        <w:tab/>
        <w:t xml:space="preserve">12</w:t>
      </w:r>
    </w:p>
    <w:p>
      <w:pPr>
        <w:pStyle w:val="TOC2"/>
        <w:ind w:left="0" w:right="400" w:hanging="0"/>
      </w:pPr>
      <w:r>
        <w:t xml:space="preserve">Table 2.5: Proposed and actual budget of the project</w:t>
        <w:tab/>
        <w:t xml:space="preserve">13</w:t>
      </w:r>
    </w:p>
    <w:p>
      <w:pPr>
        <w:pStyle w:val="TOC2"/>
        <w:ind w:left="0" w:right="400" w:hanging="0"/>
      </w:pPr>
      <w:r>
        <w:t xml:space="preserve">Table 2.6: Risks and their mitigation</w:t>
        <w:tab/>
        <w:t xml:space="preserve">13</w:t>
      </w:r>
    </w:p>
    <w:p>
      <w:pPr>
        <w:pStyle w:val="TOC2"/>
        <w:ind w:left="0" w:right="400" w:hanging="0"/>
      </w:pPr>
      <w:r>
        <w:t xml:space="preserve">Table 3.1: Functional requirements</w:t>
        <w:tab/>
        <w:t xml:space="preserve">17</w:t>
      </w:r>
    </w:p>
    <w:p>
      <w:pPr>
        <w:pStyle w:val="TOC2"/>
        <w:ind w:left="0" w:right="400" w:hanging="0"/>
      </w:pPr>
      <w:r>
        <w:t xml:space="preserve">Table 3.2: Non-functional requirements, their targets and the values achieved</w:t>
        <w:tab/>
        <w:t xml:space="preserve">18</w:t>
      </w:r>
    </w:p>
    <w:p>
      <w:pPr>
        <w:pStyle w:val="TOC2"/>
        <w:ind w:left="0" w:right="400" w:hanging="0"/>
      </w:pPr>
      <w:r>
        <w:t xml:space="preserve">Table 3.3: Hardware, software, technologies and tools</w:t>
        <w:tab/>
        <w:t xml:space="preserve">18</w:t>
      </w:r>
    </w:p>
    <w:p>
      <w:pPr>
        <w:pStyle w:val="TOC2"/>
        <w:ind w:left="0" w:right="400" w:hanging="0"/>
      </w:pPr>
      <w:r>
        <w:t xml:space="preserve">Table 4.1: Responsibilities, inputs and outputs of the packages</w:t>
        <w:tab/>
        <w:t xml:space="preserve">23</w:t>
      </w:r>
    </w:p>
    <w:p>
      <w:pPr>
        <w:pStyle w:val="TOC2"/>
        <w:ind w:left="0" w:right="400" w:hanging="0"/>
      </w:pPr>
      <w:r>
        <w:t xml:space="preserve">Table 4.2: Milestones, planned dates and dates achieved</w:t>
        <w:tab/>
        <w:t xml:space="preserve">28</w:t>
      </w:r>
    </w:p>
    <w:p>
      <w:pPr>
        <w:pStyle w:val="TOC2"/>
        <w:ind w:left="0" w:right="400" w:hanging="0"/>
      </w:pPr>
      <w:r>
        <w:t xml:space="preserve">Table 5.1: Datasets, drift windows and reference accuracy</w:t>
        <w:tab/>
        <w:t xml:space="preserve">39</w:t>
      </w:r>
    </w:p>
    <w:p>
      <w:pPr>
        <w:pStyle w:val="TOC2"/>
        <w:ind w:left="0" w:right="400" w:hanging="0"/>
      </w:pPr>
      <w:r>
        <w:t xml:space="preserve">Table 5.2: Input features of ACS Income</w:t>
        <w:tab/>
        <w:t xml:space="preserve">40</w:t>
      </w:r>
    </w:p>
    <w:p>
      <w:pPr>
        <w:pStyle w:val="TOC2"/>
        <w:ind w:left="0" w:right="400" w:hanging="0"/>
      </w:pPr>
      <w:r>
        <w:t xml:space="preserve">Table 5.3: Drift mechanisms of the injection benchmark</w:t>
        <w:tab/>
        <w:t xml:space="preserve">41</w:t>
      </w:r>
    </w:p>
    <w:p>
      <w:pPr>
        <w:pStyle w:val="TOC2"/>
        <w:ind w:left="0" w:right="400" w:hanging="0"/>
      </w:pPr>
      <w:r>
        <w:t xml:space="preserve">Table 6.1: Test case scenarios and their results</w:t>
        <w:tab/>
        <w:t xml:space="preserve">43</w:t>
      </w:r>
    </w:p>
    <w:p>
      <w:pPr>
        <w:pStyle w:val="TOC2"/>
        <w:ind w:left="0" w:right="400" w:hanging="0"/>
      </w:pPr>
      <w:r>
        <w:t xml:space="preserve">Table 7.1: Settings of the pipeline and the benchmark</w:t>
        <w:tab/>
        <w:t xml:space="preserve">57</w:t>
      </w:r>
    </w:p>
    <w:p>
      <w:pPr>
        <w:pStyle w:val="TOC2"/>
        <w:ind w:left="0" w:right="400" w:hanging="0"/>
      </w:pPr>
      <w:r>
        <w:t xml:space="preserve">Table 7.2: Share of benchmark windows with the correct drift type (%)</w:t>
        <w:tab/>
        <w:t xml:space="preserve">58</w:t>
      </w:r>
    </w:p>
    <w:p>
      <w:pPr>
        <w:pStyle w:val="TOC2"/>
        <w:ind w:left="0" w:right="400" w:hanging="0"/>
      </w:pPr>
      <w:r>
        <w:t xml:space="preserve">Table 7.3: Correct-type rate (Corr., %) and mean accuracy drop (Drop, points) per held-out mechanism of design B</w:t>
        <w:tab/>
        <w:t xml:space="preserve">60</w:t>
      </w:r>
    </w:p>
    <w:p>
      <w:pPr>
        <w:pStyle w:val="TOC2"/>
        <w:ind w:left="0" w:right="400" w:hanging="0"/>
      </w:pPr>
      <w:r>
        <w:t xml:space="preserve">Table 7.4: Alarm rate of each detector by injected type on design A (%), with the 95% interval on the control windows</w:t>
        <w:tab/>
        <w:t xml:space="preserve">61</w:t>
      </w:r>
    </w:p>
    <w:p>
      <w:pPr>
        <w:pStyle w:val="TOC2"/>
        <w:ind w:left="0" w:right="400" w:hanging="0"/>
      </w:pPr>
      <w:r>
        <w:t xml:space="preserve">Table 7.5: Mean absolute error of the four accuracy estimates (percentage points); the best value in each column is in bold</w:t>
        <w:tab/>
        <w:t xml:space="preserve">62</w:t>
      </w:r>
    </w:p>
    <w:p>
      <w:pPr>
        <w:pStyle w:val="TOC2"/>
        <w:ind w:left="0" w:right="400" w:hanging="0"/>
      </w:pPr>
      <w:r>
        <w:t xml:space="preserve">Table 7.6: Detection and diagnosis on the ACS Income windows. The alarms are those of the LR model; Conf. is the confidence test and DC the domain classifier</w:t>
        <w:tab/>
        <w:t xml:space="preserve">63</w:t>
      </w:r>
    </w:p>
    <w:p>
      <w:pPr>
        <w:pStyle w:val="TOC2"/>
        <w:ind w:left="0" w:right="400" w:hanging="0"/>
      </w:pPr>
      <w:r>
        <w:t xml:space="preserve">Table 7.7: Remediation by setting: settings with a significant gain from importance weighting (IW), retraining on the recent window and retraining on fresh labels and the triage’s advice</w:t>
        <w:tab/>
        <w:t xml:space="preserve">65</w:t>
      </w:r>
    </w:p>
    <w:p>
      <w:pPr>
        <w:pStyle w:val="TOC2"/>
        <w:ind w:left="0" w:right="400" w:hanging="0"/>
      </w:pPr>
      <w:r>
        <w:t xml:space="preserve">Table 7.8: Material sustainability topics</w:t>
        <w:tab/>
        <w:t xml:space="preserve">68</w:t>
      </w:r>
    </w:p>
    <w:p>
      <w:pPr>
        <w:pStyle w:val="TOC2"/>
        <w:ind w:left="0" w:right="400" w:hanging="0"/>
      </w:pPr>
      <w:r>
        <w:t xml:space="preserve">Table 7.9: Sustainability targets and progress</w:t>
        <w:tab/>
        <w:t xml:space="preserve">68</w:t>
      </w:r>
    </w:p>
    <w:p>
      <w:pPr>
        <w:pStyle w:val="TOC2"/>
        <w:ind w:left="0" w:right="400" w:hanging="0"/>
      </w:pPr>
      <w:r>
        <w:t xml:space="preserve">Table 7.10: Sustainability assessment rubric of the department</w:t>
        <w:tab/>
        <w:t xml:space="preserve">69</w:t>
      </w:r>
    </w:p>
    <w:p>
      <w:pPr>
        <w:pStyle w:val="TOC2"/>
        <w:ind w:left="0" w:right="400" w:hanging="0"/>
      </w:pPr>
      <w:r>
        <w:t xml:space="preserve">Table 7.11: Self-assessment against the rubric. Weighted points = (rating ÷ 3) × weight</w:t>
        <w:tab/>
        <w:t xml:space="preserve">70</w:t>
      </w:r>
      <w:r>
        <w:fldChar w:fldCharType="end"/>
      </w:r>
    </w:p>
    <w:p>
      <w:r>
        <w:br w:type="page"/>
      </w:r>
    </w:p>
    <w:p>
      <w:pPr>
        <w:pStyle w:val="FrontTitle"/>
      </w:pPr>
      <w:r>
        <w:t xml:space="preserve">LIST OF ABBREVIATIONS</w:t>
      </w:r>
    </w:p>
    <w:tbl>
      <w:tblPr>
        <w:tblW w:w="9259"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30" w:type="dxa"/>
          <w:left w:w="80" w:type="dxa"/>
          <w:bottom w:w="30" w:type="dxa"/>
          <w:right w:w="80" w:type="dxa"/>
        </w:tblCellMar>
        <w:tblLook w:val="0000"/>
      </w:tblPr>
      <w:tblGrid>
        <w:gridCol w:w="2136"/>
        <w:gridCol w:w="7123"/>
      </w:tblGrid>
      <w:tr>
        <w:trPr>
          <w:cantSplit/>
          <w:tblHeader/>
        </w:trPr>
        <w:tc>
          <w:tcPr>
            <w:tcW w:w="2136" w:type="dxa"/>
            <w:shd w:val="clear" w:color="auto" w:fill="D9E2F3"/>
            <w:vAlign w:val="center"/>
          </w:tcPr>
          <w:p>
            <w:pPr>
              <w:pStyle w:val="TableText"/>
              <w:keepNext/>
              <w:jc w:val="center"/>
            </w:pPr>
            <w:r>
              <w:rPr>
                <w:sz w:val="20"/>
                <w:szCs w:val="20"/>
                <w:b/>
                <w:bCs/>
              </w:rPr>
              <w:t xml:space="preserve">Abbreviation</w:t>
            </w:r>
          </w:p>
        </w:tc>
        <w:tc>
          <w:tcPr>
            <w:tcW w:w="7123" w:type="dxa"/>
            <w:shd w:val="clear" w:color="auto" w:fill="D9E2F3"/>
            <w:vAlign w:val="center"/>
          </w:tcPr>
          <w:p>
            <w:pPr>
              <w:pStyle w:val="TableText"/>
              <w:keepNext/>
              <w:jc w:val="center"/>
            </w:pPr>
            <w:r>
              <w:rPr>
                <w:sz w:val="20"/>
                <w:szCs w:val="20"/>
                <w:b/>
                <w:bCs/>
              </w:rPr>
              <w:t xml:space="preserve">Full form</w:t>
            </w:r>
          </w:p>
        </w:tc>
      </w:tr>
      <w:tr>
        <w:trPr>
          <w:cantSplit/>
        </w:trPr>
        <w:tc>
          <w:tcPr>
            <w:tcW w:w="2136" w:type="dxa"/>
            <w:vAlign w:val="center"/>
          </w:tcPr>
          <w:p>
            <w:pPr>
              <w:pStyle w:val="TableText"/>
              <w:keepNext/>
              <w:jc w:val="left"/>
            </w:pPr>
            <w:r>
              <w:rPr>
                <w:sz w:val="20"/>
                <w:szCs w:val="20"/>
              </w:rPr>
              <w:t xml:space="preserve">AC</w:t>
            </w:r>
          </w:p>
        </w:tc>
        <w:tc>
          <w:tcPr>
            <w:tcW w:w="7123" w:type="dxa"/>
            <w:vAlign w:val="center"/>
          </w:tcPr>
          <w:p>
            <w:pPr>
              <w:pStyle w:val="TableText"/>
              <w:keepNext/>
              <w:jc w:val="left"/>
            </w:pPr>
            <w:r>
              <w:rPr>
                <w:sz w:val="20"/>
                <w:szCs w:val="20"/>
              </w:rPr>
              <w:t xml:space="preserve">Average confidence</w:t>
            </w:r>
          </w:p>
        </w:tc>
      </w:tr>
      <w:tr>
        <w:trPr>
          <w:cantSplit/>
        </w:trPr>
        <w:tc>
          <w:tcPr>
            <w:tcW w:w="2136" w:type="dxa"/>
            <w:vAlign w:val="center"/>
          </w:tcPr>
          <w:p>
            <w:pPr>
              <w:pStyle w:val="TableText"/>
              <w:keepNext/>
              <w:jc w:val="left"/>
            </w:pPr>
            <w:r>
              <w:rPr>
                <w:sz w:val="20"/>
                <w:szCs w:val="20"/>
              </w:rPr>
              <w:t xml:space="preserve">ACS</w:t>
            </w:r>
          </w:p>
        </w:tc>
        <w:tc>
          <w:tcPr>
            <w:tcW w:w="7123" w:type="dxa"/>
            <w:vAlign w:val="center"/>
          </w:tcPr>
          <w:p>
            <w:pPr>
              <w:pStyle w:val="TableText"/>
              <w:keepNext/>
              <w:jc w:val="left"/>
            </w:pPr>
            <w:r>
              <w:rPr>
                <w:sz w:val="20"/>
                <w:szCs w:val="20"/>
              </w:rPr>
              <w:t xml:space="preserve">American Community Survey</w:t>
            </w:r>
          </w:p>
        </w:tc>
      </w:tr>
      <w:tr>
        <w:trPr>
          <w:cantSplit/>
        </w:trPr>
        <w:tc>
          <w:tcPr>
            <w:tcW w:w="2136" w:type="dxa"/>
            <w:vAlign w:val="center"/>
          </w:tcPr>
          <w:p>
            <w:pPr>
              <w:pStyle w:val="TableText"/>
              <w:jc w:val="left"/>
            </w:pPr>
            <w:r>
              <w:rPr>
                <w:sz w:val="20"/>
                <w:szCs w:val="20"/>
              </w:rPr>
              <w:t xml:space="preserve">ATC</w:t>
            </w:r>
          </w:p>
        </w:tc>
        <w:tc>
          <w:tcPr>
            <w:tcW w:w="7123" w:type="dxa"/>
            <w:vAlign w:val="center"/>
          </w:tcPr>
          <w:p>
            <w:pPr>
              <w:pStyle w:val="TableText"/>
              <w:jc w:val="left"/>
            </w:pPr>
            <w:r>
              <w:rPr>
                <w:sz w:val="20"/>
                <w:szCs w:val="20"/>
              </w:rPr>
              <w:t xml:space="preserve">Average thresholded confidence</w:t>
            </w:r>
          </w:p>
        </w:tc>
      </w:tr>
      <w:tr>
        <w:trPr>
          <w:cantSplit/>
        </w:trPr>
        <w:tc>
          <w:tcPr>
            <w:tcW w:w="2136" w:type="dxa"/>
            <w:vAlign w:val="center"/>
          </w:tcPr>
          <w:p>
            <w:pPr>
              <w:pStyle w:val="TableText"/>
              <w:jc w:val="left"/>
            </w:pPr>
            <w:r>
              <w:rPr>
                <w:sz w:val="20"/>
                <w:szCs w:val="20"/>
              </w:rPr>
              <w:t xml:space="preserve">AUROC</w:t>
            </w:r>
          </w:p>
        </w:tc>
        <w:tc>
          <w:tcPr>
            <w:tcW w:w="7123" w:type="dxa"/>
            <w:vAlign w:val="center"/>
          </w:tcPr>
          <w:p>
            <w:pPr>
              <w:pStyle w:val="TableText"/>
              <w:jc w:val="left"/>
            </w:pPr>
            <w:r>
              <w:rPr>
                <w:sz w:val="20"/>
                <w:szCs w:val="20"/>
              </w:rPr>
              <w:t xml:space="preserve">Area under the receiver operating characteristic curve</w:t>
            </w:r>
          </w:p>
        </w:tc>
      </w:tr>
      <w:tr>
        <w:trPr>
          <w:cantSplit/>
        </w:trPr>
        <w:tc>
          <w:tcPr>
            <w:tcW w:w="2136" w:type="dxa"/>
            <w:vAlign w:val="center"/>
          </w:tcPr>
          <w:p>
            <w:pPr>
              <w:pStyle w:val="TableText"/>
              <w:jc w:val="left"/>
            </w:pPr>
            <w:r>
              <w:rPr>
                <w:sz w:val="20"/>
                <w:szCs w:val="20"/>
              </w:rPr>
              <w:t xml:space="preserve">BBSD</w:t>
            </w:r>
          </w:p>
        </w:tc>
        <w:tc>
          <w:tcPr>
            <w:tcW w:w="7123" w:type="dxa"/>
            <w:vAlign w:val="center"/>
          </w:tcPr>
          <w:p>
            <w:pPr>
              <w:pStyle w:val="TableText"/>
              <w:jc w:val="left"/>
            </w:pPr>
            <w:r>
              <w:rPr>
                <w:sz w:val="20"/>
                <w:szCs w:val="20"/>
              </w:rPr>
              <w:t xml:space="preserve">Black-box shift detection</w:t>
            </w:r>
          </w:p>
        </w:tc>
      </w:tr>
      <w:tr>
        <w:trPr>
          <w:cantSplit/>
        </w:trPr>
        <w:tc>
          <w:tcPr>
            <w:tcW w:w="2136" w:type="dxa"/>
            <w:vAlign w:val="center"/>
          </w:tcPr>
          <w:p>
            <w:pPr>
              <w:pStyle w:val="TableText"/>
              <w:jc w:val="left"/>
            </w:pPr>
            <w:r>
              <w:rPr>
                <w:sz w:val="20"/>
                <w:szCs w:val="20"/>
              </w:rPr>
              <w:t xml:space="preserve">BBSE</w:t>
            </w:r>
          </w:p>
        </w:tc>
        <w:tc>
          <w:tcPr>
            <w:tcW w:w="7123" w:type="dxa"/>
            <w:vAlign w:val="center"/>
          </w:tcPr>
          <w:p>
            <w:pPr>
              <w:pStyle w:val="TableText"/>
              <w:jc w:val="left"/>
            </w:pPr>
            <w:r>
              <w:rPr>
                <w:sz w:val="20"/>
                <w:szCs w:val="20"/>
              </w:rPr>
              <w:t xml:space="preserve">Black-box shift estimation</w:t>
            </w:r>
          </w:p>
        </w:tc>
      </w:tr>
      <w:tr>
        <w:trPr>
          <w:cantSplit/>
        </w:trPr>
        <w:tc>
          <w:tcPr>
            <w:tcW w:w="2136" w:type="dxa"/>
            <w:vAlign w:val="center"/>
          </w:tcPr>
          <w:p>
            <w:pPr>
              <w:pStyle w:val="TableText"/>
              <w:jc w:val="left"/>
            </w:pPr>
            <w:r>
              <w:rPr>
                <w:sz w:val="20"/>
                <w:szCs w:val="20"/>
              </w:rPr>
              <w:t xml:space="preserve">CA, FL, NY, TX, WA</w:t>
            </w:r>
          </w:p>
        </w:tc>
        <w:tc>
          <w:tcPr>
            <w:tcW w:w="7123" w:type="dxa"/>
            <w:vAlign w:val="center"/>
          </w:tcPr>
          <w:p>
            <w:pPr>
              <w:pStyle w:val="TableText"/>
              <w:jc w:val="left"/>
            </w:pPr>
            <w:r>
              <w:rPr>
                <w:sz w:val="20"/>
                <w:szCs w:val="20"/>
              </w:rPr>
              <w:t xml:space="preserve">California, Florida, New York, Texas, Washington</w:t>
            </w:r>
          </w:p>
        </w:tc>
      </w:tr>
      <w:tr>
        <w:trPr>
          <w:cantSplit/>
        </w:trPr>
        <w:tc>
          <w:tcPr>
            <w:tcW w:w="2136" w:type="dxa"/>
            <w:vAlign w:val="center"/>
          </w:tcPr>
          <w:p>
            <w:pPr>
              <w:pStyle w:val="TableText"/>
              <w:jc w:val="left"/>
            </w:pPr>
            <w:r>
              <w:rPr>
                <w:sz w:val="20"/>
                <w:szCs w:val="20"/>
              </w:rPr>
              <w:t xml:space="preserve">CAM</w:t>
            </w:r>
          </w:p>
        </w:tc>
        <w:tc>
          <w:tcPr>
            <w:tcW w:w="7123" w:type="dxa"/>
            <w:vAlign w:val="center"/>
          </w:tcPr>
          <w:p>
            <w:pPr>
              <w:pStyle w:val="TableText"/>
              <w:jc w:val="left"/>
            </w:pPr>
            <w:r>
              <w:rPr>
                <w:sz w:val="20"/>
                <w:szCs w:val="20"/>
              </w:rPr>
              <w:t xml:space="preserve">Class activation map</w:t>
            </w:r>
          </w:p>
        </w:tc>
      </w:tr>
      <w:tr>
        <w:trPr>
          <w:cantSplit/>
        </w:trPr>
        <w:tc>
          <w:tcPr>
            <w:tcW w:w="2136" w:type="dxa"/>
            <w:vAlign w:val="center"/>
          </w:tcPr>
          <w:p>
            <w:pPr>
              <w:pStyle w:val="TableText"/>
              <w:jc w:val="left"/>
            </w:pPr>
            <w:r>
              <w:rPr>
                <w:sz w:val="20"/>
                <w:szCs w:val="20"/>
              </w:rPr>
              <w:t xml:space="preserve">CBPE</w:t>
            </w:r>
          </w:p>
        </w:tc>
        <w:tc>
          <w:tcPr>
            <w:tcW w:w="7123" w:type="dxa"/>
            <w:vAlign w:val="center"/>
          </w:tcPr>
          <w:p>
            <w:pPr>
              <w:pStyle w:val="TableText"/>
              <w:jc w:val="left"/>
            </w:pPr>
            <w:r>
              <w:rPr>
                <w:sz w:val="20"/>
                <w:szCs w:val="20"/>
              </w:rPr>
              <w:t xml:space="preserve">Confidence-based performance estimation</w:t>
            </w:r>
          </w:p>
        </w:tc>
      </w:tr>
      <w:tr>
        <w:trPr>
          <w:cantSplit/>
        </w:trPr>
        <w:tc>
          <w:tcPr>
            <w:tcW w:w="2136" w:type="dxa"/>
            <w:vAlign w:val="center"/>
          </w:tcPr>
          <w:p>
            <w:pPr>
              <w:pStyle w:val="TableText"/>
              <w:jc w:val="left"/>
            </w:pPr>
            <w:r>
              <w:rPr>
                <w:sz w:val="20"/>
                <w:szCs w:val="20"/>
              </w:rPr>
              <w:t xml:space="preserve">CI</w:t>
            </w:r>
          </w:p>
        </w:tc>
        <w:tc>
          <w:tcPr>
            <w:tcW w:w="7123" w:type="dxa"/>
            <w:vAlign w:val="center"/>
          </w:tcPr>
          <w:p>
            <w:pPr>
              <w:pStyle w:val="TableText"/>
              <w:jc w:val="left"/>
            </w:pPr>
            <w:r>
              <w:rPr>
                <w:sz w:val="20"/>
                <w:szCs w:val="20"/>
              </w:rPr>
              <w:t xml:space="preserve">Confidence interval</w:t>
            </w:r>
          </w:p>
        </w:tc>
      </w:tr>
      <w:tr>
        <w:trPr>
          <w:cantSplit/>
        </w:trPr>
        <w:tc>
          <w:tcPr>
            <w:tcW w:w="2136" w:type="dxa"/>
            <w:vAlign w:val="center"/>
          </w:tcPr>
          <w:p>
            <w:pPr>
              <w:pStyle w:val="TableText"/>
              <w:jc w:val="left"/>
            </w:pPr>
            <w:r>
              <w:rPr>
                <w:sz w:val="20"/>
                <w:szCs w:val="20"/>
              </w:rPr>
              <w:t xml:space="preserve">CLEAR</w:t>
            </w:r>
          </w:p>
        </w:tc>
        <w:tc>
          <w:tcPr>
            <w:tcW w:w="7123" w:type="dxa"/>
            <w:vAlign w:val="center"/>
          </w:tcPr>
          <w:p>
            <w:pPr>
              <w:pStyle w:val="TableText"/>
              <w:jc w:val="left"/>
            </w:pPr>
            <w:r>
              <w:rPr>
                <w:sz w:val="20"/>
                <w:szCs w:val="20"/>
              </w:rPr>
              <w:t xml:space="preserve">Continual LEArning on Real-World Imagery</w:t>
            </w:r>
          </w:p>
        </w:tc>
      </w:tr>
      <w:tr>
        <w:trPr>
          <w:cantSplit/>
        </w:trPr>
        <w:tc>
          <w:tcPr>
            <w:tcW w:w="2136" w:type="dxa"/>
            <w:vAlign w:val="center"/>
          </w:tcPr>
          <w:p>
            <w:pPr>
              <w:pStyle w:val="TableText"/>
              <w:jc w:val="left"/>
            </w:pPr>
            <w:r>
              <w:rPr>
                <w:sz w:val="20"/>
                <w:szCs w:val="20"/>
              </w:rPr>
              <w:t xml:space="preserve">CLIP</w:t>
            </w:r>
          </w:p>
        </w:tc>
        <w:tc>
          <w:tcPr>
            <w:tcW w:w="7123" w:type="dxa"/>
            <w:vAlign w:val="center"/>
          </w:tcPr>
          <w:p>
            <w:pPr>
              <w:pStyle w:val="TableText"/>
              <w:jc w:val="left"/>
            </w:pPr>
            <w:r>
              <w:rPr>
                <w:sz w:val="20"/>
                <w:szCs w:val="20"/>
              </w:rPr>
              <w:t xml:space="preserve">Contrastive Language-Image Pre-training</w:t>
            </w:r>
          </w:p>
        </w:tc>
      </w:tr>
      <w:tr>
        <w:trPr>
          <w:cantSplit/>
        </w:trPr>
        <w:tc>
          <w:tcPr>
            <w:tcW w:w="2136" w:type="dxa"/>
            <w:vAlign w:val="center"/>
          </w:tcPr>
          <w:p>
            <w:pPr>
              <w:pStyle w:val="TableText"/>
              <w:jc w:val="left"/>
            </w:pPr>
            <w:r>
              <w:rPr>
                <w:sz w:val="20"/>
                <w:szCs w:val="20"/>
              </w:rPr>
              <w:t xml:space="preserve">CO, PO, PSO</w:t>
            </w:r>
          </w:p>
        </w:tc>
        <w:tc>
          <w:tcPr>
            <w:tcW w:w="7123" w:type="dxa"/>
            <w:vAlign w:val="center"/>
          </w:tcPr>
          <w:p>
            <w:pPr>
              <w:pStyle w:val="TableText"/>
              <w:jc w:val="left"/>
            </w:pPr>
            <w:r>
              <w:rPr>
                <w:sz w:val="20"/>
                <w:szCs w:val="20"/>
              </w:rPr>
              <w:t xml:space="preserve">Course outcome, programme outcome, programme specific outcome</w:t>
            </w:r>
          </w:p>
        </w:tc>
      </w:tr>
      <w:tr>
        <w:trPr>
          <w:cantSplit/>
        </w:trPr>
        <w:tc>
          <w:tcPr>
            <w:tcW w:w="2136" w:type="dxa"/>
            <w:vAlign w:val="center"/>
          </w:tcPr>
          <w:p>
            <w:pPr>
              <w:pStyle w:val="TableText"/>
              <w:jc w:val="left"/>
            </w:pPr>
            <w:r>
              <w:rPr>
                <w:sz w:val="20"/>
                <w:szCs w:val="20"/>
              </w:rPr>
              <w:t xml:space="preserve">CPU, GPU</w:t>
            </w:r>
          </w:p>
        </w:tc>
        <w:tc>
          <w:tcPr>
            <w:tcW w:w="7123" w:type="dxa"/>
            <w:vAlign w:val="center"/>
          </w:tcPr>
          <w:p>
            <w:pPr>
              <w:pStyle w:val="TableText"/>
              <w:jc w:val="left"/>
            </w:pPr>
            <w:r>
              <w:rPr>
                <w:sz w:val="20"/>
                <w:szCs w:val="20"/>
              </w:rPr>
              <w:t xml:space="preserve">Central processing unit, graphics processing unit</w:t>
            </w:r>
          </w:p>
        </w:tc>
      </w:tr>
      <w:tr>
        <w:trPr>
          <w:cantSplit/>
        </w:trPr>
        <w:tc>
          <w:tcPr>
            <w:tcW w:w="2136" w:type="dxa"/>
            <w:vAlign w:val="center"/>
          </w:tcPr>
          <w:p>
            <w:pPr>
              <w:pStyle w:val="TableText"/>
              <w:jc w:val="left"/>
            </w:pPr>
            <w:r>
              <w:rPr>
                <w:sz w:val="20"/>
                <w:szCs w:val="20"/>
              </w:rPr>
              <w:t xml:space="preserve">DDM</w:t>
            </w:r>
          </w:p>
        </w:tc>
        <w:tc>
          <w:tcPr>
            <w:tcW w:w="7123" w:type="dxa"/>
            <w:vAlign w:val="center"/>
          </w:tcPr>
          <w:p>
            <w:pPr>
              <w:pStyle w:val="TableText"/>
              <w:jc w:val="left"/>
            </w:pPr>
            <w:r>
              <w:rPr>
                <w:sz w:val="20"/>
                <w:szCs w:val="20"/>
              </w:rPr>
              <w:t xml:space="preserve">Drift detection method</w:t>
            </w:r>
          </w:p>
        </w:tc>
      </w:tr>
      <w:tr>
        <w:trPr>
          <w:cantSplit/>
        </w:trPr>
        <w:tc>
          <w:tcPr>
            <w:tcW w:w="2136" w:type="dxa"/>
            <w:vAlign w:val="center"/>
          </w:tcPr>
          <w:p>
            <w:pPr>
              <w:pStyle w:val="TableText"/>
              <w:jc w:val="left"/>
            </w:pPr>
            <w:r>
              <w:rPr>
                <w:sz w:val="20"/>
                <w:szCs w:val="20"/>
              </w:rPr>
              <w:t xml:space="preserve">DoC</w:t>
            </w:r>
          </w:p>
        </w:tc>
        <w:tc>
          <w:tcPr>
            <w:tcW w:w="7123" w:type="dxa"/>
            <w:vAlign w:val="center"/>
          </w:tcPr>
          <w:p>
            <w:pPr>
              <w:pStyle w:val="TableText"/>
              <w:jc w:val="left"/>
            </w:pPr>
            <w:r>
              <w:rPr>
                <w:sz w:val="20"/>
                <w:szCs w:val="20"/>
              </w:rPr>
              <w:t xml:space="preserve">Difference of confidences</w:t>
            </w:r>
          </w:p>
        </w:tc>
      </w:tr>
      <w:tr>
        <w:trPr>
          <w:cantSplit/>
        </w:trPr>
        <w:tc>
          <w:tcPr>
            <w:tcW w:w="2136" w:type="dxa"/>
            <w:vAlign w:val="center"/>
          </w:tcPr>
          <w:p>
            <w:pPr>
              <w:pStyle w:val="TableText"/>
              <w:jc w:val="left"/>
            </w:pPr>
            <w:r>
              <w:rPr>
                <w:sz w:val="20"/>
                <w:szCs w:val="20"/>
              </w:rPr>
              <w:t xml:space="preserve">FR, NFR</w:t>
            </w:r>
          </w:p>
        </w:tc>
        <w:tc>
          <w:tcPr>
            <w:tcW w:w="7123" w:type="dxa"/>
            <w:vAlign w:val="center"/>
          </w:tcPr>
          <w:p>
            <w:pPr>
              <w:pStyle w:val="TableText"/>
              <w:jc w:val="left"/>
            </w:pPr>
            <w:r>
              <w:rPr>
                <w:sz w:val="20"/>
                <w:szCs w:val="20"/>
              </w:rPr>
              <w:t xml:space="preserve">Functional requirement, non-functional requirement</w:t>
            </w:r>
          </w:p>
        </w:tc>
      </w:tr>
      <w:tr>
        <w:trPr>
          <w:cantSplit/>
        </w:trPr>
        <w:tc>
          <w:tcPr>
            <w:tcW w:w="2136" w:type="dxa"/>
            <w:vAlign w:val="center"/>
          </w:tcPr>
          <w:p>
            <w:pPr>
              <w:pStyle w:val="TableText"/>
              <w:jc w:val="left"/>
            </w:pPr>
            <w:r>
              <w:rPr>
                <w:sz w:val="20"/>
                <w:szCs w:val="20"/>
              </w:rPr>
              <w:t xml:space="preserve">FWER</w:t>
            </w:r>
          </w:p>
        </w:tc>
        <w:tc>
          <w:tcPr>
            <w:tcW w:w="7123" w:type="dxa"/>
            <w:vAlign w:val="center"/>
          </w:tcPr>
          <w:p>
            <w:pPr>
              <w:pStyle w:val="TableText"/>
              <w:jc w:val="left"/>
            </w:pPr>
            <w:r>
              <w:rPr>
                <w:sz w:val="20"/>
                <w:szCs w:val="20"/>
              </w:rPr>
              <w:t xml:space="preserve">Family-wise error rate</w:t>
            </w:r>
          </w:p>
        </w:tc>
      </w:tr>
      <w:tr>
        <w:trPr>
          <w:cantSplit/>
        </w:trPr>
        <w:tc>
          <w:tcPr>
            <w:tcW w:w="2136" w:type="dxa"/>
            <w:vAlign w:val="center"/>
          </w:tcPr>
          <w:p>
            <w:pPr>
              <w:pStyle w:val="TableText"/>
              <w:jc w:val="left"/>
            </w:pPr>
            <w:r>
              <w:rPr>
                <w:sz w:val="20"/>
                <w:szCs w:val="20"/>
              </w:rPr>
              <w:t xml:space="preserve">GB</w:t>
            </w:r>
          </w:p>
        </w:tc>
        <w:tc>
          <w:tcPr>
            <w:tcW w:w="7123" w:type="dxa"/>
            <w:vAlign w:val="center"/>
          </w:tcPr>
          <w:p>
            <w:pPr>
              <w:pStyle w:val="TableText"/>
              <w:jc w:val="left"/>
            </w:pPr>
            <w:r>
              <w:rPr>
                <w:sz w:val="20"/>
                <w:szCs w:val="20"/>
              </w:rPr>
              <w:t xml:space="preserve">Gradient boosting (histogram gradient boosting)</w:t>
            </w:r>
          </w:p>
        </w:tc>
      </w:tr>
      <w:tr>
        <w:trPr>
          <w:cantSplit/>
        </w:trPr>
        <w:tc>
          <w:tcPr>
            <w:tcW w:w="2136" w:type="dxa"/>
            <w:vAlign w:val="center"/>
          </w:tcPr>
          <w:p>
            <w:pPr>
              <w:pStyle w:val="TableText"/>
              <w:jc w:val="left"/>
            </w:pPr>
            <w:r>
              <w:rPr>
                <w:sz w:val="20"/>
                <w:szCs w:val="20"/>
              </w:rPr>
              <w:t xml:space="preserve">IPR</w:t>
            </w:r>
          </w:p>
        </w:tc>
        <w:tc>
          <w:tcPr>
            <w:tcW w:w="7123" w:type="dxa"/>
            <w:vAlign w:val="center"/>
          </w:tcPr>
          <w:p>
            <w:pPr>
              <w:pStyle w:val="TableText"/>
              <w:jc w:val="left"/>
            </w:pPr>
            <w:r>
              <w:rPr>
                <w:sz w:val="20"/>
                <w:szCs w:val="20"/>
              </w:rPr>
              <w:t xml:space="preserve">Intellectual property rights</w:t>
            </w:r>
          </w:p>
        </w:tc>
      </w:tr>
      <w:tr>
        <w:trPr>
          <w:cantSplit/>
        </w:trPr>
        <w:tc>
          <w:tcPr>
            <w:tcW w:w="2136" w:type="dxa"/>
            <w:vAlign w:val="center"/>
          </w:tcPr>
          <w:p>
            <w:pPr>
              <w:pStyle w:val="TableText"/>
              <w:jc w:val="left"/>
            </w:pPr>
            <w:r>
              <w:rPr>
                <w:sz w:val="20"/>
                <w:szCs w:val="20"/>
              </w:rPr>
              <w:t xml:space="preserve">JSON</w:t>
            </w:r>
          </w:p>
        </w:tc>
        <w:tc>
          <w:tcPr>
            <w:tcW w:w="7123" w:type="dxa"/>
            <w:vAlign w:val="center"/>
          </w:tcPr>
          <w:p>
            <w:pPr>
              <w:pStyle w:val="TableText"/>
              <w:jc w:val="left"/>
            </w:pPr>
            <w:r>
              <w:rPr>
                <w:sz w:val="20"/>
                <w:szCs w:val="20"/>
              </w:rPr>
              <w:t xml:space="preserve">JavaScript Object Notation</w:t>
            </w:r>
          </w:p>
        </w:tc>
      </w:tr>
      <w:tr>
        <w:trPr>
          <w:cantSplit/>
        </w:trPr>
        <w:tc>
          <w:tcPr>
            <w:tcW w:w="2136" w:type="dxa"/>
            <w:vAlign w:val="center"/>
          </w:tcPr>
          <w:p>
            <w:pPr>
              <w:pStyle w:val="TableText"/>
              <w:jc w:val="left"/>
            </w:pPr>
            <w:r>
              <w:rPr>
                <w:sz w:val="20"/>
                <w:szCs w:val="20"/>
              </w:rPr>
              <w:t xml:space="preserve">KS</w:t>
            </w:r>
          </w:p>
        </w:tc>
        <w:tc>
          <w:tcPr>
            <w:tcW w:w="7123" w:type="dxa"/>
            <w:vAlign w:val="center"/>
          </w:tcPr>
          <w:p>
            <w:pPr>
              <w:pStyle w:val="TableText"/>
              <w:jc w:val="left"/>
            </w:pPr>
            <w:r>
              <w:rPr>
                <w:sz w:val="20"/>
                <w:szCs w:val="20"/>
              </w:rPr>
              <w:t xml:space="preserve">Kolmogorov–Smirnov</w:t>
            </w:r>
          </w:p>
        </w:tc>
      </w:tr>
      <w:tr>
        <w:trPr>
          <w:cantSplit/>
        </w:trPr>
        <w:tc>
          <w:tcPr>
            <w:tcW w:w="2136" w:type="dxa"/>
            <w:vAlign w:val="center"/>
          </w:tcPr>
          <w:p>
            <w:pPr>
              <w:pStyle w:val="TableText"/>
              <w:jc w:val="left"/>
            </w:pPr>
            <w:r>
              <w:rPr>
                <w:sz w:val="20"/>
                <w:szCs w:val="20"/>
              </w:rPr>
              <w:t xml:space="preserve">LR</w:t>
            </w:r>
          </w:p>
        </w:tc>
        <w:tc>
          <w:tcPr>
            <w:tcW w:w="7123" w:type="dxa"/>
            <w:vAlign w:val="center"/>
          </w:tcPr>
          <w:p>
            <w:pPr>
              <w:pStyle w:val="TableText"/>
              <w:jc w:val="left"/>
            </w:pPr>
            <w:r>
              <w:rPr>
                <w:sz w:val="20"/>
                <w:szCs w:val="20"/>
              </w:rPr>
              <w:t xml:space="preserve">Logistic regression</w:t>
            </w:r>
          </w:p>
        </w:tc>
      </w:tr>
      <w:tr>
        <w:trPr>
          <w:cantSplit/>
        </w:trPr>
        <w:tc>
          <w:tcPr>
            <w:tcW w:w="2136" w:type="dxa"/>
            <w:vAlign w:val="center"/>
          </w:tcPr>
          <w:p>
            <w:pPr>
              <w:pStyle w:val="TableText"/>
              <w:jc w:val="left"/>
            </w:pPr>
            <w:r>
              <w:rPr>
                <w:sz w:val="20"/>
                <w:szCs w:val="20"/>
              </w:rPr>
              <w:t xml:space="preserve">MMD</w:t>
            </w:r>
          </w:p>
        </w:tc>
        <w:tc>
          <w:tcPr>
            <w:tcW w:w="7123" w:type="dxa"/>
            <w:vAlign w:val="center"/>
          </w:tcPr>
          <w:p>
            <w:pPr>
              <w:pStyle w:val="TableText"/>
              <w:jc w:val="left"/>
            </w:pPr>
            <w:r>
              <w:rPr>
                <w:sz w:val="20"/>
                <w:szCs w:val="20"/>
              </w:rPr>
              <w:t xml:space="preserve">Maximum mean discrepancy</w:t>
            </w:r>
          </w:p>
        </w:tc>
      </w:tr>
      <w:tr>
        <w:trPr>
          <w:cantSplit/>
        </w:trPr>
        <w:tc>
          <w:tcPr>
            <w:tcW w:w="2136" w:type="dxa"/>
            <w:vAlign w:val="center"/>
          </w:tcPr>
          <w:p>
            <w:pPr>
              <w:pStyle w:val="TableText"/>
              <w:jc w:val="left"/>
            </w:pPr>
            <w:r>
              <w:rPr>
                <w:sz w:val="20"/>
                <w:szCs w:val="20"/>
              </w:rPr>
              <w:t xml:space="preserve">OOD</w:t>
            </w:r>
          </w:p>
        </w:tc>
        <w:tc>
          <w:tcPr>
            <w:tcW w:w="7123" w:type="dxa"/>
            <w:vAlign w:val="center"/>
          </w:tcPr>
          <w:p>
            <w:pPr>
              <w:pStyle w:val="TableText"/>
              <w:jc w:val="left"/>
            </w:pPr>
            <w:r>
              <w:rPr>
                <w:sz w:val="20"/>
                <w:szCs w:val="20"/>
              </w:rPr>
              <w:t xml:space="preserve">Out of distribution</w:t>
            </w:r>
          </w:p>
        </w:tc>
      </w:tr>
      <w:tr>
        <w:trPr>
          <w:cantSplit/>
        </w:trPr>
        <w:tc>
          <w:tcPr>
            <w:tcW w:w="2136" w:type="dxa"/>
            <w:vAlign w:val="center"/>
          </w:tcPr>
          <w:p>
            <w:pPr>
              <w:pStyle w:val="TableText"/>
              <w:jc w:val="left"/>
            </w:pPr>
            <w:r>
              <w:rPr>
                <w:sz w:val="20"/>
                <w:szCs w:val="20"/>
              </w:rPr>
              <w:t xml:space="preserve">PSI</w:t>
            </w:r>
          </w:p>
        </w:tc>
        <w:tc>
          <w:tcPr>
            <w:tcW w:w="7123" w:type="dxa"/>
            <w:vAlign w:val="center"/>
          </w:tcPr>
          <w:p>
            <w:pPr>
              <w:pStyle w:val="TableText"/>
              <w:jc w:val="left"/>
            </w:pPr>
            <w:r>
              <w:rPr>
                <w:sz w:val="20"/>
                <w:szCs w:val="20"/>
              </w:rPr>
              <w:t xml:space="preserve">Population stability index</w:t>
            </w:r>
          </w:p>
        </w:tc>
      </w:tr>
      <w:tr>
        <w:trPr>
          <w:cantSplit/>
        </w:trPr>
        <w:tc>
          <w:tcPr>
            <w:tcW w:w="2136" w:type="dxa"/>
            <w:vAlign w:val="center"/>
          </w:tcPr>
          <w:p>
            <w:pPr>
              <w:pStyle w:val="TableText"/>
              <w:jc w:val="left"/>
            </w:pPr>
            <w:r>
              <w:rPr>
                <w:sz w:val="20"/>
                <w:szCs w:val="20"/>
              </w:rPr>
              <w:t xml:space="preserve">RCA</w:t>
            </w:r>
          </w:p>
        </w:tc>
        <w:tc>
          <w:tcPr>
            <w:tcW w:w="7123" w:type="dxa"/>
            <w:vAlign w:val="center"/>
          </w:tcPr>
          <w:p>
            <w:pPr>
              <w:pStyle w:val="TableText"/>
              <w:jc w:val="left"/>
            </w:pPr>
            <w:r>
              <w:rPr>
                <w:sz w:val="20"/>
                <w:szCs w:val="20"/>
              </w:rPr>
              <w:t xml:space="preserve">Root cause analysis</w:t>
            </w:r>
          </w:p>
        </w:tc>
      </w:tr>
      <w:tr>
        <w:trPr>
          <w:cantSplit/>
        </w:trPr>
        <w:tc>
          <w:tcPr>
            <w:tcW w:w="2136" w:type="dxa"/>
            <w:vAlign w:val="center"/>
          </w:tcPr>
          <w:p>
            <w:pPr>
              <w:pStyle w:val="TableText"/>
              <w:jc w:val="left"/>
            </w:pPr>
            <w:r>
              <w:rPr>
                <w:sz w:val="20"/>
                <w:szCs w:val="20"/>
              </w:rPr>
              <w:t xml:space="preserve">ResNet</w:t>
            </w:r>
          </w:p>
        </w:tc>
        <w:tc>
          <w:tcPr>
            <w:tcW w:w="7123" w:type="dxa"/>
            <w:vAlign w:val="center"/>
          </w:tcPr>
          <w:p>
            <w:pPr>
              <w:pStyle w:val="TableText"/>
              <w:jc w:val="left"/>
            </w:pPr>
            <w:r>
              <w:rPr>
                <w:sz w:val="20"/>
                <w:szCs w:val="20"/>
              </w:rPr>
              <w:t xml:space="preserve">Residual network</w:t>
            </w:r>
          </w:p>
        </w:tc>
      </w:tr>
      <w:tr>
        <w:trPr>
          <w:cantSplit/>
        </w:trPr>
        <w:tc>
          <w:tcPr>
            <w:tcW w:w="2136" w:type="dxa"/>
            <w:vAlign w:val="center"/>
          </w:tcPr>
          <w:p>
            <w:pPr>
              <w:pStyle w:val="TableText"/>
              <w:jc w:val="left"/>
            </w:pPr>
            <w:r>
              <w:rPr>
                <w:sz w:val="20"/>
                <w:szCs w:val="20"/>
              </w:rPr>
              <w:t xml:space="preserve">SDG</w:t>
            </w:r>
          </w:p>
        </w:tc>
        <w:tc>
          <w:tcPr>
            <w:tcW w:w="7123" w:type="dxa"/>
            <w:vAlign w:val="center"/>
          </w:tcPr>
          <w:p>
            <w:pPr>
              <w:pStyle w:val="TableText"/>
              <w:jc w:val="left"/>
            </w:pPr>
            <w:r>
              <w:rPr>
                <w:sz w:val="20"/>
                <w:szCs w:val="20"/>
              </w:rPr>
              <w:t xml:space="preserve">Sustainable Development Goal</w:t>
            </w:r>
          </w:p>
        </w:tc>
      </w:tr>
      <w:tr>
        <w:trPr>
          <w:cantSplit/>
        </w:trPr>
        <w:tc>
          <w:tcPr>
            <w:tcW w:w="2136" w:type="dxa"/>
            <w:vAlign w:val="center"/>
          </w:tcPr>
          <w:p>
            <w:pPr>
              <w:pStyle w:val="TableText"/>
              <w:jc w:val="left"/>
            </w:pPr>
            <w:r>
              <w:rPr>
                <w:sz w:val="20"/>
                <w:szCs w:val="20"/>
              </w:rPr>
              <w:t xml:space="preserve">SHAP</w:t>
            </w:r>
          </w:p>
        </w:tc>
        <w:tc>
          <w:tcPr>
            <w:tcW w:w="7123" w:type="dxa"/>
            <w:vAlign w:val="center"/>
          </w:tcPr>
          <w:p>
            <w:pPr>
              <w:pStyle w:val="TableText"/>
              <w:jc w:val="left"/>
            </w:pPr>
            <w:r>
              <w:rPr>
                <w:sz w:val="20"/>
                <w:szCs w:val="20"/>
              </w:rPr>
              <w:t xml:space="preserve">Shapley additive explanations</w:t>
            </w:r>
          </w:p>
        </w:tc>
      </w:tr>
      <w:tr>
        <w:trPr>
          <w:cantSplit/>
        </w:trPr>
        <w:tc>
          <w:tcPr>
            <w:tcW w:w="2136" w:type="dxa"/>
            <w:vAlign w:val="center"/>
          </w:tcPr>
          <w:p>
            <w:pPr>
              <w:pStyle w:val="TableText"/>
              <w:jc w:val="left"/>
            </w:pPr>
            <w:r>
              <w:rPr>
                <w:sz w:val="20"/>
                <w:szCs w:val="20"/>
              </w:rPr>
              <w:t xml:space="preserve">UCI</w:t>
            </w:r>
          </w:p>
        </w:tc>
        <w:tc>
          <w:tcPr>
            <w:tcW w:w="7123" w:type="dxa"/>
            <w:vAlign w:val="center"/>
          </w:tcPr>
          <w:p>
            <w:pPr>
              <w:pStyle w:val="TableText"/>
              <w:jc w:val="left"/>
            </w:pPr>
            <w:r>
              <w:rPr>
                <w:sz w:val="20"/>
                <w:szCs w:val="20"/>
              </w:rPr>
              <w:t xml:space="preserve">University of California, Irvine</w:t>
            </w:r>
          </w:p>
        </w:tc>
      </w:tr>
      <w:tr>
        <w:trPr>
          <w:cantSplit/>
        </w:trPr>
        <w:tc>
          <w:tcPr>
            <w:tcW w:w="2136" w:type="dxa"/>
            <w:vAlign w:val="center"/>
          </w:tcPr>
          <w:p>
            <w:pPr>
              <w:pStyle w:val="TableText"/>
              <w:jc w:val="left"/>
            </w:pPr>
            <w:r>
              <w:rPr>
                <w:sz w:val="20"/>
                <w:szCs w:val="20"/>
              </w:rPr>
              <w:t xml:space="preserve">UI</w:t>
            </w:r>
          </w:p>
        </w:tc>
        <w:tc>
          <w:tcPr>
            <w:tcW w:w="7123" w:type="dxa"/>
            <w:vAlign w:val="center"/>
          </w:tcPr>
          <w:p>
            <w:pPr>
              <w:pStyle w:val="TableText"/>
              <w:jc w:val="left"/>
            </w:pPr>
            <w:r>
              <w:rPr>
                <w:sz w:val="20"/>
                <w:szCs w:val="20"/>
              </w:rPr>
              <w:t xml:space="preserve">User interface</w:t>
            </w:r>
          </w:p>
        </w:tc>
      </w:tr>
    </w:tbl>
    <w:p>
      <w:pPr>
        <w:spacing w:before="0" w:after="120" w:line="240" w:lineRule="auto"/>
      </w:pPr>
    </w:p>
    <w:p>
      <w:pPr>
        <w:pStyle w:val="Heading1"/>
      </w:pPr>
      <w:r>
        <w:t xml:space="preserve">ABSTRACT</w:t>
      </w:r>
    </w:p>
    <w:p>
      <w:pPr>
        <w:pStyle w:val="Normal"/>
      </w:pPr>
      <w:r>
        <w:t xml:space="preserve">Machine learning models are trained once but used for months or years. In that time the data they see in production slowly stops looking like the data they were trained on. When this happens accuracy falls, often without anyone noticing, because the true labels that would reveal the loss arrive weeks or months later. Existing monitoring tools can raise an alarm when the data change, but they rarely say what kind of change took place. This matters because each kind calls for a different response: a change in the inputs alone may need only reweighting, a change in the class balance needs recalibration, a change in the relationship between inputs and labels needs fresh labels and corrupted labels point to a fault in the labeling process.</w:t>
      </w:r>
    </w:p>
    <w:p>
      <w:pPr>
        <w:pStyle w:val="Normal"/>
      </w:pPr>
      <w:r>
        <w:t xml:space="preserve">ResilientAI is an end-to-end monitoring system that answers these questions for every new batch of production data. It tests whether the data have changed, estimates the lost accuracy from the model’s own confidence, finds the features that moved and names the drift type with a sequence of statistical tests that share one stated error rate. A first stage needs no labels and separates input shift from class balance shift. A second stage, new in this project, uses a few hundred late labels to separate concept drift from label noise. The system also explains the change, scores how far each single prediction can be trusted and advises whether a cheap retrain would help. An interactive dashboard presents every result.</w:t>
      </w:r>
    </w:p>
    <w:p>
      <w:pPr>
        <w:pStyle w:val="Normal"/>
      </w:pPr>
      <w:r>
        <w:t xml:space="preserve">On a benchmark of drift injected into two census tasks, the system named the drift type in 85.7 to 94.3% of windows and stayed at 62.4 to 81.5% on drift mechanisms it was not designed for, where a learned rule fell to 31.1 to 51.2%. On four real datasets with documented changes it raised no false alarm on any control window and traced the known events.</w:t>
      </w:r>
    </w:p>
    <w:p>
      <w:pPr>
        <w:pStyle w:val="Normal"/>
      </w:pPr>
      <w:r>
        <w:rPr>
          <w:b/>
          <w:bCs/>
        </w:rPr>
        <w:t xml:space="preserve">Keywords:</w:t>
      </w:r>
      <w:r>
        <w:t xml:space="preserve"> concept drift, dataset shift, model monitoring, drift diagnosis, hypothesis testing, machine learning operations</w:t>
      </w:r>
    </w:p>
    <w:p>
      <w:pPr>
        <w:sectPr>
          <w:headerReference w:type="default" r:id="rId9"/>
          <w:footerReference w:type="default" r:id="rIdFtr"/>
          <w:pgSz w:w="12240" w:h="15840" w:orient="portrait"/>
          <w:pgMar w:top="1152" w:right="1440" w:bottom="1152" w:left="1440" w:header="720" w:footer="720" w:gutter="0"/>
          <w:pgNumType w:fmt="lowerRoman" w:start="1"/>
        </w:sectPr>
      </w:pPr>
    </w:p>
    <w:p>
      <w:pPr>
        <w:pStyle w:val="Heading1"/>
      </w:pPr>
      <w:r>
        <w:t xml:space="preserve">CHAPTER 1: INTRODUCTION</w:t>
      </w:r>
    </w:p>
    <w:p>
      <w:pPr>
        <w:pStyle w:val="Normal"/>
      </w:pPr>
      <w:r>
        <w:t xml:space="preserve">This chapter introduces the problem that ResilientAI addresses: deployed machine learning models that lose accuracy silently when their data change. It explains why the problem matters, defines it precisely, reviews the systems that exist today and their gaps and ends with the relevance of the project and its link to the United Nations Sustainable Development Goals.</w:t>
      </w:r>
    </w:p>
    <w:p>
      <w:pPr>
        <w:pStyle w:val="Heading2"/>
      </w:pPr>
      <w:r>
        <w:t xml:space="preserve">1.1 Introduction</w:t>
      </w:r>
    </w:p>
    <w:p>
      <w:pPr>
        <w:pStyle w:val="Normal"/>
      </w:pPr>
      <w:r>
        <w:t xml:space="preserve">A machine learning model is built from a fixed set of historical examples and then put to work on new data, often for a long time. A credit model, a demand forecast or a medical triage tool is trained once, checked on held-out data and deployed. The world it was trained on does not stand still, however. Customers change, sensors age, survey questions are rewritten and occupations are reclassified. The data that reach the model in production drift away from the data it learned from and its predictions get worse. This is known as dataset shift or data drift </w:t>
      </w:r>
      <w:r>
        <w:t xml:space="preserve">[1], [2]</w:t>
      </w:r>
      <w:r>
        <w:t xml:space="preserve">.</w:t>
      </w:r>
    </w:p>
    <w:p>
      <w:pPr>
        <w:pStyle w:val="Normal"/>
      </w:pPr>
      <w:r>
        <w:t xml:space="preserve">The difficulty is that the loss is silent. A deployed classifier keeps producing confident predictions after its accuracy has fallen and the true labels that would expose the loss tend to arrive weeks or months later, if at all </w:t>
      </w:r>
      <w:r>
        <w:t xml:space="preserve">[3]</w:t>
      </w:r>
      <w:r>
        <w:t xml:space="preserve">. Monitoring therefore has to work from what is available at prediction time: the inputs, the model’s outputs and its confidence. Model monitoring has become a recognised part of machine learning operations for this reason </w:t>
      </w:r>
      <w:r>
        <w:t xml:space="preserve">[4]–[6]</w:t>
      </w:r>
      <w:r>
        <w:t xml:space="preserve">.</w:t>
      </w:r>
    </w:p>
    <w:p>
      <w:pPr>
        <w:pStyle w:val="Normal"/>
      </w:pPr>
      <w:r>
        <w:t xml:space="preserve">Not every drift is the same. The right response depends on its kind. Moreno-Torres et al. </w:t>
      </w:r>
      <w:r>
        <w:t xml:space="preserve">[1]</w:t>
      </w:r>
      <w:r>
        <w:t xml:space="preserve"> distinguish three types of dataset shift and this project adds a fourth. Fig. </w:t>
      </w:r>
      <w:r>
        <w:t xml:space="preserve">1.1</w:t>
      </w:r>
      <w:r>
        <w:t xml:space="preserve"> shows the four on a small two-dimensional example.</w:t>
      </w:r>
    </w:p>
    <w:p>
      <w:pPr>
        <w:pStyle w:val="FigureBody"/>
      </w:pPr>
      <w:r>
        <w:drawing>
          <wp:inline distT="0" distB="0" distL="0" distR="0">
            <wp:extent cx="5760000" cy="1527272"/>
            <wp:docPr id="1001" name="Figure 1.1" descr="Fig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 name="drift_types.png"/>
                    <pic:cNvPicPr/>
                  </pic:nvPicPr>
                  <pic:blipFill>
                    <a:blip r:embed="rIdI1"/>
                    <a:stretch>
                      <a:fillRect/>
                    </a:stretch>
                  </pic:blipFill>
                  <pic:spPr>
                    <a:xfrm>
                      <a:off x="0" y="0"/>
                      <a:ext cx="5760000" cy="1527272"/>
                    </a:xfrm>
                    <a:prstGeom prst="rect">
                      <a:avLst/>
                    </a:prstGeom>
                  </pic:spPr>
                </pic:pic>
              </a:graphicData>
            </a:graphic>
          </wp:inline>
        </w:drawing>
      </w:r>
    </w:p>
    <w:p>
      <w:pPr>
        <w:pStyle w:val="FigureCaption"/>
        <w:jc w:val="both"/>
      </w:pPr>
      <w:r>
        <w:rPr>
          <w:b/>
          <w:bCs/>
        </w:rPr>
        <w:t xml:space="preserve">Fig. 1.1: </w:t>
      </w:r>
      <w:r>
        <w:t xml:space="preserve">The four drift types on toy data with two classes (circles and triangles). The dashed line is the decision boundary learned on the reference data; in (d) the labels are reversed inside the shaded region</w:t>
      </w:r>
    </w:p>
    <w:p>
      <w:pPr>
        <w:pStyle w:val="Normal"/>
      </w:pPr>
      <w:r>
        <w:t xml:space="preserve">Panel (a) is the reference data the model was trained on. Under covariate shift (b) the inputs move but the rule that maps inputs to labels holds, so reweighting the training data is often enough to adapt the model. Under prior shift (c) only the class balance changes, which recalibration usually fixes. Concept drift (d) alters the mapping itself: the same inputs now carry different labels in some region and nothing short of fresh labels will repair the model. Label noise (e) is different again. The true relationship is unchanged, but the labels used to grade the model are corrupted, so the fault lies in how labels are collected rather than in the model.</w:t>
      </w:r>
    </w:p>
    <w:p>
      <w:pPr>
        <w:pStyle w:val="Normal"/>
      </w:pPr>
      <w:r>
        <w:t xml:space="preserve">ResilientAI is a monitoring system built around this idea. It takes a deployed model, its labeled training data and a stream of unlabeled production data and for every production window it answers the questions a monitoring team asks in turn. Has the data changed? How much accuracy has been lost? Which features moved? What type of drift is it and what probably caused it? Which predictions should not be trusted? Would a cheap retrain recover the loss? The implementation, its dashboard and the research paper written from this project call the pipeline Data Drift Autopsy; ResilientAI is the name of the project as a whole.</w:t>
      </w:r>
    </w:p>
    <w:p>
      <w:pPr>
        <w:pStyle w:val="Normal"/>
      </w:pPr>
      <w:r>
        <w:t xml:space="preserve">The rest of this report follows the template of the department. Chapter </w:t>
      </w:r>
      <w:r>
        <w:t xml:space="preserve">2</w:t>
      </w:r>
      <w:r>
        <w:t xml:space="preserve"> surveys the literature and patents, Chapter </w:t>
      </w:r>
      <w:r>
        <w:t xml:space="preserve">3</w:t>
      </w:r>
      <w:r>
        <w:t xml:space="preserve"> gathers the requirements and Chapter </w:t>
      </w:r>
      <w:r>
        <w:t xml:space="preserve">4</w:t>
      </w:r>
      <w:r>
        <w:t xml:space="preserve"> presents the design. Chapters </w:t>
      </w:r>
      <w:r>
        <w:t xml:space="preserve">5</w:t>
      </w:r>
      <w:r>
        <w:t xml:space="preserve"> and </w:t>
      </w:r>
      <w:r>
        <w:t xml:space="preserve">6</w:t>
      </w:r>
      <w:r>
        <w:t xml:space="preserve"> cover the implementation and its testing, Chapter </w:t>
      </w:r>
      <w:r>
        <w:t xml:space="preserve">7</w:t>
      </w:r>
      <w:r>
        <w:t xml:space="preserve"> presents the results and Chapter </w:t>
      </w:r>
      <w:r>
        <w:t xml:space="preserve">8</w:t>
      </w:r>
      <w:r>
        <w:t xml:space="preserve"> concludes.</w:t>
      </w:r>
    </w:p>
    <w:p>
      <w:pPr>
        <w:pStyle w:val="Heading2"/>
      </w:pPr>
      <w:r>
        <w:t xml:space="preserve">1.2 Motivation</w:t>
      </w:r>
    </w:p>
    <w:p>
      <w:pPr>
        <w:pStyle w:val="Normal"/>
      </w:pPr>
      <w:r>
        <w:t xml:space="preserve">The motivation for this project came from a simple observation made while working with census data. A model that predicts whether a person earns more than $50,000, trained on 2014 data from California, loses accuracy year after year when it is applied to later years. The monitoring tools we tried raised alarms on almost every later year, which was correct, yet none of them could say whether the cause was a change in the population, a change in the survey or a change in what the label means. A team receiving such an alarm still has to work out by hand what to do.</w:t>
      </w:r>
    </w:p>
    <w:p>
      <w:pPr>
        <w:pStyle w:val="Normal"/>
      </w:pPr>
      <w:r>
        <w:t xml:space="preserve">There are three practical reasons to want more than an alarm. First, labels are expensive: a team should not have to label every production row to find out whether its model still works. Second, the wrong response wastes effort. Retraining on fresh labels does not help when the labels themselves are noisy and reweighting does not help when the concept has changed. Third, alarms without a stated error rate cannot be trusted. A monitor that tests dozens of features at a fixed threshold will raise false alarms by chance and teams quickly learn to ignore it.</w:t>
      </w:r>
    </w:p>
    <w:p>
      <w:pPr>
        <w:pStyle w:val="Normal"/>
      </w:pPr>
      <w:r>
        <w:t xml:space="preserve">There was also a research motivation. The literature offers good tools for detecting a shift and for estimating accuracy without labels, but, as Chapter </w:t>
      </w:r>
      <w:r>
        <w:t xml:space="preserve">2</w:t>
      </w:r>
      <w:r>
        <w:t xml:space="preserve"> shows, no published method separates concept drift from label noise with a small label budget and type diagnoses are rarely tested on drift they were not designed for. Closing that gap with tools a monitoring team can actually run seemed both useful and achievable within a capstone project.</w:t>
      </w:r>
    </w:p>
    <w:p>
      <w:pPr>
        <w:pStyle w:val="Heading2"/>
      </w:pPr>
      <w:r>
        <w:t xml:space="preserve">1.3 Problem Definition</w:t>
      </w:r>
    </w:p>
    <w:p>
      <w:pPr>
        <w:pStyle w:val="Normal"/>
      </w:pPr>
      <w:r>
        <w:t xml:space="preserve">The project addresses the following problem. Given a deployed classifier, the labeled reference data it was built from and a sequence of unlabeled production windows, the system must decide for each window whether the data have drifted. When they have, it must estimate the accuracy the model is likely to have, locate the features that moved and name the drift type as one of covariate shift, prior shift, concept drift or label noise, so that the matching response can be chosen. Production labels may be used only in a small optional audit of a few hundred rows that arrive late. Every decision must come with a stated error rate, so that a window without drift receives a false verdict with a probability fixed in advance.</w:t>
      </w:r>
    </w:p>
    <w:p>
      <w:pPr>
        <w:pStyle w:val="Normal"/>
      </w:pPr>
      <w:r>
        <w:t xml:space="preserve">The target users are machine learning engineers and monitoring teams who own deployed models and the teams that label data for them. The scope covers tabular classifiers and image classifiers whose images are first mapped to embeddings by a pretrained network. Text models, deep models trained end to end on the production stream and real-time streaming at sub-second latency are outside the scope.</w:t>
      </w:r>
    </w:p>
    <w:p>
      <w:pPr>
        <w:pStyle w:val="Normal"/>
      </w:pPr>
      <w:r>
        <w:t xml:space="preserve">The intended outcome is a working system, evaluated on data where the true drift type is known and on real data whose changes are documented, together with a dashboard that presents the findings to a person who must act on them.</w:t>
      </w:r>
    </w:p>
    <w:p>
      <w:pPr>
        <w:pStyle w:val="Heading2"/>
      </w:pPr>
      <w:r>
        <w:t xml:space="preserve">1.4 Existing Systems</w:t>
      </w:r>
    </w:p>
    <w:p>
      <w:pPr>
        <w:pStyle w:val="Normal"/>
      </w:pPr>
      <w:r>
        <w:t xml:space="preserve">Several kinds of system already watch deployed models. They differ in what they look at and in what they report.</w:t>
      </w:r>
    </w:p>
    <w:p>
      <w:pPr>
        <w:pStyle w:val="ListItem"/>
        <w:numPr>
          <w:ilvl w:val="0"/>
          <w:numId w:val="100"/>
        </w:numPr>
        <w:ind w:left="567" w:hanging="340"/>
      </w:pPr>
      <w:r>
        <w:rPr>
          <w:b/>
          <w:bCs/>
        </w:rPr>
        <w:t xml:space="preserve">Error-rate monitors</w:t>
      </w:r>
      <w:r>
        <w:t xml:space="preserve"> such as the drift detection method (DDM) </w:t>
      </w:r>
      <w:r>
        <w:t xml:space="preserve">[7]</w:t>
      </w:r>
      <w:r>
        <w:t xml:space="preserve"> and ADWIN </w:t>
      </w:r>
      <w:r>
        <w:t xml:space="preserve">[8]</w:t>
      </w:r>
      <w:r>
        <w:t xml:space="preserve"> track the error rate of the model and raise an alarm when it rises. They need the true label of every prediction soon after it is made.</w:t>
      </w:r>
    </w:p>
    <w:p>
      <w:pPr>
        <w:pStyle w:val="ListItem"/>
        <w:numPr>
          <w:ilvl w:val="0"/>
          <w:numId w:val="100"/>
        </w:numPr>
        <w:ind w:left="567" w:hanging="340"/>
      </w:pPr>
      <w:r>
        <w:rPr>
          <w:b/>
          <w:bCs/>
        </w:rPr>
        <w:t xml:space="preserve">Label-free shift detectors</w:t>
      </w:r>
      <w:r>
        <w:t xml:space="preserve"> compare the production inputs or the model’s outputs with the reference data through two-sample tests: univariate tests, kernel tests such as the maximum mean discrepancy </w:t>
      </w:r>
      <w:r>
        <w:t xml:space="preserve">[9]</w:t>
      </w:r>
      <w:r>
        <w:t xml:space="preserve">, classifier tests </w:t>
      </w:r>
      <w:r>
        <w:t xml:space="preserve">[10]</w:t>
      </w:r>
      <w:r>
        <w:t xml:space="preserve"> and black-box shift detection on the model’s outputs </w:t>
      </w:r>
      <w:r>
        <w:t xml:space="preserve">[3]</w:t>
      </w:r>
      <w:r>
        <w:t xml:space="preserve">.</w:t>
      </w:r>
    </w:p>
    <w:p>
      <w:pPr>
        <w:pStyle w:val="ListItem"/>
        <w:numPr>
          <w:ilvl w:val="0"/>
          <w:numId w:val="100"/>
        </w:numPr>
        <w:ind w:left="567" w:hanging="340"/>
      </w:pPr>
      <w:r>
        <w:rPr>
          <w:b/>
          <w:bCs/>
        </w:rPr>
        <w:t xml:space="preserve">Label shift estimators</w:t>
      </w:r>
      <w:r>
        <w:t xml:space="preserve"> such as black-box shift estimation </w:t>
      </w:r>
      <w:r>
        <w:t xml:space="preserve">[11]</w:t>
      </w:r>
      <w:r>
        <w:t xml:space="preserve"> estimate how the class balance has changed, assuming that each class keeps its own input distribution.</w:t>
      </w:r>
    </w:p>
    <w:p>
      <w:pPr>
        <w:pStyle w:val="ListItem"/>
        <w:numPr>
          <w:ilvl w:val="0"/>
          <w:numId w:val="100"/>
        </w:numPr>
        <w:ind w:left="567" w:hanging="340"/>
      </w:pPr>
      <w:r>
        <w:rPr>
          <w:b/>
          <w:bCs/>
        </w:rPr>
        <w:t xml:space="preserve">Performance estimators</w:t>
      </w:r>
      <w:r>
        <w:t xml:space="preserve"> such as confidence-based performance estimation </w:t>
      </w:r>
      <w:r>
        <w:t xml:space="preserve">[12], [13]</w:t>
      </w:r>
      <w:r>
        <w:t xml:space="preserve"> estimate the accuracy of the model from its confidence.</w:t>
      </w:r>
    </w:p>
    <w:p>
      <w:pPr>
        <w:pStyle w:val="ListItem"/>
        <w:numPr>
          <w:ilvl w:val="0"/>
          <w:numId w:val="100"/>
        </w:numPr>
        <w:ind w:left="567" w:hanging="340"/>
      </w:pPr>
      <w:r>
        <w:rPr>
          <w:b/>
          <w:bCs/>
        </w:rPr>
        <w:t xml:space="preserve">Monitoring libraries and platforms</w:t>
      </w:r>
      <w:r>
        <w:t xml:space="preserve"> package such tests with dashboards, explanations and alerts </w:t>
      </w:r>
      <w:r>
        <w:t xml:space="preserve">[14]</w:t>
      </w:r>
      <w:r>
        <w:t xml:space="preserve">. Several companies have also patented drift monitoring methods, which Chapter </w:t>
      </w:r>
      <w:r>
        <w:t xml:space="preserve">2</w:t>
      </w:r>
      <w:r>
        <w:t xml:space="preserve"> reviews.</w:t>
      </w:r>
    </w:p>
    <w:p>
      <w:pPr>
        <w:pStyle w:val="Heading2"/>
      </w:pPr>
      <w:r>
        <w:t xml:space="preserve">1.5 Lacunae in Existing Systems</w:t>
      </w:r>
    </w:p>
    <w:p>
      <w:pPr>
        <w:pStyle w:val="Normal"/>
      </w:pPr>
      <w:r>
        <w:t xml:space="preserve">The existing systems leave several gaps, each supported by the survey in Chapter </w:t>
      </w:r>
      <w:r>
        <w:t xml:space="preserve">2</w:t>
      </w:r>
      <w:r>
        <w:t xml:space="preserve">.</w:t>
      </w:r>
    </w:p>
    <w:p>
      <w:pPr>
        <w:pStyle w:val="ListItem"/>
        <w:numPr>
          <w:ilvl w:val="0"/>
          <w:numId w:val="200"/>
        </w:numPr>
        <w:ind w:left="567" w:hanging="340"/>
      </w:pPr>
      <w:r>
        <w:rPr>
          <w:b/>
          <w:bCs/>
        </w:rPr>
        <w:t xml:space="preserve">They detect but do not diagnose.</w:t>
      </w:r>
      <w:r>
        <w:t xml:space="preserve"> Label-free detectors report that a shift happened, not what type it was </w:t>
      </w:r>
      <w:r>
        <w:t xml:space="preserve">[3]</w:t>
      </w:r>
      <w:r>
        <w:t xml:space="preserve">. Error-rate monitors notice concept drift but cannot tell it apart from label noise, because both raise the error rate </w:t>
      </w:r>
      <w:r>
        <w:t xml:space="preserve">[7]</w:t>
      </w:r>
      <w:r>
        <w:t xml:space="preserve">.</w:t>
      </w:r>
    </w:p>
    <w:p>
      <w:pPr>
        <w:pStyle w:val="ListItem"/>
        <w:numPr>
          <w:ilvl w:val="0"/>
          <w:numId w:val="200"/>
        </w:numPr>
        <w:ind w:left="567" w:hanging="340"/>
      </w:pPr>
      <w:r>
        <w:rPr>
          <w:b/>
          <w:bCs/>
        </w:rPr>
        <w:t xml:space="preserve">Diagnosis needs labeled production data.</w:t>
      </w:r>
      <w:r>
        <w:t xml:space="preserve"> The most complete type diagnosis, DetectShift </w:t>
      </w:r>
      <w:r>
        <w:t xml:space="preserve">[15]</w:t>
      </w:r>
      <w:r>
        <w:t xml:space="preserve">, tests each part of the joint distribution of inputs and labels but needs labels for the new data, which its authors acknowledge as a limitation.</w:t>
      </w:r>
    </w:p>
    <w:p>
      <w:pPr>
        <w:pStyle w:val="ListItem"/>
        <w:numPr>
          <w:ilvl w:val="0"/>
          <w:numId w:val="200"/>
        </w:numPr>
        <w:ind w:left="567" w:hanging="340"/>
      </w:pPr>
      <w:r>
        <w:rPr>
          <w:b/>
          <w:bCs/>
        </w:rPr>
        <w:t xml:space="preserve">Label noise is not treated as a drift type.</w:t>
      </w:r>
      <w:r>
        <w:t xml:space="preserve"> None of the methods we found separates concept drift from label noise using a small audit of late labels.</w:t>
      </w:r>
    </w:p>
    <w:p>
      <w:pPr>
        <w:pStyle w:val="ListItem"/>
        <w:numPr>
          <w:ilvl w:val="0"/>
          <w:numId w:val="200"/>
        </w:numPr>
        <w:ind w:left="567" w:hanging="340"/>
      </w:pPr>
      <w:r>
        <w:rPr>
          <w:b/>
          <w:bCs/>
        </w:rPr>
        <w:t xml:space="preserve">Error rates are not controlled across decisions.</w:t>
      </w:r>
      <w:r>
        <w:t xml:space="preserve"> Monitors that test many features and several detectors at a fixed threshold do not control the chance of at least one false alarm across all of them.</w:t>
      </w:r>
    </w:p>
    <w:p>
      <w:pPr>
        <w:pStyle w:val="ListItem"/>
        <w:numPr>
          <w:ilvl w:val="0"/>
          <w:numId w:val="200"/>
        </w:numPr>
        <w:ind w:left="567" w:hanging="340"/>
      </w:pPr>
      <w:r>
        <w:rPr>
          <w:b/>
          <w:bCs/>
        </w:rPr>
        <w:t xml:space="preserve">Methods are graded on their own benchmarks.</w:t>
      </w:r>
      <w:r>
        <w:t xml:space="preserve"> Injected drift gives a ground truth but may favor the method being tested. Type diagnoses are rarely checked on drift mechanisms held out from their design.</w:t>
      </w:r>
    </w:p>
    <w:p>
      <w:pPr>
        <w:pStyle w:val="ListItem"/>
        <w:numPr>
          <w:ilvl w:val="0"/>
          <w:numId w:val="200"/>
        </w:numPr>
        <w:ind w:left="567" w:hanging="340"/>
      </w:pPr>
      <w:r>
        <w:rPr>
          <w:b/>
          <w:bCs/>
        </w:rPr>
        <w:t xml:space="preserve">Accuracy estimates assume that confidence stays honest.</w:t>
      </w:r>
      <w:r>
        <w:t xml:space="preserve"> Confidence-based estimates assume that the link between confidence and accuracy survives the shift, which often fails </w:t>
      </w:r>
      <w:r>
        <w:t xml:space="preserve">[16]</w:t>
      </w:r>
      <w:r>
        <w:t xml:space="preserve">.</w:t>
      </w:r>
    </w:p>
    <w:p>
      <w:pPr>
        <w:pStyle w:val="Heading2"/>
      </w:pPr>
      <w:r>
        <w:t xml:space="preserve">1.6 Relevance of the Project</w:t>
      </w:r>
    </w:p>
    <w:p>
      <w:pPr>
        <w:pStyle w:val="Normal"/>
      </w:pPr>
      <w:r>
        <w:t xml:space="preserve">The project is relevant wherever a model keeps running after its training data have aged. Banks, insurers, public agencies, hospitals and manufacturers all deploy classifiers on populations and processes that change. For them, knowing the type of a drift turns an alarm into an action: reweight, recalibrate, collect fresh labels or check the labeling process. Because the system needs labels only for a small audit, it also lowers the cost of monitoring for teams that cannot label their production data.</w:t>
      </w:r>
    </w:p>
    <w:p>
      <w:pPr>
        <w:pStyle w:val="Normal"/>
      </w:pPr>
      <w:r>
        <w:t xml:space="preserve">The beneficiaries are, first, machine learning engineers and monitoring teams, who get a ranked and explained diagnosis instead of a bare alarm. The people affected by model decisions benefit indirectly when a failing model is caught and repaired sooner. The project also adds to research on dataset shift: its audit test, its error-controlled procedure and its held-out benchmark are described in a research paper prepared for publication (Appendix I).</w:t>
      </w:r>
    </w:p>
    <w:p>
      <w:pPr>
        <w:pStyle w:val="Heading2"/>
      </w:pPr>
      <w:r>
        <w:t xml:space="preserve">1.7 Alignment with the United Nations Sustainable Development Goals (SDGs)</w:t>
      </w:r>
    </w:p>
    <w:p>
      <w:pPr>
        <w:pStyle w:val="Normal"/>
      </w:pPr>
      <w:r>
        <w:t xml:space="preserve">The project is linked to two of the seventeen Sustainable Development Goals of the United Nations: Goal 9 (Industry, Innovation and Infrastructure) and Goal 12 (Responsible Consumption and Production) </w:t>
      </w:r>
      <w:r>
        <w:t xml:space="preserve">[17]</w:t>
      </w:r>
      <w:r>
        <w:t xml:space="preserve">. Table </w:t>
      </w:r>
      <w:r>
        <w:t xml:space="preserve">1.1</w:t>
      </w:r>
      <w:r>
        <w:t xml:space="preserve"> ties each goal to a specific target, to the part of the project that serves it and to the evidence in this report. The last column states whether each link is a design intent, a tested output or an expected contribution, as the template asks.</w:t>
      </w:r>
    </w:p>
    <w:p>
      <w:pPr>
        <w:pStyle w:val="TableCaption"/>
      </w:pPr>
      <w:r>
        <w:rPr>
          <w:b/>
          <w:bCs/>
        </w:rPr>
        <w:t xml:space="preserve">Table 1.1: </w:t>
      </w:r>
      <w:r>
        <w:t xml:space="preserve">Alignment of the project with the Sustainable Development Goals</w:t>
      </w:r>
    </w:p>
    <w:tbl>
      <w:tblPr>
        <w:tblW w:w="925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30" w:type="dxa"/>
          <w:left w:w="80" w:type="dxa"/>
          <w:bottom w:w="30" w:type="dxa"/>
          <w:right w:w="80" w:type="dxa"/>
        </w:tblCellMar>
        <w:tblLook w:val="0000"/>
      </w:tblPr>
      <w:tblGrid>
        <w:gridCol w:w="1397"/>
        <w:gridCol w:w="1659"/>
        <w:gridCol w:w="1921"/>
        <w:gridCol w:w="2271"/>
        <w:gridCol w:w="2009"/>
      </w:tblGrid>
      <w:tr>
        <w:trPr>
          <w:cantSplit/>
          <w:tblHeader/>
        </w:trPr>
        <w:tc>
          <w:tcPr>
            <w:tcW w:w="1397" w:type="dxa"/>
            <w:shd w:val="clear" w:color="auto" w:fill="D9E2F3"/>
            <w:vAlign w:val="center"/>
          </w:tcPr>
          <w:p>
            <w:pPr>
              <w:pStyle w:val="TableText"/>
              <w:keepNext/>
              <w:jc w:val="center"/>
            </w:pPr>
            <w:r>
              <w:rPr>
                <w:sz w:val="19"/>
                <w:szCs w:val="19"/>
                <w:b/>
                <w:bCs/>
              </w:rPr>
              <w:t xml:space="preserve">SDG and name</w:t>
            </w:r>
          </w:p>
        </w:tc>
        <w:tc>
          <w:tcPr>
            <w:tcW w:w="1659" w:type="dxa"/>
            <w:shd w:val="clear" w:color="auto" w:fill="D9E2F3"/>
            <w:vAlign w:val="center"/>
          </w:tcPr>
          <w:p>
            <w:pPr>
              <w:pStyle w:val="TableText"/>
              <w:keepNext/>
              <w:jc w:val="center"/>
            </w:pPr>
            <w:r>
              <w:rPr>
                <w:sz w:val="19"/>
                <w:szCs w:val="19"/>
                <w:b/>
                <w:bCs/>
              </w:rPr>
              <w:t xml:space="preserve">Target</w:t>
            </w:r>
          </w:p>
        </w:tc>
        <w:tc>
          <w:tcPr>
            <w:tcW w:w="1921" w:type="dxa"/>
            <w:shd w:val="clear" w:color="auto" w:fill="D9E2F3"/>
            <w:vAlign w:val="center"/>
          </w:tcPr>
          <w:p>
            <w:pPr>
              <w:pStyle w:val="TableText"/>
              <w:keepNext/>
              <w:jc w:val="center"/>
            </w:pPr>
            <w:r>
              <w:rPr>
                <w:sz w:val="19"/>
                <w:szCs w:val="19"/>
                <w:b/>
                <w:bCs/>
              </w:rPr>
              <w:t xml:space="preserve">Project component</w:t>
            </w:r>
          </w:p>
        </w:tc>
        <w:tc>
          <w:tcPr>
            <w:tcW w:w="2271" w:type="dxa"/>
            <w:shd w:val="clear" w:color="auto" w:fill="D9E2F3"/>
            <w:vAlign w:val="center"/>
          </w:tcPr>
          <w:p>
            <w:pPr>
              <w:pStyle w:val="TableText"/>
              <w:keepNext/>
              <w:jc w:val="center"/>
            </w:pPr>
            <w:r>
              <w:rPr>
                <w:sz w:val="19"/>
                <w:szCs w:val="19"/>
                <w:b/>
                <w:bCs/>
              </w:rPr>
              <w:t xml:space="preserve">Contribution</w:t>
            </w:r>
          </w:p>
        </w:tc>
        <w:tc>
          <w:tcPr>
            <w:tcW w:w="2009" w:type="dxa"/>
            <w:shd w:val="clear" w:color="auto" w:fill="D9E2F3"/>
            <w:vAlign w:val="center"/>
          </w:tcPr>
          <w:p>
            <w:pPr>
              <w:pStyle w:val="TableText"/>
              <w:keepNext/>
              <w:jc w:val="center"/>
            </w:pPr>
            <w:r>
              <w:rPr>
                <w:sz w:val="19"/>
                <w:szCs w:val="19"/>
                <w:b/>
                <w:bCs/>
              </w:rPr>
              <w:t xml:space="preserve">Indicator and evidence</w:t>
            </w:r>
          </w:p>
        </w:tc>
      </w:tr>
      <w:tr>
        <w:trPr>
          <w:cantSplit/>
        </w:trPr>
        <w:tc>
          <w:tcPr>
            <w:tcW w:w="1397" w:type="dxa"/>
            <w:vAlign w:val="center"/>
          </w:tcPr>
          <w:p>
            <w:pPr>
              <w:pStyle w:val="TableText"/>
              <w:keepNext/>
              <w:jc w:val="left"/>
            </w:pPr>
            <w:r>
              <w:rPr>
                <w:sz w:val="19"/>
                <w:szCs w:val="19"/>
              </w:rPr>
              <w:t xml:space="preserve">SDG 9: Industry, Innovation and Infrastructure</w:t>
            </w:r>
          </w:p>
        </w:tc>
        <w:tc>
          <w:tcPr>
            <w:tcW w:w="1659" w:type="dxa"/>
            <w:vAlign w:val="center"/>
          </w:tcPr>
          <w:p>
            <w:pPr>
              <w:pStyle w:val="TableText"/>
              <w:keepNext/>
              <w:jc w:val="left"/>
            </w:pPr>
            <w:r>
              <w:rPr>
                <w:sz w:val="19"/>
                <w:szCs w:val="19"/>
              </w:rPr>
              <w:t xml:space="preserve">9.5: enhance scientific research and upgrade technological capabilities</w:t>
            </w:r>
          </w:p>
        </w:tc>
        <w:tc>
          <w:tcPr>
            <w:tcW w:w="1921" w:type="dxa"/>
            <w:vAlign w:val="center"/>
          </w:tcPr>
          <w:p>
            <w:pPr>
              <w:pStyle w:val="TableText"/>
              <w:keepNext/>
              <w:jc w:val="left"/>
            </w:pPr>
            <w:r>
              <w:rPr>
                <w:sz w:val="19"/>
                <w:szCs w:val="19"/>
              </w:rPr>
              <w:t xml:space="preserve">Audit test for concept drift against label noise; error-controlled diagnosis; held-out benchmark</w:t>
            </w:r>
          </w:p>
        </w:tc>
        <w:tc>
          <w:tcPr>
            <w:tcW w:w="2271" w:type="dxa"/>
            <w:vAlign w:val="center"/>
          </w:tcPr>
          <w:p>
            <w:pPr>
              <w:pStyle w:val="TableText"/>
              <w:keepNext/>
              <w:jc w:val="left"/>
            </w:pPr>
            <w:r>
              <w:rPr>
                <w:sz w:val="19"/>
                <w:szCs w:val="19"/>
              </w:rPr>
              <w:t xml:space="preserve">New method and open evaluation design for a monitoring problem without a published solution (tested output)</w:t>
            </w:r>
          </w:p>
        </w:tc>
        <w:tc>
          <w:tcPr>
            <w:tcW w:w="2009" w:type="dxa"/>
            <w:vAlign w:val="center"/>
          </w:tcPr>
          <w:p>
            <w:pPr>
              <w:pStyle w:val="TableText"/>
              <w:keepNext/>
              <w:jc w:val="left"/>
            </w:pPr>
            <w:r>
              <w:rPr>
                <w:sz w:val="19"/>
                <w:szCs w:val="19"/>
              </w:rPr>
              <w:t xml:space="preserve">Correct-type rates in Section </w:t>
            </w:r>
            <w:r>
              <w:rPr>
                <w:sz w:val="19"/>
                <w:szCs w:val="19"/>
              </w:rPr>
              <w:t xml:space="preserve">7.4</w:t>
            </w:r>
            <w:r>
              <w:rPr>
                <w:sz w:val="19"/>
                <w:szCs w:val="19"/>
              </w:rPr>
              <w:t xml:space="preserve">; research paper in Appendix I</w:t>
            </w:r>
          </w:p>
        </w:tc>
      </w:tr>
      <w:tr>
        <w:trPr>
          <w:cantSplit/>
        </w:trPr>
        <w:tc>
          <w:tcPr>
            <w:tcW w:w="1397" w:type="dxa"/>
            <w:vAlign w:val="center"/>
          </w:tcPr>
          <w:p>
            <w:pPr>
              <w:pStyle w:val="TableText"/>
              <w:keepNext/>
              <w:jc w:val="left"/>
            </w:pPr>
            <w:r>
              <w:rPr>
                <w:sz w:val="19"/>
                <w:szCs w:val="19"/>
              </w:rPr>
              <w:t xml:space="preserve">SDG 9: Industry, Innovation and Infrastructure</w:t>
            </w:r>
          </w:p>
        </w:tc>
        <w:tc>
          <w:tcPr>
            <w:tcW w:w="1659" w:type="dxa"/>
            <w:vAlign w:val="center"/>
          </w:tcPr>
          <w:p>
            <w:pPr>
              <w:pStyle w:val="TableText"/>
              <w:keepNext/>
              <w:jc w:val="left"/>
            </w:pPr>
            <w:r>
              <w:rPr>
                <w:sz w:val="19"/>
                <w:szCs w:val="19"/>
              </w:rPr>
              <w:t xml:space="preserve">9.4: upgrade infrastructure for greater reliability and efficiency</w:t>
            </w:r>
          </w:p>
        </w:tc>
        <w:tc>
          <w:tcPr>
            <w:tcW w:w="1921" w:type="dxa"/>
            <w:vAlign w:val="center"/>
          </w:tcPr>
          <w:p>
            <w:pPr>
              <w:pStyle w:val="TableText"/>
              <w:keepNext/>
              <w:jc w:val="left"/>
            </w:pPr>
            <w:r>
              <w:rPr>
                <w:sz w:val="19"/>
                <w:szCs w:val="19"/>
              </w:rPr>
              <w:t xml:space="preserve">End-to-end monitoring of deployed models with a stated false alarm rate</w:t>
            </w:r>
          </w:p>
        </w:tc>
        <w:tc>
          <w:tcPr>
            <w:tcW w:w="2271" w:type="dxa"/>
            <w:vAlign w:val="center"/>
          </w:tcPr>
          <w:p>
            <w:pPr>
              <w:pStyle w:val="TableText"/>
              <w:keepNext/>
              <w:jc w:val="left"/>
            </w:pPr>
            <w:r>
              <w:rPr>
                <w:sz w:val="19"/>
                <w:szCs w:val="19"/>
              </w:rPr>
              <w:t xml:space="preserve">Silent model failure is caught and explained instead of going unnoticed (expected contribution)</w:t>
            </w:r>
          </w:p>
        </w:tc>
        <w:tc>
          <w:tcPr>
            <w:tcW w:w="2009" w:type="dxa"/>
            <w:vAlign w:val="center"/>
          </w:tcPr>
          <w:p>
            <w:pPr>
              <w:pStyle w:val="TableText"/>
              <w:keepNext/>
              <w:jc w:val="left"/>
            </w:pPr>
            <w:r>
              <w:rPr>
                <w:sz w:val="19"/>
                <w:szCs w:val="19"/>
              </w:rPr>
              <w:t xml:space="preserve">No false alarm on any real control window; false alarm rate on benchmark controls in Section </w:t>
            </w:r>
            <w:r>
              <w:rPr>
                <w:sz w:val="19"/>
                <w:szCs w:val="19"/>
              </w:rPr>
              <w:t xml:space="preserve">7.4</w:t>
            </w:r>
          </w:p>
        </w:tc>
      </w:tr>
      <w:tr>
        <w:trPr>
          <w:cantSplit/>
        </w:trPr>
        <w:tc>
          <w:tcPr>
            <w:tcW w:w="1397" w:type="dxa"/>
            <w:vAlign w:val="center"/>
          </w:tcPr>
          <w:p>
            <w:pPr>
              <w:pStyle w:val="TableText"/>
              <w:jc w:val="left"/>
            </w:pPr>
            <w:r>
              <w:rPr>
                <w:sz w:val="19"/>
                <w:szCs w:val="19"/>
              </w:rPr>
              <w:t xml:space="preserve">SDG 12: Responsible Consumption and Production</w:t>
            </w:r>
          </w:p>
        </w:tc>
        <w:tc>
          <w:tcPr>
            <w:tcW w:w="1659" w:type="dxa"/>
            <w:vAlign w:val="center"/>
          </w:tcPr>
          <w:p>
            <w:pPr>
              <w:pStyle w:val="TableText"/>
              <w:jc w:val="left"/>
            </w:pPr>
            <w:r>
              <w:rPr>
                <w:sz w:val="19"/>
                <w:szCs w:val="19"/>
              </w:rPr>
              <w:t xml:space="preserve">12.2: efficient use of natural resources</w:t>
            </w:r>
          </w:p>
        </w:tc>
        <w:tc>
          <w:tcPr>
            <w:tcW w:w="1921" w:type="dxa"/>
            <w:vAlign w:val="center"/>
          </w:tcPr>
          <w:p>
            <w:pPr>
              <w:pStyle w:val="TableText"/>
              <w:jc w:val="left"/>
            </w:pPr>
            <w:r>
              <w:rPr>
                <w:sz w:val="19"/>
                <w:szCs w:val="19"/>
              </w:rPr>
              <w:t xml:space="preserve">Remediation triage, label-free decisions, frozen image embeddings, capped parallel workers</w:t>
            </w:r>
          </w:p>
        </w:tc>
        <w:tc>
          <w:tcPr>
            <w:tcW w:w="2271" w:type="dxa"/>
            <w:vAlign w:val="center"/>
          </w:tcPr>
          <w:p>
            <w:pPr>
              <w:pStyle w:val="TableText"/>
              <w:jc w:val="left"/>
            </w:pPr>
            <w:r>
              <w:rPr>
                <w:sz w:val="19"/>
                <w:szCs w:val="19"/>
              </w:rPr>
              <w:t xml:space="preserve">Avoids needless full retraining and most labeling; reuses computation (design intent, partly tested)</w:t>
            </w:r>
          </w:p>
        </w:tc>
        <w:tc>
          <w:tcPr>
            <w:tcW w:w="2009" w:type="dxa"/>
            <w:vAlign w:val="center"/>
          </w:tcPr>
          <w:p>
            <w:pPr>
              <w:pStyle w:val="TableText"/>
              <w:jc w:val="left"/>
            </w:pPr>
            <w:r>
              <w:rPr>
                <w:sz w:val="19"/>
                <w:szCs w:val="19"/>
              </w:rPr>
              <w:t xml:space="preserve">Triage accuracy in Section </w:t>
            </w:r>
            <w:r>
              <w:rPr>
                <w:sz w:val="19"/>
                <w:szCs w:val="19"/>
              </w:rPr>
              <w:t xml:space="preserve">7.4</w:t>
            </w:r>
            <w:r>
              <w:rPr>
                <w:sz w:val="19"/>
                <w:szCs w:val="19"/>
              </w:rPr>
              <w:t xml:space="preserve">; run time and energy estimates in Section </w:t>
            </w:r>
            <w:r>
              <w:rPr>
                <w:sz w:val="19"/>
                <w:szCs w:val="19"/>
              </w:rPr>
              <w:t xml:space="preserve">7.7</w:t>
            </w:r>
          </w:p>
        </w:tc>
      </w:tr>
      <w:tr>
        <w:trPr>
          <w:cantSplit/>
        </w:trPr>
        <w:tc>
          <w:tcPr>
            <w:tcW w:w="1397" w:type="dxa"/>
            <w:vAlign w:val="center"/>
          </w:tcPr>
          <w:p>
            <w:pPr>
              <w:pStyle w:val="TableText"/>
              <w:jc w:val="left"/>
            </w:pPr>
            <w:r>
              <w:rPr>
                <w:sz w:val="19"/>
                <w:szCs w:val="19"/>
              </w:rPr>
              <w:t xml:space="preserve">SDG 12: Responsible Consumption and Production</w:t>
            </w:r>
          </w:p>
        </w:tc>
        <w:tc>
          <w:tcPr>
            <w:tcW w:w="1659" w:type="dxa"/>
            <w:vAlign w:val="center"/>
          </w:tcPr>
          <w:p>
            <w:pPr>
              <w:pStyle w:val="TableText"/>
              <w:jc w:val="left"/>
            </w:pPr>
            <w:r>
              <w:rPr>
                <w:sz w:val="19"/>
                <w:szCs w:val="19"/>
              </w:rPr>
              <w:t xml:space="preserve">12.6: integrate sustainability information into reporting</w:t>
            </w:r>
          </w:p>
        </w:tc>
        <w:tc>
          <w:tcPr>
            <w:tcW w:w="1921" w:type="dxa"/>
            <w:vAlign w:val="center"/>
          </w:tcPr>
          <w:p>
            <w:pPr>
              <w:pStyle w:val="TableText"/>
              <w:jc w:val="left"/>
            </w:pPr>
            <w:r>
              <w:rPr>
                <w:sz w:val="19"/>
                <w:szCs w:val="19"/>
              </w:rPr>
              <w:t xml:space="preserve">Sustainability assessment of the project with indicators and stated limits</w:t>
            </w:r>
          </w:p>
        </w:tc>
        <w:tc>
          <w:tcPr>
            <w:tcW w:w="2271" w:type="dxa"/>
            <w:vAlign w:val="center"/>
          </w:tcPr>
          <w:p>
            <w:pPr>
              <w:pStyle w:val="TableText"/>
              <w:jc w:val="left"/>
            </w:pPr>
            <w:r>
              <w:rPr>
                <w:sz w:val="19"/>
                <w:szCs w:val="19"/>
              </w:rPr>
              <w:t xml:space="preserve">Reports energy, emissions, privacy and inclusion with method and evidence (tested output)</w:t>
            </w:r>
          </w:p>
        </w:tc>
        <w:tc>
          <w:tcPr>
            <w:tcW w:w="2009" w:type="dxa"/>
            <w:vAlign w:val="center"/>
          </w:tcPr>
          <w:p>
            <w:pPr>
              <w:pStyle w:val="TableText"/>
              <w:jc w:val="left"/>
            </w:pPr>
            <w:r>
              <w:rPr>
                <w:sz w:val="19"/>
                <w:szCs w:val="19"/>
              </w:rPr>
              <w:t xml:space="preserve">Section </w:t>
            </w:r>
            <w:r>
              <w:rPr>
                <w:sz w:val="19"/>
                <w:szCs w:val="19"/>
              </w:rPr>
              <w:t xml:space="preserve">7.7</w:t>
            </w:r>
          </w:p>
        </w:tc>
      </w:tr>
    </w:tbl>
    <w:p>
      <w:pPr>
        <w:spacing w:before="0" w:after="120" w:line="240" w:lineRule="auto"/>
      </w:pPr>
    </w:p>
    <w:p>
      <w:pPr>
        <w:pStyle w:val="Normal"/>
      </w:pPr>
      <w:r>
        <w:t xml:space="preserve">The link to Goal 9 is the most direct. The project develops and evaluates a new technical capability for keeping deployed models reliable, which is what target 9.5 describes and its monitoring makes digital infrastructure that depends on models more dependable, in the spirit of target 9.4. The link to Goal 12 rests on efficiency: a monitor that tells a team when retraining will not help and that needs labels for only a few hundred rows, saves computation and human labeling effort. The size of these savings in a real deployment has not been measured, so this report claims them as design intent and expected contribution only. Section </w:t>
      </w:r>
      <w:r>
        <w:t xml:space="preserve">7.7</w:t>
      </w:r>
      <w:r>
        <w:t xml:space="preserve"> returns to both goals with the evidence gathered during the project.</w:t>
      </w:r>
    </w:p>
    <w:p>
      <w:pPr>
        <w:pStyle w:val="Heading1"/>
      </w:pPr>
      <w:r>
        <w:t xml:space="preserve">CHAPTER 2: LITERATURE SURVEY</w:t>
      </w:r>
    </w:p>
    <w:p>
      <w:pPr>
        <w:pStyle w:val="Normal"/>
      </w:pPr>
      <w:r>
        <w:t xml:space="preserve">Before designing the system we studied how others have approached drift: how the types of drift are defined, how drift is detected, how a change in the class balance is estimated, how accuracy can be estimated without labels and how the findings are explained. This chapter reports that survey, a search of granted and published patents, the conclusions we drew, a comparison of ResilientAI with the closest existing systems and an analysis of whether the project was feasible.</w:t>
      </w:r>
    </w:p>
    <w:p>
      <w:pPr>
        <w:pStyle w:val="Heading2"/>
      </w:pPr>
      <w:r>
        <w:t xml:space="preserve">2.1 Brief Overview of the Literature Survey</w:t>
      </w:r>
    </w:p>
    <w:p>
      <w:pPr>
        <w:pStyle w:val="Normal"/>
      </w:pPr>
      <w:r>
        <w:t xml:space="preserve">The survey had one guiding question: which parts of drift monitoring are solved and which are not? We searched IEEE Xplore, the ACM Digital Library, SpringerLink, the proceedings of NeurIPS, ICML and ICLR, arXiv and Google Scholar with the keywords dataset shift, covariate shift, label shift, prior shift, concept drift, label noise, drift detection, two-sample test, performance estimation without labels, model monitoring and machine learning operations. Two surveys of concept drift </w:t>
      </w:r>
      <w:r>
        <w:t xml:space="preserve">[18], [19]</w:t>
      </w:r>
      <w:r>
        <w:t xml:space="preserve">, a formal characterization of the kinds of drift </w:t>
      </w:r>
      <w:r>
        <w:t xml:space="preserve">[20]</w:t>
      </w:r>
      <w:r>
        <w:t xml:space="preserve"> and a book on dataset shift </w:t>
      </w:r>
      <w:r>
        <w:t xml:space="preserve">[2]</w:t>
      </w:r>
      <w:r>
        <w:t xml:space="preserve"> served as starting points and we followed their references forward and backward.</w:t>
      </w:r>
    </w:p>
    <w:p>
      <w:pPr>
        <w:pStyle w:val="Normal"/>
      </w:pPr>
      <w:r>
        <w:t xml:space="preserve">A paper was kept if it proposed or evaluated a method for detecting, estimating or explaining a change between training and production data, or if it supplied data with a documented shift. We preferred peer-reviewed work and recent papers, but kept older ones that remain the standard reference for a method. Documentation of monitoring software was read for context. Table </w:t>
      </w:r>
      <w:r>
        <w:t xml:space="preserve">2.1</w:t>
      </w:r>
      <w:r>
        <w:t xml:space="preserve"> summarizes the papers that shaped the design.</w:t>
      </w:r>
    </w:p>
    <w:p>
      <w:pPr>
        <w:pStyle w:val="Heading2"/>
      </w:pPr>
      <w:r>
        <w:t xml:space="preserve">2.2 Related Works / Research Papers Referred</w:t>
      </w:r>
    </w:p>
    <w:p>
      <w:pPr>
        <w:pStyle w:val="Normal"/>
      </w:pPr>
      <w:r>
        <w:t xml:space="preserve">The papers fall into five groups. Each group below is introduced briefly and Table </w:t>
      </w:r>
      <w:r>
        <w:t xml:space="preserve">2.1</w:t>
      </w:r>
      <w:r>
        <w:t xml:space="preserve"> lists the method, findings and limitations of each paper together with the inference we drew for this project.</w:t>
      </w:r>
    </w:p>
    <w:p>
      <w:pPr>
        <w:pStyle w:val="TableCaption"/>
      </w:pPr>
      <w:r>
        <w:rPr>
          <w:b/>
          <w:bCs/>
        </w:rPr>
        <w:t xml:space="preserve">Table 2.1: </w:t>
      </w:r>
      <w:r>
        <w:t xml:space="preserve">Research papers referred, with the inference drawn for this project</w:t>
      </w:r>
    </w:p>
    <w:tbl>
      <w:tblPr>
        <w:tblW w:w="925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30" w:type="dxa"/>
          <w:left w:w="80" w:type="dxa"/>
          <w:bottom w:w="30" w:type="dxa"/>
          <w:right w:w="80" w:type="dxa"/>
        </w:tblCellMar>
        <w:tblLook w:val="0000"/>
      </w:tblPr>
      <w:tblGrid>
        <w:gridCol w:w="1639"/>
        <w:gridCol w:w="2218"/>
        <w:gridCol w:w="2507"/>
        <w:gridCol w:w="2893"/>
      </w:tblGrid>
      <w:tr>
        <w:trPr>
          <w:cantSplit/>
          <w:tblHeader/>
        </w:trPr>
        <w:tc>
          <w:tcPr>
            <w:tcW w:w="1639" w:type="dxa"/>
            <w:shd w:val="clear" w:color="auto" w:fill="D9E2F3"/>
            <w:vAlign w:val="center"/>
          </w:tcPr>
          <w:p>
            <w:pPr>
              <w:pStyle w:val="TableText"/>
              <w:keepNext/>
              <w:jc w:val="center"/>
            </w:pPr>
            <w:r>
              <w:rPr>
                <w:sz w:val="18"/>
                <w:szCs w:val="18"/>
                <w:b/>
                <w:bCs/>
              </w:rPr>
              <w:t xml:space="preserve">Paper</w:t>
            </w:r>
          </w:p>
        </w:tc>
        <w:tc>
          <w:tcPr>
            <w:tcW w:w="2218" w:type="dxa"/>
            <w:shd w:val="clear" w:color="auto" w:fill="D9E2F3"/>
            <w:vAlign w:val="center"/>
          </w:tcPr>
          <w:p>
            <w:pPr>
              <w:pStyle w:val="TableText"/>
              <w:keepNext/>
              <w:jc w:val="center"/>
            </w:pPr>
            <w:r>
              <w:rPr>
                <w:sz w:val="18"/>
                <w:szCs w:val="18"/>
                <w:b/>
                <w:bCs/>
              </w:rPr>
              <w:t xml:space="preserve">Method / approach</w:t>
            </w:r>
          </w:p>
        </w:tc>
        <w:tc>
          <w:tcPr>
            <w:tcW w:w="2507" w:type="dxa"/>
            <w:shd w:val="clear" w:color="auto" w:fill="D9E2F3"/>
            <w:vAlign w:val="center"/>
          </w:tcPr>
          <w:p>
            <w:pPr>
              <w:pStyle w:val="TableText"/>
              <w:keepNext/>
              <w:jc w:val="center"/>
            </w:pPr>
            <w:r>
              <w:rPr>
                <w:sz w:val="18"/>
                <w:szCs w:val="18"/>
                <w:b/>
                <w:bCs/>
              </w:rPr>
              <w:t xml:space="preserve">Key findings</w:t>
            </w:r>
          </w:p>
        </w:tc>
        <w:tc>
          <w:tcPr>
            <w:tcW w:w="2893" w:type="dxa"/>
            <w:shd w:val="clear" w:color="auto" w:fill="D9E2F3"/>
            <w:vAlign w:val="center"/>
          </w:tcPr>
          <w:p>
            <w:pPr>
              <w:pStyle w:val="TableText"/>
              <w:keepNext/>
              <w:jc w:val="center"/>
            </w:pPr>
            <w:r>
              <w:rPr>
                <w:sz w:val="18"/>
                <w:szCs w:val="18"/>
                <w:b/>
                <w:bCs/>
              </w:rPr>
              <w:t xml:space="preserve">Limitations / inference</w:t>
            </w:r>
          </w:p>
        </w:tc>
      </w:tr>
      <w:tr>
        <w:trPr>
          <w:cantSplit/>
        </w:trPr>
        <w:tc>
          <w:tcPr>
            <w:tcW w:w="1639" w:type="dxa"/>
            <w:vAlign w:val="center"/>
          </w:tcPr>
          <w:p>
            <w:pPr>
              <w:pStyle w:val="TableText"/>
              <w:keepNext/>
              <w:jc w:val="left"/>
            </w:pPr>
            <w:r>
              <w:rPr>
                <w:sz w:val="18"/>
                <w:szCs w:val="18"/>
              </w:rPr>
              <w:t xml:space="preserve">Moreno-Torres et al., 2012 </w:t>
            </w:r>
            <w:r>
              <w:rPr>
                <w:sz w:val="18"/>
                <w:szCs w:val="18"/>
              </w:rPr>
              <w:t xml:space="preserve">[1]</w:t>
            </w:r>
          </w:p>
        </w:tc>
        <w:tc>
          <w:tcPr>
            <w:tcW w:w="2218" w:type="dxa"/>
            <w:vAlign w:val="center"/>
          </w:tcPr>
          <w:p>
            <w:pPr>
              <w:pStyle w:val="TableText"/>
              <w:keepNext/>
              <w:jc w:val="left"/>
            </w:pPr>
            <w:r>
              <w:rPr>
                <w:sz w:val="18"/>
                <w:szCs w:val="18"/>
              </w:rPr>
              <w:t xml:space="preserve">Taxonomy of dataset shift by the part of the joint distribution that changes</w:t>
            </w:r>
          </w:p>
        </w:tc>
        <w:tc>
          <w:tcPr>
            <w:tcW w:w="2507" w:type="dxa"/>
            <w:vAlign w:val="center"/>
          </w:tcPr>
          <w:p>
            <w:pPr>
              <w:pStyle w:val="TableText"/>
              <w:keepNext/>
              <w:jc w:val="left"/>
            </w:pPr>
            <w:r>
              <w:rPr>
                <w:sz w:val="18"/>
                <w:szCs w:val="18"/>
              </w:rPr>
              <w:t xml:space="preserve">Defines covariate shift, prior shift and concept shift precisely</w:t>
            </w:r>
          </w:p>
        </w:tc>
        <w:tc>
          <w:tcPr>
            <w:tcW w:w="2893" w:type="dxa"/>
            <w:vAlign w:val="center"/>
          </w:tcPr>
          <w:p>
            <w:pPr>
              <w:pStyle w:val="TableText"/>
              <w:keepNext/>
              <w:jc w:val="left"/>
            </w:pPr>
            <w:r>
              <w:rPr>
                <w:sz w:val="18"/>
                <w:szCs w:val="18"/>
              </w:rPr>
              <w:t xml:space="preserve">Gives definitions, not tests; we test each definition directly</w:t>
            </w:r>
          </w:p>
        </w:tc>
      </w:tr>
      <w:tr>
        <w:trPr>
          <w:cantSplit/>
        </w:trPr>
        <w:tc>
          <w:tcPr>
            <w:tcW w:w="1639" w:type="dxa"/>
            <w:vAlign w:val="center"/>
          </w:tcPr>
          <w:p>
            <w:pPr>
              <w:pStyle w:val="TableText"/>
              <w:keepNext/>
              <w:jc w:val="left"/>
            </w:pPr>
            <w:r>
              <w:rPr>
                <w:sz w:val="18"/>
                <w:szCs w:val="18"/>
              </w:rPr>
              <w:t xml:space="preserve">Gama et al., 2004 </w:t>
            </w:r>
            <w:r>
              <w:rPr>
                <w:sz w:val="18"/>
                <w:szCs w:val="18"/>
              </w:rPr>
              <w:t xml:space="preserve">[7]</w:t>
            </w:r>
          </w:p>
        </w:tc>
        <w:tc>
          <w:tcPr>
            <w:tcW w:w="2218" w:type="dxa"/>
            <w:vAlign w:val="center"/>
          </w:tcPr>
          <w:p>
            <w:pPr>
              <w:pStyle w:val="TableText"/>
              <w:keepNext/>
              <w:jc w:val="left"/>
            </w:pPr>
            <w:r>
              <w:rPr>
                <w:sz w:val="18"/>
                <w:szCs w:val="18"/>
              </w:rPr>
              <w:t xml:space="preserve">Drift detection method: tracks the error rate of the model online</w:t>
            </w:r>
          </w:p>
        </w:tc>
        <w:tc>
          <w:tcPr>
            <w:tcW w:w="2507" w:type="dxa"/>
            <w:vAlign w:val="center"/>
          </w:tcPr>
          <w:p>
            <w:pPr>
              <w:pStyle w:val="TableText"/>
              <w:keepNext/>
              <w:jc w:val="left"/>
            </w:pPr>
            <w:r>
              <w:rPr>
                <w:sz w:val="18"/>
                <w:szCs w:val="18"/>
              </w:rPr>
              <w:t xml:space="preserve">Detects concept drift as a rise in errors</w:t>
            </w:r>
          </w:p>
        </w:tc>
        <w:tc>
          <w:tcPr>
            <w:tcW w:w="2893" w:type="dxa"/>
            <w:vAlign w:val="center"/>
          </w:tcPr>
          <w:p>
            <w:pPr>
              <w:pStyle w:val="TableText"/>
              <w:keepNext/>
              <w:jc w:val="left"/>
            </w:pPr>
            <w:r>
              <w:rPr>
                <w:sz w:val="18"/>
                <w:szCs w:val="18"/>
              </w:rPr>
              <w:t xml:space="preserve">Needs a label for every prediction and cannot tell concept drift from label noise</w:t>
            </w:r>
          </w:p>
        </w:tc>
      </w:tr>
      <w:tr>
        <w:trPr>
          <w:cantSplit/>
        </w:trPr>
        <w:tc>
          <w:tcPr>
            <w:tcW w:w="1639" w:type="dxa"/>
            <w:vAlign w:val="center"/>
          </w:tcPr>
          <w:p>
            <w:pPr>
              <w:pStyle w:val="TableText"/>
              <w:jc w:val="left"/>
            </w:pPr>
            <w:r>
              <w:rPr>
                <w:sz w:val="18"/>
                <w:szCs w:val="18"/>
              </w:rPr>
              <w:t xml:space="preserve">Bifet and Gavaldà, 2007 </w:t>
            </w:r>
            <w:r>
              <w:rPr>
                <w:sz w:val="18"/>
                <w:szCs w:val="18"/>
              </w:rPr>
              <w:t xml:space="preserve">[8]</w:t>
            </w:r>
          </w:p>
        </w:tc>
        <w:tc>
          <w:tcPr>
            <w:tcW w:w="2218" w:type="dxa"/>
            <w:vAlign w:val="center"/>
          </w:tcPr>
          <w:p>
            <w:pPr>
              <w:pStyle w:val="TableText"/>
              <w:jc w:val="left"/>
            </w:pPr>
            <w:r>
              <w:rPr>
                <w:sz w:val="18"/>
                <w:szCs w:val="18"/>
              </w:rPr>
              <w:t xml:space="preserve">ADWIN: adaptive windows over a data stream</w:t>
            </w:r>
          </w:p>
        </w:tc>
        <w:tc>
          <w:tcPr>
            <w:tcW w:w="2507" w:type="dxa"/>
            <w:vAlign w:val="center"/>
          </w:tcPr>
          <w:p>
            <w:pPr>
              <w:pStyle w:val="TableText"/>
              <w:jc w:val="left"/>
            </w:pPr>
            <w:r>
              <w:rPr>
                <w:sz w:val="18"/>
                <w:szCs w:val="18"/>
              </w:rPr>
              <w:t xml:space="preserve">Detects change in a stream with bounds on false alarms</w:t>
            </w:r>
          </w:p>
        </w:tc>
        <w:tc>
          <w:tcPr>
            <w:tcW w:w="2893" w:type="dxa"/>
            <w:vAlign w:val="center"/>
          </w:tcPr>
          <w:p>
            <w:pPr>
              <w:pStyle w:val="TableText"/>
              <w:jc w:val="left"/>
            </w:pPr>
            <w:r>
              <w:rPr>
                <w:sz w:val="18"/>
                <w:szCs w:val="18"/>
              </w:rPr>
              <w:t xml:space="preserve">Watches one statistic; says that a change happened, not its type</w:t>
            </w:r>
          </w:p>
        </w:tc>
      </w:tr>
      <w:tr>
        <w:trPr>
          <w:cantSplit/>
        </w:trPr>
        <w:tc>
          <w:tcPr>
            <w:tcW w:w="1639" w:type="dxa"/>
            <w:vAlign w:val="center"/>
          </w:tcPr>
          <w:p>
            <w:pPr>
              <w:pStyle w:val="TableText"/>
              <w:jc w:val="left"/>
            </w:pPr>
            <w:r>
              <w:rPr>
                <w:sz w:val="18"/>
                <w:szCs w:val="18"/>
              </w:rPr>
              <w:t xml:space="preserve">Gretton et al., 2012 </w:t>
            </w:r>
            <w:r>
              <w:rPr>
                <w:sz w:val="18"/>
                <w:szCs w:val="18"/>
              </w:rPr>
              <w:t xml:space="preserve">[9]</w:t>
            </w:r>
          </w:p>
        </w:tc>
        <w:tc>
          <w:tcPr>
            <w:tcW w:w="2218" w:type="dxa"/>
            <w:vAlign w:val="center"/>
          </w:tcPr>
          <w:p>
            <w:pPr>
              <w:pStyle w:val="TableText"/>
              <w:jc w:val="left"/>
            </w:pPr>
            <w:r>
              <w:rPr>
                <w:sz w:val="18"/>
                <w:szCs w:val="18"/>
              </w:rPr>
              <w:t xml:space="preserve">Kernel two-sample test (maximum mean discrepancy)</w:t>
            </w:r>
          </w:p>
        </w:tc>
        <w:tc>
          <w:tcPr>
            <w:tcW w:w="2507" w:type="dxa"/>
            <w:vAlign w:val="center"/>
          </w:tcPr>
          <w:p>
            <w:pPr>
              <w:pStyle w:val="TableText"/>
              <w:jc w:val="left"/>
            </w:pPr>
            <w:r>
              <w:rPr>
                <w:sz w:val="18"/>
                <w:szCs w:val="18"/>
              </w:rPr>
              <w:t xml:space="preserve">Detects differences between multivariate distributions</w:t>
            </w:r>
          </w:p>
        </w:tc>
        <w:tc>
          <w:tcPr>
            <w:tcW w:w="2893" w:type="dxa"/>
            <w:vAlign w:val="center"/>
          </w:tcPr>
          <w:p>
            <w:pPr>
              <w:pStyle w:val="TableText"/>
              <w:jc w:val="left"/>
            </w:pPr>
            <w:r>
              <w:rPr>
                <w:sz w:val="18"/>
                <w:szCs w:val="18"/>
              </w:rPr>
              <w:t xml:space="preserve">Sees joint changes that per-feature tests miss; used as one block of our label-free stage</w:t>
            </w:r>
          </w:p>
        </w:tc>
      </w:tr>
      <w:tr>
        <w:trPr>
          <w:cantSplit/>
        </w:trPr>
        <w:tc>
          <w:tcPr>
            <w:tcW w:w="1639" w:type="dxa"/>
            <w:vAlign w:val="center"/>
          </w:tcPr>
          <w:p>
            <w:pPr>
              <w:pStyle w:val="TableText"/>
              <w:jc w:val="left"/>
            </w:pPr>
            <w:r>
              <w:rPr>
                <w:sz w:val="18"/>
                <w:szCs w:val="18"/>
              </w:rPr>
              <w:t xml:space="preserve">Lopez-Paz and Oquab, 2017 </w:t>
            </w:r>
            <w:r>
              <w:rPr>
                <w:sz w:val="18"/>
                <w:szCs w:val="18"/>
              </w:rPr>
              <w:t xml:space="preserve">[10]</w:t>
            </w:r>
          </w:p>
        </w:tc>
        <w:tc>
          <w:tcPr>
            <w:tcW w:w="2218" w:type="dxa"/>
            <w:vAlign w:val="center"/>
          </w:tcPr>
          <w:p>
            <w:pPr>
              <w:pStyle w:val="TableText"/>
              <w:jc w:val="left"/>
            </w:pPr>
            <w:r>
              <w:rPr>
                <w:sz w:val="18"/>
                <w:szCs w:val="18"/>
              </w:rPr>
              <w:t xml:space="preserve">Classifier two-sample test</w:t>
            </w:r>
          </w:p>
        </w:tc>
        <w:tc>
          <w:tcPr>
            <w:tcW w:w="2507" w:type="dxa"/>
            <w:vAlign w:val="center"/>
          </w:tcPr>
          <w:p>
            <w:pPr>
              <w:pStyle w:val="TableText"/>
              <w:jc w:val="left"/>
            </w:pPr>
            <w:r>
              <w:rPr>
                <w:sz w:val="18"/>
                <w:szCs w:val="18"/>
              </w:rPr>
              <w:t xml:space="preserve">A classifier that separates two samples better than chance shows that they differ</w:t>
            </w:r>
          </w:p>
        </w:tc>
        <w:tc>
          <w:tcPr>
            <w:tcW w:w="2893" w:type="dxa"/>
            <w:vAlign w:val="center"/>
          </w:tcPr>
          <w:p>
            <w:pPr>
              <w:pStyle w:val="TableText"/>
              <w:jc w:val="left"/>
            </w:pPr>
            <w:r>
              <w:rPr>
                <w:sz w:val="18"/>
                <w:szCs w:val="18"/>
              </w:rPr>
              <w:t xml:space="preserve">Used as a baseline detector; gives no drift type</w:t>
            </w:r>
          </w:p>
        </w:tc>
      </w:tr>
      <w:tr>
        <w:trPr>
          <w:cantSplit/>
        </w:trPr>
        <w:tc>
          <w:tcPr>
            <w:tcW w:w="1639" w:type="dxa"/>
            <w:vAlign w:val="center"/>
          </w:tcPr>
          <w:p>
            <w:pPr>
              <w:pStyle w:val="TableText"/>
              <w:jc w:val="left"/>
            </w:pPr>
            <w:r>
              <w:rPr>
                <w:sz w:val="18"/>
                <w:szCs w:val="18"/>
              </w:rPr>
              <w:t xml:space="preserve">Rabanser et al., 2019 </w:t>
            </w:r>
            <w:r>
              <w:rPr>
                <w:sz w:val="18"/>
                <w:szCs w:val="18"/>
              </w:rPr>
              <w:t xml:space="preserve">[3]</w:t>
            </w:r>
          </w:p>
        </w:tc>
        <w:tc>
          <w:tcPr>
            <w:tcW w:w="2218" w:type="dxa"/>
            <w:vAlign w:val="center"/>
          </w:tcPr>
          <w:p>
            <w:pPr>
              <w:pStyle w:val="TableText"/>
              <w:jc w:val="left"/>
            </w:pPr>
            <w:r>
              <w:rPr>
                <w:sz w:val="18"/>
                <w:szCs w:val="18"/>
              </w:rPr>
              <w:t xml:space="preserve">Compares univariate, kernel, classifier and black-box shift detectors on injected shift</w:t>
            </w:r>
          </w:p>
        </w:tc>
        <w:tc>
          <w:tcPr>
            <w:tcW w:w="2507" w:type="dxa"/>
            <w:vAlign w:val="center"/>
          </w:tcPr>
          <w:p>
            <w:pPr>
              <w:pStyle w:val="TableText"/>
              <w:jc w:val="left"/>
            </w:pPr>
            <w:r>
              <w:rPr>
                <w:sz w:val="18"/>
                <w:szCs w:val="18"/>
              </w:rPr>
              <w:t xml:space="preserve">Black-box shift detection on the model outputs works best overall</w:t>
            </w:r>
          </w:p>
        </w:tc>
        <w:tc>
          <w:tcPr>
            <w:tcW w:w="2893" w:type="dxa"/>
            <w:vAlign w:val="center"/>
          </w:tcPr>
          <w:p>
            <w:pPr>
              <w:pStyle w:val="TableText"/>
              <w:jc w:val="left"/>
            </w:pPr>
            <w:r>
              <w:rPr>
                <w:sz w:val="18"/>
                <w:szCs w:val="18"/>
              </w:rPr>
              <w:t xml:space="preserve">Detects shift but does not name its type; their injected benchmark inspired ours</w:t>
            </w:r>
          </w:p>
        </w:tc>
      </w:tr>
      <w:tr>
        <w:trPr>
          <w:cantSplit/>
        </w:trPr>
        <w:tc>
          <w:tcPr>
            <w:tcW w:w="1639" w:type="dxa"/>
            <w:vAlign w:val="center"/>
          </w:tcPr>
          <w:p>
            <w:pPr>
              <w:pStyle w:val="TableText"/>
              <w:jc w:val="left"/>
            </w:pPr>
            <w:r>
              <w:rPr>
                <w:sz w:val="18"/>
                <w:szCs w:val="18"/>
              </w:rPr>
              <w:t xml:space="preserve">Lipton et al., 2018 </w:t>
            </w:r>
            <w:r>
              <w:rPr>
                <w:sz w:val="18"/>
                <w:szCs w:val="18"/>
              </w:rPr>
              <w:t xml:space="preserve">[11]</w:t>
            </w:r>
          </w:p>
        </w:tc>
        <w:tc>
          <w:tcPr>
            <w:tcW w:w="2218" w:type="dxa"/>
            <w:vAlign w:val="center"/>
          </w:tcPr>
          <w:p>
            <w:pPr>
              <w:pStyle w:val="TableText"/>
              <w:jc w:val="left"/>
            </w:pPr>
            <w:r>
              <w:rPr>
                <w:sz w:val="18"/>
                <w:szCs w:val="18"/>
              </w:rPr>
              <w:t xml:space="preserve">Black-box shift estimation of the new class prior from the confusion matrix</w:t>
            </w:r>
          </w:p>
        </w:tc>
        <w:tc>
          <w:tcPr>
            <w:tcW w:w="2507" w:type="dxa"/>
            <w:vAlign w:val="center"/>
          </w:tcPr>
          <w:p>
            <w:pPr>
              <w:pStyle w:val="TableText"/>
              <w:jc w:val="left"/>
            </w:pPr>
            <w:r>
              <w:rPr>
                <w:sz w:val="18"/>
                <w:szCs w:val="18"/>
              </w:rPr>
              <w:t xml:space="preserve">Recovers label shift from any classifier</w:t>
            </w:r>
          </w:p>
        </w:tc>
        <w:tc>
          <w:tcPr>
            <w:tcW w:w="2893" w:type="dxa"/>
            <w:vAlign w:val="center"/>
          </w:tcPr>
          <w:p>
            <w:pPr>
              <w:pStyle w:val="TableText"/>
              <w:jc w:val="left"/>
            </w:pPr>
            <w:r>
              <w:rPr>
                <w:sz w:val="18"/>
                <w:szCs w:val="18"/>
              </w:rPr>
              <w:t xml:space="preserve">Assumes the inputs within each class do not change; we test that assumption</w:t>
            </w:r>
          </w:p>
        </w:tc>
      </w:tr>
      <w:tr>
        <w:trPr>
          <w:cantSplit/>
        </w:trPr>
        <w:tc>
          <w:tcPr>
            <w:tcW w:w="1639" w:type="dxa"/>
            <w:vAlign w:val="center"/>
          </w:tcPr>
          <w:p>
            <w:pPr>
              <w:pStyle w:val="TableText"/>
              <w:jc w:val="left"/>
            </w:pPr>
            <w:r>
              <w:rPr>
                <w:sz w:val="18"/>
                <w:szCs w:val="18"/>
              </w:rPr>
              <w:t xml:space="preserve">Maia Polo et al., 2023 </w:t>
            </w:r>
            <w:r>
              <w:rPr>
                <w:sz w:val="18"/>
                <w:szCs w:val="18"/>
              </w:rPr>
              <w:t xml:space="preserve">[15]</w:t>
            </w:r>
          </w:p>
        </w:tc>
        <w:tc>
          <w:tcPr>
            <w:tcW w:w="2218" w:type="dxa"/>
            <w:vAlign w:val="center"/>
          </w:tcPr>
          <w:p>
            <w:pPr>
              <w:pStyle w:val="TableText"/>
              <w:jc w:val="left"/>
            </w:pPr>
            <w:r>
              <w:rPr>
                <w:sz w:val="18"/>
                <w:szCs w:val="18"/>
              </w:rPr>
              <w:t xml:space="preserve">DetectShift: tests each part of the joint distribution</w:t>
            </w:r>
          </w:p>
        </w:tc>
        <w:tc>
          <w:tcPr>
            <w:tcW w:w="2507" w:type="dxa"/>
            <w:vAlign w:val="center"/>
          </w:tcPr>
          <w:p>
            <w:pPr>
              <w:pStyle w:val="TableText"/>
              <w:jc w:val="left"/>
            </w:pPr>
            <w:r>
              <w:rPr>
                <w:sz w:val="18"/>
                <w:szCs w:val="18"/>
              </w:rPr>
              <w:t xml:space="preserve">Names shift types with error control</w:t>
            </w:r>
          </w:p>
        </w:tc>
        <w:tc>
          <w:tcPr>
            <w:tcW w:w="2893" w:type="dxa"/>
            <w:vAlign w:val="center"/>
          </w:tcPr>
          <w:p>
            <w:pPr>
              <w:pStyle w:val="TableText"/>
              <w:jc w:val="left"/>
            </w:pPr>
            <w:r>
              <w:rPr>
                <w:sz w:val="18"/>
                <w:szCs w:val="18"/>
              </w:rPr>
              <w:t xml:space="preserve">Needs labeled production data; does not treat label noise</w:t>
            </w:r>
          </w:p>
        </w:tc>
      </w:tr>
      <w:tr>
        <w:trPr>
          <w:cantSplit/>
        </w:trPr>
        <w:tc>
          <w:tcPr>
            <w:tcW w:w="1639" w:type="dxa"/>
            <w:vAlign w:val="center"/>
          </w:tcPr>
          <w:p>
            <w:pPr>
              <w:pStyle w:val="TableText"/>
              <w:jc w:val="left"/>
            </w:pPr>
            <w:r>
              <w:rPr>
                <w:sz w:val="18"/>
                <w:szCs w:val="18"/>
              </w:rPr>
              <w:t xml:space="preserve">Roschewitz et al., 2025 </w:t>
            </w:r>
            <w:r>
              <w:rPr>
                <w:sz w:val="18"/>
                <w:szCs w:val="18"/>
              </w:rPr>
              <w:t xml:space="preserve">[21]</w:t>
            </w:r>
          </w:p>
        </w:tc>
        <w:tc>
          <w:tcPr>
            <w:tcW w:w="2218" w:type="dxa"/>
            <w:vAlign w:val="center"/>
          </w:tcPr>
          <w:p>
            <w:pPr>
              <w:pStyle w:val="TableText"/>
              <w:jc w:val="left"/>
            </w:pPr>
            <w:r>
              <w:rPr>
                <w:sz w:val="18"/>
                <w:szCs w:val="18"/>
              </w:rPr>
              <w:t xml:space="preserve">Resamples reference data to the estimated prevalence and re-tests the features</w:t>
            </w:r>
          </w:p>
        </w:tc>
        <w:tc>
          <w:tcPr>
            <w:tcW w:w="2507" w:type="dxa"/>
            <w:vAlign w:val="center"/>
          </w:tcPr>
          <w:p>
            <w:pPr>
              <w:pStyle w:val="TableText"/>
              <w:jc w:val="left"/>
            </w:pPr>
            <w:r>
              <w:rPr>
                <w:sz w:val="18"/>
                <w:szCs w:val="18"/>
              </w:rPr>
              <w:t xml:space="preserve">Separates prevalence shift from covariate shift on medical images without labels</w:t>
            </w:r>
          </w:p>
        </w:tc>
        <w:tc>
          <w:tcPr>
            <w:tcW w:w="2893" w:type="dxa"/>
            <w:vAlign w:val="center"/>
          </w:tcPr>
          <w:p>
            <w:pPr>
              <w:pStyle w:val="TableText"/>
              <w:jc w:val="left"/>
            </w:pPr>
            <w:r>
              <w:rPr>
                <w:sz w:val="18"/>
                <w:szCs w:val="18"/>
              </w:rPr>
              <w:t xml:space="preserve">Our label-free stage follows the same idea with weights and one error-controlled family</w:t>
            </w:r>
          </w:p>
        </w:tc>
      </w:tr>
      <w:tr>
        <w:trPr>
          <w:cantSplit/>
        </w:trPr>
        <w:tc>
          <w:tcPr>
            <w:tcW w:w="1639" w:type="dxa"/>
            <w:vAlign w:val="center"/>
          </w:tcPr>
          <w:p>
            <w:pPr>
              <w:pStyle w:val="TableText"/>
              <w:jc w:val="left"/>
            </w:pPr>
            <w:r>
              <w:rPr>
                <w:sz w:val="18"/>
                <w:szCs w:val="18"/>
              </w:rPr>
              <w:t xml:space="preserve">Hendrycks and Gimpel, 2017 </w:t>
            </w:r>
            <w:r>
              <w:rPr>
                <w:sz w:val="18"/>
                <w:szCs w:val="18"/>
              </w:rPr>
              <w:t xml:space="preserve">[22]</w:t>
            </w:r>
          </w:p>
        </w:tc>
        <w:tc>
          <w:tcPr>
            <w:tcW w:w="2218" w:type="dxa"/>
            <w:vAlign w:val="center"/>
          </w:tcPr>
          <w:p>
            <w:pPr>
              <w:pStyle w:val="TableText"/>
              <w:jc w:val="left"/>
            </w:pPr>
            <w:r>
              <w:rPr>
                <w:sz w:val="18"/>
                <w:szCs w:val="18"/>
              </w:rPr>
              <w:t xml:space="preserve">Maximum softmax probability as a baseline signal</w:t>
            </w:r>
          </w:p>
        </w:tc>
        <w:tc>
          <w:tcPr>
            <w:tcW w:w="2507" w:type="dxa"/>
            <w:vAlign w:val="center"/>
          </w:tcPr>
          <w:p>
            <w:pPr>
              <w:pStyle w:val="TableText"/>
              <w:jc w:val="left"/>
            </w:pPr>
            <w:r>
              <w:rPr>
                <w:sz w:val="18"/>
                <w:szCs w:val="18"/>
              </w:rPr>
              <w:t xml:space="preserve">Confidence separates correct from wrong predictions and in- from out-of-distribution inputs</w:t>
            </w:r>
          </w:p>
        </w:tc>
        <w:tc>
          <w:tcPr>
            <w:tcW w:w="2893" w:type="dxa"/>
            <w:vAlign w:val="center"/>
          </w:tcPr>
          <w:p>
            <w:pPr>
              <w:pStyle w:val="TableText"/>
              <w:jc w:val="left"/>
            </w:pPr>
            <w:r>
              <w:rPr>
                <w:sz w:val="18"/>
                <w:szCs w:val="18"/>
              </w:rPr>
              <w:t xml:space="preserve">Basis of average confidence, an accuracy estimate we compare</w:t>
            </w:r>
          </w:p>
        </w:tc>
      </w:tr>
      <w:tr>
        <w:trPr>
          <w:cantSplit/>
        </w:trPr>
        <w:tc>
          <w:tcPr>
            <w:tcW w:w="1639" w:type="dxa"/>
            <w:vAlign w:val="center"/>
          </w:tcPr>
          <w:p>
            <w:pPr>
              <w:pStyle w:val="TableText"/>
              <w:jc w:val="left"/>
            </w:pPr>
            <w:r>
              <w:rPr>
                <w:sz w:val="18"/>
                <w:szCs w:val="18"/>
              </w:rPr>
              <w:t xml:space="preserve">Guillory et al., 2021 </w:t>
            </w:r>
            <w:r>
              <w:rPr>
                <w:sz w:val="18"/>
                <w:szCs w:val="18"/>
              </w:rPr>
              <w:t xml:space="preserve">[23]</w:t>
            </w:r>
          </w:p>
        </w:tc>
        <w:tc>
          <w:tcPr>
            <w:tcW w:w="2218" w:type="dxa"/>
            <w:vAlign w:val="center"/>
          </w:tcPr>
          <w:p>
            <w:pPr>
              <w:pStyle w:val="TableText"/>
              <w:jc w:val="left"/>
            </w:pPr>
            <w:r>
              <w:rPr>
                <w:sz w:val="18"/>
                <w:szCs w:val="18"/>
              </w:rPr>
              <w:t xml:space="preserve">Difference of confidences between reference and target</w:t>
            </w:r>
          </w:p>
        </w:tc>
        <w:tc>
          <w:tcPr>
            <w:tcW w:w="2507" w:type="dxa"/>
            <w:vAlign w:val="center"/>
          </w:tcPr>
          <w:p>
            <w:pPr>
              <w:pStyle w:val="TableText"/>
              <w:jc w:val="left"/>
            </w:pPr>
            <w:r>
              <w:rPr>
                <w:sz w:val="18"/>
                <w:szCs w:val="18"/>
              </w:rPr>
              <w:t xml:space="preserve">Predicts accuracy change under shift</w:t>
            </w:r>
          </w:p>
        </w:tc>
        <w:tc>
          <w:tcPr>
            <w:tcW w:w="2893" w:type="dxa"/>
            <w:vAlign w:val="center"/>
          </w:tcPr>
          <w:p>
            <w:pPr>
              <w:pStyle w:val="TableText"/>
              <w:jc w:val="left"/>
            </w:pPr>
            <w:r>
              <w:rPr>
                <w:sz w:val="18"/>
                <w:szCs w:val="18"/>
              </w:rPr>
              <w:t xml:space="preserve">Assumes confidence stays calibrated; compared as an estimator</w:t>
            </w:r>
          </w:p>
        </w:tc>
      </w:tr>
      <w:tr>
        <w:trPr>
          <w:cantSplit/>
        </w:trPr>
        <w:tc>
          <w:tcPr>
            <w:tcW w:w="1639" w:type="dxa"/>
            <w:vAlign w:val="center"/>
          </w:tcPr>
          <w:p>
            <w:pPr>
              <w:pStyle w:val="TableText"/>
              <w:jc w:val="left"/>
            </w:pPr>
            <w:r>
              <w:rPr>
                <w:sz w:val="18"/>
                <w:szCs w:val="18"/>
              </w:rPr>
              <w:t xml:space="preserve">Garg et al., 2022 </w:t>
            </w:r>
            <w:r>
              <w:rPr>
                <w:sz w:val="18"/>
                <w:szCs w:val="18"/>
              </w:rPr>
              <w:t xml:space="preserve">[24]</w:t>
            </w:r>
          </w:p>
        </w:tc>
        <w:tc>
          <w:tcPr>
            <w:tcW w:w="2218" w:type="dxa"/>
            <w:vAlign w:val="center"/>
          </w:tcPr>
          <w:p>
            <w:pPr>
              <w:pStyle w:val="TableText"/>
              <w:jc w:val="left"/>
            </w:pPr>
            <w:r>
              <w:rPr>
                <w:sz w:val="18"/>
                <w:szCs w:val="18"/>
              </w:rPr>
              <w:t xml:space="preserve">Average thresholded confidence</w:t>
            </w:r>
          </w:p>
        </w:tc>
        <w:tc>
          <w:tcPr>
            <w:tcW w:w="2507" w:type="dxa"/>
            <w:vAlign w:val="center"/>
          </w:tcPr>
          <w:p>
            <w:pPr>
              <w:pStyle w:val="TableText"/>
              <w:jc w:val="left"/>
            </w:pPr>
            <w:r>
              <w:rPr>
                <w:sz w:val="18"/>
                <w:szCs w:val="18"/>
              </w:rPr>
              <w:t xml:space="preserve">Accurate accuracy estimates on many shifts</w:t>
            </w:r>
          </w:p>
        </w:tc>
        <w:tc>
          <w:tcPr>
            <w:tcW w:w="2893" w:type="dxa"/>
            <w:vAlign w:val="center"/>
          </w:tcPr>
          <w:p>
            <w:pPr>
              <w:pStyle w:val="TableText"/>
              <w:jc w:val="left"/>
            </w:pPr>
            <w:r>
              <w:rPr>
                <w:sz w:val="18"/>
                <w:szCs w:val="18"/>
              </w:rPr>
              <w:t xml:space="preserve">Fails when the confidence-accuracy link breaks; compared as an estimator</w:t>
            </w:r>
          </w:p>
        </w:tc>
      </w:tr>
      <w:tr>
        <w:trPr>
          <w:cantSplit/>
        </w:trPr>
        <w:tc>
          <w:tcPr>
            <w:tcW w:w="1639" w:type="dxa"/>
            <w:vAlign w:val="center"/>
          </w:tcPr>
          <w:p>
            <w:pPr>
              <w:pStyle w:val="TableText"/>
              <w:jc w:val="left"/>
            </w:pPr>
            <w:r>
              <w:rPr>
                <w:sz w:val="18"/>
                <w:szCs w:val="18"/>
              </w:rPr>
              <w:t xml:space="preserve">Kivimäki et al., 2026 </w:t>
            </w:r>
            <w:r>
              <w:rPr>
                <w:sz w:val="18"/>
                <w:szCs w:val="18"/>
              </w:rPr>
              <w:t xml:space="preserve">[12]</w:t>
            </w:r>
          </w:p>
        </w:tc>
        <w:tc>
          <w:tcPr>
            <w:tcW w:w="2218" w:type="dxa"/>
            <w:vAlign w:val="center"/>
          </w:tcPr>
          <w:p>
            <w:pPr>
              <w:pStyle w:val="TableText"/>
              <w:jc w:val="left"/>
            </w:pPr>
            <w:r>
              <w:rPr>
                <w:sz w:val="18"/>
                <w:szCs w:val="18"/>
              </w:rPr>
              <w:t xml:space="preserve">Confidence-based performance estimation with calibrated confidence</w:t>
            </w:r>
          </w:p>
        </w:tc>
        <w:tc>
          <w:tcPr>
            <w:tcW w:w="2507" w:type="dxa"/>
            <w:vAlign w:val="center"/>
          </w:tcPr>
          <w:p>
            <w:pPr>
              <w:pStyle w:val="TableText"/>
              <w:jc w:val="left"/>
            </w:pPr>
            <w:r>
              <w:rPr>
                <w:sz w:val="18"/>
                <w:szCs w:val="18"/>
              </w:rPr>
              <w:t xml:space="preserve">Estimates the confusion matrix and accuracy without labels</w:t>
            </w:r>
          </w:p>
        </w:tc>
        <w:tc>
          <w:tcPr>
            <w:tcW w:w="2893" w:type="dxa"/>
            <w:vAlign w:val="center"/>
          </w:tcPr>
          <w:p>
            <w:pPr>
              <w:pStyle w:val="TableText"/>
              <w:jc w:val="left"/>
            </w:pPr>
            <w:r>
              <w:rPr>
                <w:sz w:val="18"/>
                <w:szCs w:val="18"/>
              </w:rPr>
              <w:t xml:space="preserve">Our main accuracy estimate, read as an upper bound when confidence misleads</w:t>
            </w:r>
          </w:p>
        </w:tc>
      </w:tr>
      <w:tr>
        <w:trPr>
          <w:cantSplit/>
        </w:trPr>
        <w:tc>
          <w:tcPr>
            <w:tcW w:w="1639" w:type="dxa"/>
            <w:vAlign w:val="center"/>
          </w:tcPr>
          <w:p>
            <w:pPr>
              <w:pStyle w:val="TableText"/>
              <w:jc w:val="left"/>
            </w:pPr>
            <w:r>
              <w:rPr>
                <w:sz w:val="18"/>
                <w:szCs w:val="18"/>
              </w:rPr>
              <w:t xml:space="preserve">Ovadia et al., 2019 </w:t>
            </w:r>
            <w:r>
              <w:rPr>
                <w:sz w:val="18"/>
                <w:szCs w:val="18"/>
              </w:rPr>
              <w:t xml:space="preserve">[16]</w:t>
            </w:r>
          </w:p>
        </w:tc>
        <w:tc>
          <w:tcPr>
            <w:tcW w:w="2218" w:type="dxa"/>
            <w:vAlign w:val="center"/>
          </w:tcPr>
          <w:p>
            <w:pPr>
              <w:pStyle w:val="TableText"/>
              <w:jc w:val="left"/>
            </w:pPr>
            <w:r>
              <w:rPr>
                <w:sz w:val="18"/>
                <w:szCs w:val="18"/>
              </w:rPr>
              <w:t xml:space="preserve">Evaluates predictive uncertainty under dataset shift</w:t>
            </w:r>
          </w:p>
        </w:tc>
        <w:tc>
          <w:tcPr>
            <w:tcW w:w="2507" w:type="dxa"/>
            <w:vAlign w:val="center"/>
          </w:tcPr>
          <w:p>
            <w:pPr>
              <w:pStyle w:val="TableText"/>
              <w:jc w:val="left"/>
            </w:pPr>
            <w:r>
              <w:rPr>
                <w:sz w:val="18"/>
                <w:szCs w:val="18"/>
              </w:rPr>
              <w:t xml:space="preserve">Models stay confident while accuracy falls</w:t>
            </w:r>
          </w:p>
        </w:tc>
        <w:tc>
          <w:tcPr>
            <w:tcW w:w="2893" w:type="dxa"/>
            <w:vAlign w:val="center"/>
          </w:tcPr>
          <w:p>
            <w:pPr>
              <w:pStyle w:val="TableText"/>
              <w:jc w:val="left"/>
            </w:pPr>
            <w:r>
              <w:rPr>
                <w:sz w:val="18"/>
                <w:szCs w:val="18"/>
              </w:rPr>
              <w:t xml:space="preserve">Explains why label-free estimates can be optimistic</w:t>
            </w:r>
          </w:p>
        </w:tc>
      </w:tr>
      <w:tr>
        <w:trPr>
          <w:cantSplit/>
        </w:trPr>
        <w:tc>
          <w:tcPr>
            <w:tcW w:w="1639" w:type="dxa"/>
            <w:vAlign w:val="center"/>
          </w:tcPr>
          <w:p>
            <w:pPr>
              <w:pStyle w:val="TableText"/>
              <w:jc w:val="left"/>
            </w:pPr>
            <w:r>
              <w:rPr>
                <w:sz w:val="18"/>
                <w:szCs w:val="18"/>
              </w:rPr>
              <w:t xml:space="preserve">Lundberg and Lee, 2017 </w:t>
            </w:r>
            <w:r>
              <w:rPr>
                <w:sz w:val="18"/>
                <w:szCs w:val="18"/>
              </w:rPr>
              <w:t xml:space="preserve">[25]</w:t>
            </w:r>
          </w:p>
        </w:tc>
        <w:tc>
          <w:tcPr>
            <w:tcW w:w="2218" w:type="dxa"/>
            <w:vAlign w:val="center"/>
          </w:tcPr>
          <w:p>
            <w:pPr>
              <w:pStyle w:val="TableText"/>
              <w:jc w:val="left"/>
            </w:pPr>
            <w:r>
              <w:rPr>
                <w:sz w:val="18"/>
                <w:szCs w:val="18"/>
              </w:rPr>
              <w:t xml:space="preserve">Shapley additive explanations</w:t>
            </w:r>
          </w:p>
        </w:tc>
        <w:tc>
          <w:tcPr>
            <w:tcW w:w="2507" w:type="dxa"/>
            <w:vAlign w:val="center"/>
          </w:tcPr>
          <w:p>
            <w:pPr>
              <w:pStyle w:val="TableText"/>
              <w:jc w:val="left"/>
            </w:pPr>
            <w:r>
              <w:rPr>
                <w:sz w:val="18"/>
                <w:szCs w:val="18"/>
              </w:rPr>
              <w:t xml:space="preserve">Attributes each prediction to its input features</w:t>
            </w:r>
          </w:p>
        </w:tc>
        <w:tc>
          <w:tcPr>
            <w:tcW w:w="2893" w:type="dxa"/>
            <w:vAlign w:val="center"/>
          </w:tcPr>
          <w:p>
            <w:pPr>
              <w:pStyle w:val="TableText"/>
              <w:jc w:val="left"/>
            </w:pPr>
            <w:r>
              <w:rPr>
                <w:sz w:val="18"/>
                <w:szCs w:val="18"/>
              </w:rPr>
              <w:t xml:space="preserve">Used to compare what the model relies on before and after a shift</w:t>
            </w:r>
          </w:p>
        </w:tc>
      </w:tr>
      <w:tr>
        <w:trPr>
          <w:cantSplit/>
        </w:trPr>
        <w:tc>
          <w:tcPr>
            <w:tcW w:w="1639" w:type="dxa"/>
            <w:vAlign w:val="center"/>
          </w:tcPr>
          <w:p>
            <w:pPr>
              <w:pStyle w:val="TableText"/>
              <w:jc w:val="left"/>
            </w:pPr>
            <w:r>
              <w:rPr>
                <w:sz w:val="18"/>
                <w:szCs w:val="18"/>
              </w:rPr>
              <w:t xml:space="preserve">Ding et al., 2021 </w:t>
            </w:r>
            <w:r>
              <w:rPr>
                <w:sz w:val="18"/>
                <w:szCs w:val="18"/>
              </w:rPr>
              <w:t xml:space="preserve">[26]</w:t>
            </w:r>
          </w:p>
        </w:tc>
        <w:tc>
          <w:tcPr>
            <w:tcW w:w="2218" w:type="dxa"/>
            <w:vAlign w:val="center"/>
          </w:tcPr>
          <w:p>
            <w:pPr>
              <w:pStyle w:val="TableText"/>
              <w:jc w:val="left"/>
            </w:pPr>
            <w:r>
              <w:rPr>
                <w:sz w:val="18"/>
                <w:szCs w:val="18"/>
              </w:rPr>
              <w:t xml:space="preserve">Folktables: prediction tasks from the American Community Survey</w:t>
            </w:r>
          </w:p>
        </w:tc>
        <w:tc>
          <w:tcPr>
            <w:tcW w:w="2507" w:type="dxa"/>
            <w:vAlign w:val="center"/>
          </w:tcPr>
          <w:p>
            <w:pPr>
              <w:pStyle w:val="TableText"/>
              <w:jc w:val="left"/>
            </w:pPr>
            <w:r>
              <w:rPr>
                <w:sz w:val="18"/>
                <w:szCs w:val="18"/>
              </w:rPr>
              <w:t xml:space="preserve">Real distribution shift across years and states</w:t>
            </w:r>
          </w:p>
        </w:tc>
        <w:tc>
          <w:tcPr>
            <w:tcW w:w="2893" w:type="dxa"/>
            <w:vAlign w:val="center"/>
          </w:tcPr>
          <w:p>
            <w:pPr>
              <w:pStyle w:val="TableText"/>
              <w:jc w:val="left"/>
            </w:pPr>
            <w:r>
              <w:rPr>
                <w:sz w:val="18"/>
                <w:szCs w:val="18"/>
              </w:rPr>
              <w:t xml:space="preserve">Our main source of real tabular drift</w:t>
            </w:r>
          </w:p>
        </w:tc>
      </w:tr>
      <w:tr>
        <w:trPr>
          <w:cantSplit/>
        </w:trPr>
        <w:tc>
          <w:tcPr>
            <w:tcW w:w="1639" w:type="dxa"/>
            <w:vAlign w:val="center"/>
          </w:tcPr>
          <w:p>
            <w:pPr>
              <w:pStyle w:val="TableText"/>
              <w:jc w:val="left"/>
            </w:pPr>
            <w:r>
              <w:rPr>
                <w:sz w:val="18"/>
                <w:szCs w:val="18"/>
              </w:rPr>
              <w:t xml:space="preserve">Lin et al., 2021 </w:t>
            </w:r>
            <w:r>
              <w:rPr>
                <w:sz w:val="18"/>
                <w:szCs w:val="18"/>
              </w:rPr>
              <w:t xml:space="preserve">[27]</w:t>
            </w:r>
          </w:p>
        </w:tc>
        <w:tc>
          <w:tcPr>
            <w:tcW w:w="2218" w:type="dxa"/>
            <w:vAlign w:val="center"/>
          </w:tcPr>
          <w:p>
            <w:pPr>
              <w:pStyle w:val="TableText"/>
              <w:jc w:val="left"/>
            </w:pPr>
            <w:r>
              <w:rPr>
                <w:sz w:val="18"/>
                <w:szCs w:val="18"/>
              </w:rPr>
              <w:t xml:space="preserve">CLEAR: a time-ordered image benchmark from Flickr</w:t>
            </w:r>
          </w:p>
        </w:tc>
        <w:tc>
          <w:tcPr>
            <w:tcW w:w="2507" w:type="dxa"/>
            <w:vAlign w:val="center"/>
          </w:tcPr>
          <w:p>
            <w:pPr>
              <w:pStyle w:val="TableText"/>
              <w:jc w:val="left"/>
            </w:pPr>
            <w:r>
              <w:rPr>
                <w:sz w:val="18"/>
                <w:szCs w:val="18"/>
              </w:rPr>
              <w:t xml:space="preserve">Natural drift of image content over a decade</w:t>
            </w:r>
          </w:p>
        </w:tc>
        <w:tc>
          <w:tcPr>
            <w:tcW w:w="2893" w:type="dxa"/>
            <w:vAlign w:val="center"/>
          </w:tcPr>
          <w:p>
            <w:pPr>
              <w:pStyle w:val="TableText"/>
              <w:jc w:val="left"/>
            </w:pPr>
            <w:r>
              <w:rPr>
                <w:sz w:val="18"/>
                <w:szCs w:val="18"/>
              </w:rPr>
              <w:t xml:space="preserve">Our source of real image drift</w:t>
            </w:r>
          </w:p>
        </w:tc>
      </w:tr>
    </w:tbl>
    <w:p>
      <w:pPr>
        <w:spacing w:before="0" w:after="120" w:line="240" w:lineRule="auto"/>
      </w:pPr>
    </w:p>
    <w:p>
      <w:pPr>
        <w:pStyle w:val="Normal"/>
      </w:pPr>
      <w:r>
        <w:rPr>
          <w:i/>
          <w:iCs/>
        </w:rPr>
        <w:t xml:space="preserve">Drift types.</w:t>
      </w:r>
      <w:r>
        <w:t xml:space="preserve"> The definitions of Moreno-Torres et al. </w:t>
      </w:r>
      <w:r>
        <w:t xml:space="preserve">[1]</w:t>
      </w:r>
      <w:r>
        <w:t xml:space="preserve"> describe each type by the part of the joint distribution of inputs and labels that changes and Webb et al. </w:t>
      </w:r>
      <w:r>
        <w:t xml:space="preserve">[20]</w:t>
      </w:r>
      <w:r>
        <w:t xml:space="preserve"> extend them to describe how drift unfolds in time. DetectShift </w:t>
      </w:r>
      <w:r>
        <w:t xml:space="preserve">[15]</w:t>
      </w:r>
      <w:r>
        <w:t xml:space="preserve"> is the only method we found that tests each part with error control, but it needs labels for the new data. These papers gave the project its vocabulary and its main requirement: a type diagnosis that works from unlabeled data plus a small audit.</w:t>
      </w:r>
    </w:p>
    <w:p>
      <w:pPr>
        <w:pStyle w:val="Normal"/>
      </w:pPr>
      <w:r>
        <w:rPr>
          <w:i/>
          <w:iCs/>
        </w:rPr>
        <w:t xml:space="preserve">Drift detection.</w:t>
      </w:r>
      <w:r>
        <w:t xml:space="preserve"> Detectors fall into two families. Error-rate detectors such as DDM </w:t>
      </w:r>
      <w:r>
        <w:t xml:space="preserve">[7]</w:t>
      </w:r>
      <w:r>
        <w:t xml:space="preserve"> and ADWIN </w:t>
      </w:r>
      <w:r>
        <w:t xml:space="preserve">[8]</w:t>
      </w:r>
      <w:r>
        <w:t xml:space="preserve"> need labels, while label-free detectors compare inputs or outputs with two-sample tests </w:t>
      </w:r>
      <w:r>
        <w:t xml:space="preserve">[9], [10]</w:t>
      </w:r>
      <w:r>
        <w:t xml:space="preserve">. Rabanser et al. </w:t>
      </w:r>
      <w:r>
        <w:t xml:space="preserve">[3]</w:t>
      </w:r>
      <w:r>
        <w:t xml:space="preserve"> compared the label-free tests systematically and found black-box shift detection on the model outputs best overall. Every one of these tests reports that a shift happened, not its type, so we use them as building blocks.</w:t>
      </w:r>
    </w:p>
    <w:p>
      <w:pPr>
        <w:pStyle w:val="Normal"/>
      </w:pPr>
      <w:r>
        <w:rPr>
          <w:i/>
          <w:iCs/>
        </w:rPr>
        <w:t xml:space="preserve">Label shift.</w:t>
      </w:r>
      <w:r>
        <w:t xml:space="preserve"> Black-box shift estimation </w:t>
      </w:r>
      <w:r>
        <w:t xml:space="preserve">[11]</w:t>
      </w:r>
      <w:r>
        <w:t xml:space="preserve"> recovers the new class prior under the assumption that each class keeps its own input distribution. Roschewitz et al. </w:t>
      </w:r>
      <w:r>
        <w:t xml:space="preserve">[21]</w:t>
      </w:r>
      <w:r>
        <w:t xml:space="preserve"> turned that assumption into a test, which is the idea behind our label shift consistency test.</w:t>
      </w:r>
    </w:p>
    <w:p>
      <w:pPr>
        <w:pStyle w:val="Normal"/>
      </w:pPr>
      <w:r>
        <w:rPr>
          <w:i/>
          <w:iCs/>
        </w:rPr>
        <w:t xml:space="preserve">Performance estimation without labels.</w:t>
      </w:r>
      <w:r>
        <w:t xml:space="preserve"> Average confidence </w:t>
      </w:r>
      <w:r>
        <w:t xml:space="preserve">[22]</w:t>
      </w:r>
      <w:r>
        <w:t xml:space="preserve">, difference of confidences </w:t>
      </w:r>
      <w:r>
        <w:t xml:space="preserve">[23]</w:t>
      </w:r>
      <w:r>
        <w:t xml:space="preserve">, average thresholded confidence </w:t>
      </w:r>
      <w:r>
        <w:t xml:space="preserve">[24]</w:t>
      </w:r>
      <w:r>
        <w:t xml:space="preserve"> and confidence-based performance estimation </w:t>
      </w:r>
      <w:r>
        <w:t xml:space="preserve">[12]</w:t>
      </w:r>
      <w:r>
        <w:t xml:space="preserve"> all estimate accuracy from what the model outputs. Ovadia et al. </w:t>
      </w:r>
      <w:r>
        <w:t xml:space="preserve">[16]</w:t>
      </w:r>
      <w:r>
        <w:t xml:space="preserve"> showed that models often stay confident while their accuracy falls, so the estimates can be too optimistic exactly when they matter most.</w:t>
      </w:r>
    </w:p>
    <w:p>
      <w:pPr>
        <w:pStyle w:val="Normal"/>
      </w:pPr>
      <w:r>
        <w:rPr>
          <w:i/>
          <w:iCs/>
        </w:rPr>
        <w:t xml:space="preserve">Explanation and data.</w:t>
      </w:r>
      <w:r>
        <w:t xml:space="preserve"> Shapley values </w:t>
      </w:r>
      <w:r>
        <w:t xml:space="preserve">[25]</w:t>
      </w:r>
      <w:r>
        <w:t xml:space="preserve"> and class activation maps </w:t>
      </w:r>
      <w:r>
        <w:t xml:space="preserve">[28]</w:t>
      </w:r>
      <w:r>
        <w:t xml:space="preserve"> explain what a model relies on and out-of-distribution scores such as the Isolation Forest </w:t>
      </w:r>
      <w:r>
        <w:t xml:space="preserve">[29]</w:t>
      </w:r>
      <w:r>
        <w:t xml:space="preserve"> flag unusual inputs. Folktables </w:t>
      </w:r>
      <w:r>
        <w:t xml:space="preserve">[26]</w:t>
      </w:r>
      <w:r>
        <w:t xml:space="preserve"> and CLEAR </w:t>
      </w:r>
      <w:r>
        <w:t xml:space="preserve">[27]</w:t>
      </w:r>
      <w:r>
        <w:t xml:space="preserve"> provide real shifts whose causes can be traced, although nobody knows their exact type. Benchmarks of real distribution shift </w:t>
      </w:r>
      <w:r>
        <w:t xml:space="preserve">[30]–[32]</w:t>
      </w:r>
      <w:r>
        <w:t xml:space="preserve"> show how often models fail under such shifts.</w:t>
      </w:r>
    </w:p>
    <w:p>
      <w:pPr>
        <w:pStyle w:val="Heading2"/>
      </w:pPr>
      <w:r>
        <w:t xml:space="preserve">2.3 Patent Search</w:t>
      </w:r>
    </w:p>
    <w:p>
      <w:pPr>
        <w:pStyle w:val="Normal"/>
      </w:pPr>
      <w:r>
        <w:t xml:space="preserve">To check whether the idea of the project is already protected, we searched Google Patents and Espacenet on 30 October 2026 with the search terms “data drift” and “concept drift” combined with “machine learning model”, “monitoring”, “covariate shift”, “label shift” and “root cause”. We read the claims and descriptions of the most relevant results and recorded their legal status as shown by Google Patents, which presents status as an assumption rather than a legal conclusion. Table </w:t>
      </w:r>
      <w:r>
        <w:t xml:space="preserve">2.2</w:t>
      </w:r>
      <w:r>
        <w:t xml:space="preserve"> lists the six patents closest to this project: four from the United States and two from the European Patent Office.</w:t>
      </w:r>
    </w:p>
    <w:p>
      <w:pPr>
        <w:pStyle w:val="TableCaption"/>
      </w:pPr>
      <w:r>
        <w:rPr>
          <w:b/>
          <w:bCs/>
        </w:rPr>
        <w:t xml:space="preserve">Table 2.2: </w:t>
      </w:r>
      <w:r>
        <w:t xml:space="preserve">Patents closest to the project, as checked on 30 October 2026</w:t>
      </w:r>
    </w:p>
    <w:tbl>
      <w:tblPr>
        <w:tblW w:w="925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30" w:type="dxa"/>
          <w:left w:w="80" w:type="dxa"/>
          <w:bottom w:w="30" w:type="dxa"/>
          <w:right w:w="80" w:type="dxa"/>
        </w:tblCellMar>
        <w:tblLook w:val="0000"/>
      </w:tblPr>
      <w:tblGrid>
        <w:gridCol w:w="1528"/>
        <w:gridCol w:w="2157"/>
        <w:gridCol w:w="1438"/>
        <w:gridCol w:w="1258"/>
        <w:gridCol w:w="2876"/>
      </w:tblGrid>
      <w:tr>
        <w:trPr>
          <w:cantSplit/>
          <w:tblHeader/>
        </w:trPr>
        <w:tc>
          <w:tcPr>
            <w:tcW w:w="1528" w:type="dxa"/>
            <w:shd w:val="clear" w:color="auto" w:fill="D9E2F3"/>
            <w:vAlign w:val="center"/>
          </w:tcPr>
          <w:p>
            <w:pPr>
              <w:pStyle w:val="TableText"/>
              <w:keepNext/>
              <w:jc w:val="center"/>
            </w:pPr>
            <w:r>
              <w:rPr>
                <w:sz w:val="18"/>
                <w:szCs w:val="18"/>
                <w:b/>
                <w:bCs/>
              </w:rPr>
              <w:t xml:space="preserve">Number and office</w:t>
            </w:r>
          </w:p>
        </w:tc>
        <w:tc>
          <w:tcPr>
            <w:tcW w:w="2157" w:type="dxa"/>
            <w:shd w:val="clear" w:color="auto" w:fill="D9E2F3"/>
            <w:vAlign w:val="center"/>
          </w:tcPr>
          <w:p>
            <w:pPr>
              <w:pStyle w:val="TableText"/>
              <w:keepNext/>
              <w:jc w:val="center"/>
            </w:pPr>
            <w:r>
              <w:rPr>
                <w:sz w:val="18"/>
                <w:szCs w:val="18"/>
                <w:b/>
                <w:bCs/>
              </w:rPr>
              <w:t xml:space="preserve">Title</w:t>
            </w:r>
          </w:p>
        </w:tc>
        <w:tc>
          <w:tcPr>
            <w:tcW w:w="1438" w:type="dxa"/>
            <w:shd w:val="clear" w:color="auto" w:fill="D9E2F3"/>
            <w:vAlign w:val="center"/>
          </w:tcPr>
          <w:p>
            <w:pPr>
              <w:pStyle w:val="TableText"/>
              <w:keepNext/>
              <w:jc w:val="center"/>
            </w:pPr>
            <w:r>
              <w:rPr>
                <w:sz w:val="18"/>
                <w:szCs w:val="18"/>
                <w:b/>
                <w:bCs/>
              </w:rPr>
              <w:t xml:space="preserve">Assignee</w:t>
            </w:r>
          </w:p>
        </w:tc>
        <w:tc>
          <w:tcPr>
            <w:tcW w:w="1258" w:type="dxa"/>
            <w:shd w:val="clear" w:color="auto" w:fill="D9E2F3"/>
            <w:vAlign w:val="center"/>
          </w:tcPr>
          <w:p>
            <w:pPr>
              <w:pStyle w:val="TableText"/>
              <w:keepNext/>
              <w:jc w:val="center"/>
            </w:pPr>
            <w:r>
              <w:rPr>
                <w:sz w:val="18"/>
                <w:szCs w:val="18"/>
                <w:b/>
                <w:bCs/>
              </w:rPr>
              <w:t xml:space="preserve">Status and date</w:t>
            </w:r>
          </w:p>
        </w:tc>
        <w:tc>
          <w:tcPr>
            <w:tcW w:w="2876" w:type="dxa"/>
            <w:shd w:val="clear" w:color="auto" w:fill="D9E2F3"/>
            <w:vAlign w:val="center"/>
          </w:tcPr>
          <w:p>
            <w:pPr>
              <w:pStyle w:val="TableText"/>
              <w:keepNext/>
              <w:jc w:val="center"/>
            </w:pPr>
            <w:r>
              <w:rPr>
                <w:sz w:val="18"/>
                <w:szCs w:val="18"/>
                <w:b/>
                <w:bCs/>
              </w:rPr>
              <w:t xml:space="preserve">What it claims and how it differs</w:t>
            </w:r>
          </w:p>
        </w:tc>
      </w:tr>
      <w:tr>
        <w:trPr>
          <w:cantSplit/>
        </w:trPr>
        <w:tc>
          <w:tcPr>
            <w:tcW w:w="1528" w:type="dxa"/>
            <w:vAlign w:val="center"/>
          </w:tcPr>
          <w:p>
            <w:pPr>
              <w:pStyle w:val="TableText"/>
              <w:keepNext/>
              <w:jc w:val="left"/>
            </w:pPr>
            <w:r>
              <w:rPr>
                <w:sz w:val="18"/>
                <w:szCs w:val="18"/>
              </w:rPr>
              <w:t xml:space="preserve">US 10 762 444 B2 </w:t>
            </w:r>
            <w:r>
              <w:rPr>
                <w:sz w:val="18"/>
                <w:szCs w:val="18"/>
              </w:rPr>
              <w:t xml:space="preserve">[33]</w:t>
            </w:r>
          </w:p>
        </w:tc>
        <w:tc>
          <w:tcPr>
            <w:tcW w:w="2157" w:type="dxa"/>
            <w:vAlign w:val="center"/>
          </w:tcPr>
          <w:p>
            <w:pPr>
              <w:pStyle w:val="TableText"/>
              <w:keepNext/>
              <w:jc w:val="left"/>
            </w:pPr>
            <w:r>
              <w:rPr>
                <w:sz w:val="18"/>
                <w:szCs w:val="18"/>
              </w:rPr>
              <w:t xml:space="preserve">Real-time drift detection in machine learning systems and applications</w:t>
            </w:r>
          </w:p>
        </w:tc>
        <w:tc>
          <w:tcPr>
            <w:tcW w:w="1438" w:type="dxa"/>
            <w:vAlign w:val="center"/>
          </w:tcPr>
          <w:p>
            <w:pPr>
              <w:pStyle w:val="TableText"/>
              <w:keepNext/>
              <w:jc w:val="left"/>
            </w:pPr>
            <w:r>
              <w:rPr>
                <w:sz w:val="18"/>
                <w:szCs w:val="18"/>
              </w:rPr>
              <w:t xml:space="preserve">Quickpath, Inc.</w:t>
            </w:r>
          </w:p>
        </w:tc>
        <w:tc>
          <w:tcPr>
            <w:tcW w:w="1258" w:type="dxa"/>
            <w:vAlign w:val="center"/>
          </w:tcPr>
          <w:p>
            <w:pPr>
              <w:pStyle w:val="TableText"/>
              <w:keepNext/>
              <w:jc w:val="left"/>
            </w:pPr>
            <w:r>
              <w:rPr>
                <w:sz w:val="18"/>
                <w:szCs w:val="18"/>
              </w:rPr>
              <w:t xml:space="preserve">Granted, 1 Sep. 2020; active</w:t>
            </w:r>
          </w:p>
        </w:tc>
        <w:tc>
          <w:tcPr>
            <w:tcW w:w="2876" w:type="dxa"/>
            <w:vAlign w:val="center"/>
          </w:tcPr>
          <w:p>
            <w:pPr>
              <w:pStyle w:val="TableText"/>
              <w:keepNext/>
              <w:jc w:val="left"/>
            </w:pPr>
            <w:r>
              <w:rPr>
                <w:sz w:val="18"/>
                <w:szCs w:val="18"/>
              </w:rPr>
              <w:t xml:space="preserve">Compares live score distributions with training scores and alerts on significant drift; does not name a drift type</w:t>
            </w:r>
          </w:p>
        </w:tc>
      </w:tr>
      <w:tr>
        <w:trPr>
          <w:cantSplit/>
        </w:trPr>
        <w:tc>
          <w:tcPr>
            <w:tcW w:w="1528" w:type="dxa"/>
            <w:vAlign w:val="center"/>
          </w:tcPr>
          <w:p>
            <w:pPr>
              <w:pStyle w:val="TableText"/>
              <w:keepNext/>
              <w:jc w:val="left"/>
            </w:pPr>
            <w:r>
              <w:rPr>
                <w:sz w:val="18"/>
                <w:szCs w:val="18"/>
              </w:rPr>
              <w:t xml:space="preserve">US 11 568 167 B2 </w:t>
            </w:r>
            <w:r>
              <w:rPr>
                <w:sz w:val="18"/>
                <w:szCs w:val="18"/>
              </w:rPr>
              <w:t xml:space="preserve">[34]</w:t>
            </w:r>
          </w:p>
        </w:tc>
        <w:tc>
          <w:tcPr>
            <w:tcW w:w="2157" w:type="dxa"/>
            <w:vAlign w:val="center"/>
          </w:tcPr>
          <w:p>
            <w:pPr>
              <w:pStyle w:val="TableText"/>
              <w:keepNext/>
              <w:jc w:val="left"/>
            </w:pPr>
            <w:r>
              <w:rPr>
                <w:sz w:val="18"/>
                <w:szCs w:val="18"/>
              </w:rPr>
              <w:t xml:space="preserve">Detecting drift between data used to train and data used to execute a machine learning model</w:t>
            </w:r>
          </w:p>
        </w:tc>
        <w:tc>
          <w:tcPr>
            <w:tcW w:w="1438" w:type="dxa"/>
            <w:vAlign w:val="center"/>
          </w:tcPr>
          <w:p>
            <w:pPr>
              <w:pStyle w:val="TableText"/>
              <w:keepNext/>
              <w:jc w:val="left"/>
            </w:pPr>
            <w:r>
              <w:rPr>
                <w:sz w:val="18"/>
                <w:szCs w:val="18"/>
              </w:rPr>
              <w:t xml:space="preserve">Arthur AI, Inc.</w:t>
            </w:r>
          </w:p>
        </w:tc>
        <w:tc>
          <w:tcPr>
            <w:tcW w:w="1258" w:type="dxa"/>
            <w:vAlign w:val="center"/>
          </w:tcPr>
          <w:p>
            <w:pPr>
              <w:pStyle w:val="TableText"/>
              <w:keepNext/>
              <w:jc w:val="left"/>
            </w:pPr>
            <w:r>
              <w:rPr>
                <w:sz w:val="18"/>
                <w:szCs w:val="18"/>
              </w:rPr>
              <w:t xml:space="preserve">Granted, 31 Jan. 2023; active</w:t>
            </w:r>
          </w:p>
        </w:tc>
        <w:tc>
          <w:tcPr>
            <w:tcW w:w="2876" w:type="dxa"/>
            <w:vAlign w:val="center"/>
          </w:tcPr>
          <w:p>
            <w:pPr>
              <w:pStyle w:val="TableText"/>
              <w:keepNext/>
              <w:jc w:val="left"/>
            </w:pPr>
            <w:r>
              <w:rPr>
                <w:sz w:val="18"/>
                <w:szCs w:val="18"/>
              </w:rPr>
              <w:t xml:space="preserve">Scores each production row against a density model of the training data and triggers retraining past a threshold; no type diagnosis or error control</w:t>
            </w:r>
          </w:p>
        </w:tc>
      </w:tr>
      <w:tr>
        <w:trPr>
          <w:cantSplit/>
        </w:trPr>
        <w:tc>
          <w:tcPr>
            <w:tcW w:w="1528" w:type="dxa"/>
            <w:vAlign w:val="center"/>
          </w:tcPr>
          <w:p>
            <w:pPr>
              <w:pStyle w:val="TableText"/>
              <w:jc w:val="left"/>
            </w:pPr>
            <w:r>
              <w:rPr>
                <w:sz w:val="18"/>
                <w:szCs w:val="18"/>
              </w:rPr>
              <w:t xml:space="preserve">US 12 199 847 B2 </w:t>
            </w:r>
            <w:r>
              <w:rPr>
                <w:sz w:val="18"/>
                <w:szCs w:val="18"/>
              </w:rPr>
              <w:t xml:space="preserve">[35]</w:t>
            </w:r>
          </w:p>
        </w:tc>
        <w:tc>
          <w:tcPr>
            <w:tcW w:w="2157" w:type="dxa"/>
            <w:vAlign w:val="center"/>
          </w:tcPr>
          <w:p>
            <w:pPr>
              <w:pStyle w:val="TableText"/>
              <w:jc w:val="left"/>
            </w:pPr>
            <w:r>
              <w:rPr>
                <w:sz w:val="18"/>
                <w:szCs w:val="18"/>
              </w:rPr>
              <w:t xml:space="preserve">Anomaly detection of model performance in an MLOps platform</w:t>
            </w:r>
          </w:p>
        </w:tc>
        <w:tc>
          <w:tcPr>
            <w:tcW w:w="1438" w:type="dxa"/>
            <w:vAlign w:val="center"/>
          </w:tcPr>
          <w:p>
            <w:pPr>
              <w:pStyle w:val="TableText"/>
              <w:jc w:val="left"/>
            </w:pPr>
            <w:r>
              <w:rPr>
                <w:sz w:val="18"/>
                <w:szCs w:val="18"/>
              </w:rPr>
              <w:t xml:space="preserve">Cisco Technology, Inc.</w:t>
            </w:r>
          </w:p>
        </w:tc>
        <w:tc>
          <w:tcPr>
            <w:tcW w:w="1258" w:type="dxa"/>
            <w:vAlign w:val="center"/>
          </w:tcPr>
          <w:p>
            <w:pPr>
              <w:pStyle w:val="TableText"/>
              <w:jc w:val="left"/>
            </w:pPr>
            <w:r>
              <w:rPr>
                <w:sz w:val="18"/>
                <w:szCs w:val="18"/>
              </w:rPr>
              <w:t xml:space="preserve">Granted, 14 Jan. 2025; active</w:t>
            </w:r>
          </w:p>
        </w:tc>
        <w:tc>
          <w:tcPr>
            <w:tcW w:w="2876" w:type="dxa"/>
            <w:vAlign w:val="center"/>
          </w:tcPr>
          <w:p>
            <w:pPr>
              <w:pStyle w:val="TableText"/>
              <w:jc w:val="left"/>
            </w:pPr>
            <w:r>
              <w:rPr>
                <w:sz w:val="18"/>
                <w:szCs w:val="18"/>
              </w:rPr>
              <w:t xml:space="preserve">Correlates drops in measured accuracy with feature shifts and tags the most correlated feature as the probable cause; needs accuracy measurements</w:t>
            </w:r>
          </w:p>
        </w:tc>
      </w:tr>
      <w:tr>
        <w:trPr>
          <w:cantSplit/>
        </w:trPr>
        <w:tc>
          <w:tcPr>
            <w:tcW w:w="1528" w:type="dxa"/>
            <w:vAlign w:val="center"/>
          </w:tcPr>
          <w:p>
            <w:pPr>
              <w:pStyle w:val="TableText"/>
              <w:jc w:val="left"/>
            </w:pPr>
            <w:r>
              <w:rPr>
                <w:sz w:val="18"/>
                <w:szCs w:val="18"/>
              </w:rPr>
              <w:t xml:space="preserve">US 12 282 384 B2 </w:t>
            </w:r>
            <w:r>
              <w:rPr>
                <w:sz w:val="18"/>
                <w:szCs w:val="18"/>
              </w:rPr>
              <w:t xml:space="preserve">[36]</w:t>
            </w:r>
          </w:p>
        </w:tc>
        <w:tc>
          <w:tcPr>
            <w:tcW w:w="2157" w:type="dxa"/>
            <w:vAlign w:val="center"/>
          </w:tcPr>
          <w:p>
            <w:pPr>
              <w:pStyle w:val="TableText"/>
              <w:jc w:val="left"/>
            </w:pPr>
            <w:r>
              <w:rPr>
                <w:sz w:val="18"/>
                <w:szCs w:val="18"/>
              </w:rPr>
              <w:t xml:space="preserve">Systems and methods for detecting drift</w:t>
            </w:r>
          </w:p>
        </w:tc>
        <w:tc>
          <w:tcPr>
            <w:tcW w:w="1438" w:type="dxa"/>
            <w:vAlign w:val="center"/>
          </w:tcPr>
          <w:p>
            <w:pPr>
              <w:pStyle w:val="TableText"/>
              <w:jc w:val="left"/>
            </w:pPr>
            <w:r>
              <w:rPr>
                <w:sz w:val="18"/>
                <w:szCs w:val="18"/>
              </w:rPr>
              <w:t xml:space="preserve">Jio Platforms Limited</w:t>
            </w:r>
          </w:p>
        </w:tc>
        <w:tc>
          <w:tcPr>
            <w:tcW w:w="1258" w:type="dxa"/>
            <w:vAlign w:val="center"/>
          </w:tcPr>
          <w:p>
            <w:pPr>
              <w:pStyle w:val="TableText"/>
              <w:jc w:val="left"/>
            </w:pPr>
            <w:r>
              <w:rPr>
                <w:sz w:val="18"/>
                <w:szCs w:val="18"/>
              </w:rPr>
              <w:t xml:space="preserve">Granted, 22 Apr. 2025; active</w:t>
            </w:r>
          </w:p>
        </w:tc>
        <w:tc>
          <w:tcPr>
            <w:tcW w:w="2876" w:type="dxa"/>
            <w:vAlign w:val="center"/>
          </w:tcPr>
          <w:p>
            <w:pPr>
              <w:pStyle w:val="TableText"/>
              <w:jc w:val="left"/>
            </w:pPr>
            <w:r>
              <w:rPr>
                <w:sz w:val="18"/>
                <w:szCs w:val="18"/>
              </w:rPr>
              <w:t xml:space="preserve">Compares model predictions with reference values and flags drift when the error passes a threshold; does not separate drift types</w:t>
            </w:r>
          </w:p>
        </w:tc>
      </w:tr>
      <w:tr>
        <w:trPr>
          <w:cantSplit/>
        </w:trPr>
        <w:tc>
          <w:tcPr>
            <w:tcW w:w="1528" w:type="dxa"/>
            <w:vAlign w:val="center"/>
          </w:tcPr>
          <w:p>
            <w:pPr>
              <w:pStyle w:val="TableText"/>
              <w:jc w:val="left"/>
            </w:pPr>
            <w:r>
              <w:rPr>
                <w:sz w:val="18"/>
                <w:szCs w:val="18"/>
              </w:rPr>
              <w:t xml:space="preserve">EP 4 459 516 A1 </w:t>
            </w:r>
            <w:r>
              <w:rPr>
                <w:sz w:val="18"/>
                <w:szCs w:val="18"/>
              </w:rPr>
              <w:t xml:space="preserve">[37]</w:t>
            </w:r>
          </w:p>
        </w:tc>
        <w:tc>
          <w:tcPr>
            <w:tcW w:w="2157" w:type="dxa"/>
            <w:vAlign w:val="center"/>
          </w:tcPr>
          <w:p>
            <w:pPr>
              <w:pStyle w:val="TableText"/>
              <w:jc w:val="left"/>
            </w:pPr>
            <w:r>
              <w:rPr>
                <w:sz w:val="18"/>
                <w:szCs w:val="18"/>
              </w:rPr>
              <w:t xml:space="preserve">Drift detection for machine learning operations</w:t>
            </w:r>
          </w:p>
        </w:tc>
        <w:tc>
          <w:tcPr>
            <w:tcW w:w="1438" w:type="dxa"/>
            <w:vAlign w:val="center"/>
          </w:tcPr>
          <w:p>
            <w:pPr>
              <w:pStyle w:val="TableText"/>
              <w:jc w:val="left"/>
            </w:pPr>
            <w:r>
              <w:rPr>
                <w:sz w:val="18"/>
                <w:szCs w:val="18"/>
              </w:rPr>
              <w:t xml:space="preserve">Siemens AG</w:t>
            </w:r>
          </w:p>
        </w:tc>
        <w:tc>
          <w:tcPr>
            <w:tcW w:w="1258" w:type="dxa"/>
            <w:vAlign w:val="center"/>
          </w:tcPr>
          <w:p>
            <w:pPr>
              <w:pStyle w:val="TableText"/>
              <w:jc w:val="left"/>
            </w:pPr>
            <w:r>
              <w:rPr>
                <w:sz w:val="18"/>
                <w:szCs w:val="18"/>
              </w:rPr>
              <w:t xml:space="preserve">Application published 6 Nov. 2024; withdrawn</w:t>
            </w:r>
          </w:p>
        </w:tc>
        <w:tc>
          <w:tcPr>
            <w:tcW w:w="2876" w:type="dxa"/>
            <w:vAlign w:val="center"/>
          </w:tcPr>
          <w:p>
            <w:pPr>
              <w:pStyle w:val="TableText"/>
              <w:jc w:val="left"/>
            </w:pPr>
            <w:r>
              <w:rPr>
                <w:sz w:val="18"/>
                <w:szCs w:val="18"/>
              </w:rPr>
              <w:t xml:space="preserve">Compares normal and outlier subsets of old and new measurements to predict drift and choose retraining or remodeling</w:t>
            </w:r>
          </w:p>
        </w:tc>
      </w:tr>
      <w:tr>
        <w:trPr>
          <w:cantSplit/>
        </w:trPr>
        <w:tc>
          <w:tcPr>
            <w:tcW w:w="1528" w:type="dxa"/>
            <w:vAlign w:val="center"/>
          </w:tcPr>
          <w:p>
            <w:pPr>
              <w:pStyle w:val="TableText"/>
              <w:jc w:val="left"/>
            </w:pPr>
            <w:r>
              <w:rPr>
                <w:sz w:val="18"/>
                <w:szCs w:val="18"/>
              </w:rPr>
              <w:t xml:space="preserve">EP 4 577 950 A1 </w:t>
            </w:r>
            <w:r>
              <w:rPr>
                <w:sz w:val="18"/>
                <w:szCs w:val="18"/>
              </w:rPr>
              <w:t xml:space="preserve">[38]</w:t>
            </w:r>
          </w:p>
        </w:tc>
        <w:tc>
          <w:tcPr>
            <w:tcW w:w="2157" w:type="dxa"/>
            <w:vAlign w:val="center"/>
          </w:tcPr>
          <w:p>
            <w:pPr>
              <w:pStyle w:val="TableText"/>
              <w:jc w:val="left"/>
            </w:pPr>
            <w:r>
              <w:rPr>
                <w:sz w:val="18"/>
                <w:szCs w:val="18"/>
              </w:rPr>
              <w:t xml:space="preserve">Real time detection, prediction and remediation of machine learning model drift in asset hierarchy</w:t>
            </w:r>
          </w:p>
        </w:tc>
        <w:tc>
          <w:tcPr>
            <w:tcW w:w="1438" w:type="dxa"/>
            <w:vAlign w:val="center"/>
          </w:tcPr>
          <w:p>
            <w:pPr>
              <w:pStyle w:val="TableText"/>
              <w:jc w:val="left"/>
            </w:pPr>
            <w:r>
              <w:rPr>
                <w:sz w:val="18"/>
                <w:szCs w:val="18"/>
              </w:rPr>
              <w:t xml:space="preserve">Hitachi Vantara LLC</w:t>
            </w:r>
          </w:p>
        </w:tc>
        <w:tc>
          <w:tcPr>
            <w:tcW w:w="1258" w:type="dxa"/>
            <w:vAlign w:val="center"/>
          </w:tcPr>
          <w:p>
            <w:pPr>
              <w:pStyle w:val="TableText"/>
              <w:jc w:val="left"/>
            </w:pPr>
            <w:r>
              <w:rPr>
                <w:sz w:val="18"/>
                <w:szCs w:val="18"/>
              </w:rPr>
              <w:t xml:space="preserve">Application published 2 Jul. 2025; pending</w:t>
            </w:r>
          </w:p>
        </w:tc>
        <w:tc>
          <w:tcPr>
            <w:tcW w:w="2876" w:type="dxa"/>
            <w:vAlign w:val="center"/>
          </w:tcPr>
          <w:p>
            <w:pPr>
              <w:pStyle w:val="TableText"/>
              <w:jc w:val="left"/>
            </w:pPr>
            <w:r>
              <w:rPr>
                <w:sz w:val="18"/>
                <w:szCs w:val="18"/>
              </w:rPr>
              <w:t xml:space="preserve">Detects data and concept drift in sensor time series with the population stability index and clustering, forecasts drift and remediates</w:t>
            </w:r>
          </w:p>
        </w:tc>
      </w:tr>
    </w:tbl>
    <w:p>
      <w:pPr>
        <w:spacing w:before="0" w:after="120" w:line="240" w:lineRule="auto"/>
      </w:pPr>
    </w:p>
    <w:p>
      <w:pPr>
        <w:pStyle w:val="Normal"/>
      </w:pPr>
      <w:r>
        <w:t xml:space="preserve">The patents show that drift detection and alerting are well protected and two of them go as far as suggesting a likely cause. None of them names the four drift types of this project, none separates concept drift from label noise and none controls the error rate across its decisions. The audit test and the error-controlled diagnosis of ResilientAI therefore do not appear to fall within the claims we read. This is a technical reading for the purpose of this report, not a legal opinion on freedom to operate.</w:t>
      </w:r>
    </w:p>
    <w:p>
      <w:pPr>
        <w:pStyle w:val="Heading2"/>
      </w:pPr>
      <w:r>
        <w:t xml:space="preserve">2.4 Inference Drawn</w:t>
      </w:r>
    </w:p>
    <w:p>
      <w:pPr>
        <w:pStyle w:val="Normal"/>
      </w:pPr>
      <w:r>
        <w:t xml:space="preserve">Three conclusions came out of the survey and shaped the design of ResilientAI.</w:t>
      </w:r>
    </w:p>
    <w:p>
      <w:pPr>
        <w:pStyle w:val="Normal"/>
      </w:pPr>
      <w:r>
        <w:t xml:space="preserve">First, detection is a solved part of the problem and diagnosis is not. Good label-free tests exist and the system should reuse them rather than invent new detectors. The new work should go into naming the type of a detected shift.</w:t>
      </w:r>
    </w:p>
    <w:p>
      <w:pPr>
        <w:pStyle w:val="Normal"/>
      </w:pPr>
      <w:r>
        <w:t xml:space="preserve">Second, the gap that matters most is between concept drift and label noise. Both leave the inputs untouched, so no label-free test can see them and both raise the error rate, so an error-rate monitor confuses them. Some labels are therefore unavoidable. The question the project had to answer was how few labels would do and how to use them so that the two types come apart. The answer we developed, described in Chapter </w:t>
      </w:r>
      <w:r>
        <w:t xml:space="preserve">5</w:t>
      </w:r>
      <w:r>
        <w:t xml:space="preserve">, is to ask whether the change in errors depends on an input feature beyond what the model’s own confidence explains.</w:t>
      </w:r>
    </w:p>
    <w:p>
      <w:pPr>
        <w:pStyle w:val="Normal"/>
      </w:pPr>
      <w:r>
        <w:t xml:space="preserve">Third, a diagnosis must be judged fairly. A method tuned on its own benchmark can look good by construction. This led to a benchmark with two designs: one whose drift partly matches how the tests work and one with mechanisms held out from the design of the procedure. It also led to the decision to control the error rate of every decision, so that the false alarm rate is known before any data are seen.</w:t>
      </w:r>
    </w:p>
    <w:p>
      <w:pPr>
        <w:pStyle w:val="Heading2"/>
      </w:pPr>
      <w:r>
        <w:t xml:space="preserve">2.5 Comparison with Existing Systems</w:t>
      </w:r>
    </w:p>
    <w:p>
      <w:pPr>
        <w:pStyle w:val="Normal"/>
      </w:pPr>
      <w:r>
        <w:t xml:space="preserve">Table </w:t>
      </w:r>
      <w:r>
        <w:t xml:space="preserve">2.3</w:t>
      </w:r>
      <w:r>
        <w:t xml:space="preserve"> compares ResilientAI with the existing systems closest to it and Table </w:t>
      </w:r>
      <w:r>
        <w:t xml:space="preserve">2.4</w:t>
      </w:r>
      <w:r>
        <w:t xml:space="preserve"> summarizes their capabilities side by side.</w:t>
      </w:r>
    </w:p>
    <w:p>
      <w:pPr>
        <w:pStyle w:val="TableCaption"/>
      </w:pPr>
      <w:r>
        <w:rPr>
          <w:b/>
          <w:bCs/>
        </w:rPr>
        <w:t xml:space="preserve">Table 2.3: </w:t>
      </w:r>
      <w:r>
        <w:t xml:space="preserve">Comparison of ResilientAI with existing systems</w:t>
      </w:r>
    </w:p>
    <w:tbl>
      <w:tblPr>
        <w:tblW w:w="925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30" w:type="dxa"/>
          <w:left w:w="80" w:type="dxa"/>
          <w:bottom w:w="30" w:type="dxa"/>
          <w:right w:w="80" w:type="dxa"/>
        </w:tblCellMar>
        <w:tblLook w:val="0000"/>
      </w:tblPr>
      <w:tblGrid>
        <w:gridCol w:w="1452"/>
        <w:gridCol w:w="1997"/>
        <w:gridCol w:w="1815"/>
        <w:gridCol w:w="1815"/>
        <w:gridCol w:w="2178"/>
      </w:tblGrid>
      <w:tr>
        <w:trPr>
          <w:cantSplit/>
          <w:tblHeader/>
        </w:trPr>
        <w:tc>
          <w:tcPr>
            <w:tcW w:w="1452" w:type="dxa"/>
            <w:shd w:val="clear" w:color="auto" w:fill="D9E2F3"/>
            <w:vAlign w:val="center"/>
          </w:tcPr>
          <w:p>
            <w:pPr>
              <w:pStyle w:val="TableText"/>
              <w:keepNext/>
              <w:jc w:val="center"/>
            </w:pPr>
            <w:r>
              <w:rPr>
                <w:sz w:val="18"/>
                <w:szCs w:val="18"/>
                <w:b/>
                <w:bCs/>
              </w:rPr>
              <w:t xml:space="preserve">System / paper</w:t>
            </w:r>
          </w:p>
        </w:tc>
        <w:tc>
          <w:tcPr>
            <w:tcW w:w="1997" w:type="dxa"/>
            <w:shd w:val="clear" w:color="auto" w:fill="D9E2F3"/>
            <w:vAlign w:val="center"/>
          </w:tcPr>
          <w:p>
            <w:pPr>
              <w:pStyle w:val="TableText"/>
              <w:keepNext/>
              <w:jc w:val="center"/>
            </w:pPr>
            <w:r>
              <w:rPr>
                <w:sz w:val="18"/>
                <w:szCs w:val="18"/>
                <w:b/>
                <w:bCs/>
              </w:rPr>
              <w:t xml:space="preserve">Features / method</w:t>
            </w:r>
          </w:p>
        </w:tc>
        <w:tc>
          <w:tcPr>
            <w:tcW w:w="1815" w:type="dxa"/>
            <w:shd w:val="clear" w:color="auto" w:fill="D9E2F3"/>
            <w:vAlign w:val="center"/>
          </w:tcPr>
          <w:p>
            <w:pPr>
              <w:pStyle w:val="TableText"/>
              <w:keepNext/>
              <w:jc w:val="center"/>
            </w:pPr>
            <w:r>
              <w:rPr>
                <w:sz w:val="18"/>
                <w:szCs w:val="18"/>
                <w:b/>
                <w:bCs/>
              </w:rPr>
              <w:t xml:space="preserve">Strengths</w:t>
            </w:r>
          </w:p>
        </w:tc>
        <w:tc>
          <w:tcPr>
            <w:tcW w:w="1815" w:type="dxa"/>
            <w:shd w:val="clear" w:color="auto" w:fill="D9E2F3"/>
            <w:vAlign w:val="center"/>
          </w:tcPr>
          <w:p>
            <w:pPr>
              <w:pStyle w:val="TableText"/>
              <w:keepNext/>
              <w:jc w:val="center"/>
            </w:pPr>
            <w:r>
              <w:rPr>
                <w:sz w:val="18"/>
                <w:szCs w:val="18"/>
                <w:b/>
                <w:bCs/>
              </w:rPr>
              <w:t xml:space="preserve">Limitations</w:t>
            </w:r>
          </w:p>
        </w:tc>
        <w:tc>
          <w:tcPr>
            <w:tcW w:w="2178" w:type="dxa"/>
            <w:shd w:val="clear" w:color="auto" w:fill="D9E2F3"/>
            <w:vAlign w:val="center"/>
          </w:tcPr>
          <w:p>
            <w:pPr>
              <w:pStyle w:val="TableText"/>
              <w:keepNext/>
              <w:jc w:val="center"/>
            </w:pPr>
            <w:r>
              <w:rPr>
                <w:sz w:val="18"/>
                <w:szCs w:val="18"/>
                <w:b/>
                <w:bCs/>
              </w:rPr>
              <w:t xml:space="preserve">Difference in proposed work</w:t>
            </w:r>
          </w:p>
        </w:tc>
      </w:tr>
      <w:tr>
        <w:trPr>
          <w:cantSplit/>
        </w:trPr>
        <w:tc>
          <w:tcPr>
            <w:tcW w:w="1452" w:type="dxa"/>
            <w:vAlign w:val="center"/>
          </w:tcPr>
          <w:p>
            <w:pPr>
              <w:pStyle w:val="TableText"/>
              <w:keepNext/>
              <w:jc w:val="left"/>
            </w:pPr>
            <w:r>
              <w:rPr>
                <w:sz w:val="18"/>
                <w:szCs w:val="18"/>
              </w:rPr>
              <w:t xml:space="preserve">Error-rate monitors (DDM, ADWIN) </w:t>
            </w:r>
            <w:r>
              <w:rPr>
                <w:sz w:val="18"/>
                <w:szCs w:val="18"/>
              </w:rPr>
              <w:t xml:space="preserve">[7], [8]</w:t>
            </w:r>
          </w:p>
        </w:tc>
        <w:tc>
          <w:tcPr>
            <w:tcW w:w="1997" w:type="dxa"/>
            <w:vAlign w:val="center"/>
          </w:tcPr>
          <w:p>
            <w:pPr>
              <w:pStyle w:val="TableText"/>
              <w:keepNext/>
              <w:jc w:val="left"/>
            </w:pPr>
            <w:r>
              <w:rPr>
                <w:sz w:val="18"/>
                <w:szCs w:val="18"/>
              </w:rPr>
              <w:t xml:space="preserve">Track the error rate online</w:t>
            </w:r>
          </w:p>
        </w:tc>
        <w:tc>
          <w:tcPr>
            <w:tcW w:w="1815" w:type="dxa"/>
            <w:vAlign w:val="center"/>
          </w:tcPr>
          <w:p>
            <w:pPr>
              <w:pStyle w:val="TableText"/>
              <w:keepNext/>
              <w:jc w:val="left"/>
            </w:pPr>
            <w:r>
              <w:rPr>
                <w:sz w:val="18"/>
                <w:szCs w:val="18"/>
              </w:rPr>
              <w:t xml:space="preserve">Simple; detect concept drift</w:t>
            </w:r>
          </w:p>
        </w:tc>
        <w:tc>
          <w:tcPr>
            <w:tcW w:w="1815" w:type="dxa"/>
            <w:vAlign w:val="center"/>
          </w:tcPr>
          <w:p>
            <w:pPr>
              <w:pStyle w:val="TableText"/>
              <w:keepNext/>
              <w:jc w:val="left"/>
            </w:pPr>
            <w:r>
              <w:rPr>
                <w:sz w:val="18"/>
                <w:szCs w:val="18"/>
              </w:rPr>
              <w:t xml:space="preserve">Need all labels; cannot separate concept drift from label noise</w:t>
            </w:r>
          </w:p>
        </w:tc>
        <w:tc>
          <w:tcPr>
            <w:tcW w:w="2178" w:type="dxa"/>
            <w:vAlign w:val="center"/>
          </w:tcPr>
          <w:p>
            <w:pPr>
              <w:pStyle w:val="TableText"/>
              <w:keepNext/>
              <w:jc w:val="left"/>
            </w:pPr>
            <w:r>
              <w:rPr>
                <w:sz w:val="18"/>
                <w:szCs w:val="18"/>
              </w:rPr>
              <w:t xml:space="preserve">Labels only for a small audit; separates the two</w:t>
            </w:r>
          </w:p>
        </w:tc>
      </w:tr>
      <w:tr>
        <w:trPr>
          <w:cantSplit/>
        </w:trPr>
        <w:tc>
          <w:tcPr>
            <w:tcW w:w="1452" w:type="dxa"/>
            <w:vAlign w:val="center"/>
          </w:tcPr>
          <w:p>
            <w:pPr>
              <w:pStyle w:val="TableText"/>
              <w:keepNext/>
              <w:jc w:val="left"/>
            </w:pPr>
            <w:r>
              <w:rPr>
                <w:sz w:val="18"/>
                <w:szCs w:val="18"/>
              </w:rPr>
              <w:t xml:space="preserve">Black-box shift detection </w:t>
            </w:r>
            <w:r>
              <w:rPr>
                <w:sz w:val="18"/>
                <w:szCs w:val="18"/>
              </w:rPr>
              <w:t xml:space="preserve">[3]</w:t>
            </w:r>
          </w:p>
        </w:tc>
        <w:tc>
          <w:tcPr>
            <w:tcW w:w="1997" w:type="dxa"/>
            <w:vAlign w:val="center"/>
          </w:tcPr>
          <w:p>
            <w:pPr>
              <w:pStyle w:val="TableText"/>
              <w:keepNext/>
              <w:jc w:val="left"/>
            </w:pPr>
            <w:r>
              <w:rPr>
                <w:sz w:val="18"/>
                <w:szCs w:val="18"/>
              </w:rPr>
              <w:t xml:space="preserve">Two-sample tests on model outputs</w:t>
            </w:r>
          </w:p>
        </w:tc>
        <w:tc>
          <w:tcPr>
            <w:tcW w:w="1815" w:type="dxa"/>
            <w:vAlign w:val="center"/>
          </w:tcPr>
          <w:p>
            <w:pPr>
              <w:pStyle w:val="TableText"/>
              <w:keepNext/>
              <w:jc w:val="left"/>
            </w:pPr>
            <w:r>
              <w:rPr>
                <w:sz w:val="18"/>
                <w:szCs w:val="18"/>
              </w:rPr>
              <w:t xml:space="preserve">Strong, label-free detection</w:t>
            </w:r>
          </w:p>
        </w:tc>
        <w:tc>
          <w:tcPr>
            <w:tcW w:w="1815" w:type="dxa"/>
            <w:vAlign w:val="center"/>
          </w:tcPr>
          <w:p>
            <w:pPr>
              <w:pStyle w:val="TableText"/>
              <w:keepNext/>
              <w:jc w:val="left"/>
            </w:pPr>
            <w:r>
              <w:rPr>
                <w:sz w:val="18"/>
                <w:szCs w:val="18"/>
              </w:rPr>
              <w:t xml:space="preserve">No drift type, no accuracy estimate</w:t>
            </w:r>
          </w:p>
        </w:tc>
        <w:tc>
          <w:tcPr>
            <w:tcW w:w="2178" w:type="dxa"/>
            <w:vAlign w:val="center"/>
          </w:tcPr>
          <w:p>
            <w:pPr>
              <w:pStyle w:val="TableText"/>
              <w:keepNext/>
              <w:jc w:val="left"/>
            </w:pPr>
            <w:r>
              <w:rPr>
                <w:sz w:val="18"/>
                <w:szCs w:val="18"/>
              </w:rPr>
              <w:t xml:space="preserve">Detection is one stage of a full diagnosis</w:t>
            </w:r>
          </w:p>
        </w:tc>
      </w:tr>
      <w:tr>
        <w:trPr>
          <w:cantSplit/>
        </w:trPr>
        <w:tc>
          <w:tcPr>
            <w:tcW w:w="1452" w:type="dxa"/>
            <w:vAlign w:val="center"/>
          </w:tcPr>
          <w:p>
            <w:pPr>
              <w:pStyle w:val="TableText"/>
              <w:jc w:val="left"/>
            </w:pPr>
            <w:r>
              <w:rPr>
                <w:sz w:val="18"/>
                <w:szCs w:val="18"/>
              </w:rPr>
              <w:t xml:space="preserve">Black-box shift estimation </w:t>
            </w:r>
            <w:r>
              <w:rPr>
                <w:sz w:val="18"/>
                <w:szCs w:val="18"/>
              </w:rPr>
              <w:t xml:space="preserve">[11]</w:t>
            </w:r>
          </w:p>
        </w:tc>
        <w:tc>
          <w:tcPr>
            <w:tcW w:w="1997" w:type="dxa"/>
            <w:vAlign w:val="center"/>
          </w:tcPr>
          <w:p>
            <w:pPr>
              <w:pStyle w:val="TableText"/>
              <w:jc w:val="left"/>
            </w:pPr>
            <w:r>
              <w:rPr>
                <w:sz w:val="18"/>
                <w:szCs w:val="18"/>
              </w:rPr>
              <w:t xml:space="preserve">Estimates the new class prior</w:t>
            </w:r>
          </w:p>
        </w:tc>
        <w:tc>
          <w:tcPr>
            <w:tcW w:w="1815" w:type="dxa"/>
            <w:vAlign w:val="center"/>
          </w:tcPr>
          <w:p>
            <w:pPr>
              <w:pStyle w:val="TableText"/>
              <w:jc w:val="left"/>
            </w:pPr>
            <w:r>
              <w:rPr>
                <w:sz w:val="18"/>
                <w:szCs w:val="18"/>
              </w:rPr>
              <w:t xml:space="preserve">Label-free; works with any classifier</w:t>
            </w:r>
          </w:p>
        </w:tc>
        <w:tc>
          <w:tcPr>
            <w:tcW w:w="1815" w:type="dxa"/>
            <w:vAlign w:val="center"/>
          </w:tcPr>
          <w:p>
            <w:pPr>
              <w:pStyle w:val="TableText"/>
              <w:jc w:val="left"/>
            </w:pPr>
            <w:r>
              <w:rPr>
                <w:sz w:val="18"/>
                <w:szCs w:val="18"/>
              </w:rPr>
              <w:t xml:space="preserve">Assumes pure label shift</w:t>
            </w:r>
          </w:p>
        </w:tc>
        <w:tc>
          <w:tcPr>
            <w:tcW w:w="2178" w:type="dxa"/>
            <w:vAlign w:val="center"/>
          </w:tcPr>
          <w:p>
            <w:pPr>
              <w:pStyle w:val="TableText"/>
              <w:jc w:val="left"/>
            </w:pPr>
            <w:r>
              <w:rPr>
                <w:sz w:val="18"/>
                <w:szCs w:val="18"/>
              </w:rPr>
              <w:t xml:space="preserve">Tests the assumption before naming prior shift</w:t>
            </w:r>
          </w:p>
        </w:tc>
      </w:tr>
      <w:tr>
        <w:trPr>
          <w:cantSplit/>
        </w:trPr>
        <w:tc>
          <w:tcPr>
            <w:tcW w:w="1452" w:type="dxa"/>
            <w:vAlign w:val="center"/>
          </w:tcPr>
          <w:p>
            <w:pPr>
              <w:pStyle w:val="TableText"/>
              <w:jc w:val="left"/>
            </w:pPr>
            <w:r>
              <w:rPr>
                <w:sz w:val="18"/>
                <w:szCs w:val="18"/>
              </w:rPr>
              <w:t xml:space="preserve">CBPE and monitoring libraries </w:t>
            </w:r>
            <w:r>
              <w:rPr>
                <w:sz w:val="18"/>
                <w:szCs w:val="18"/>
              </w:rPr>
              <w:t xml:space="preserve">[12], [14]</w:t>
            </w:r>
          </w:p>
        </w:tc>
        <w:tc>
          <w:tcPr>
            <w:tcW w:w="1997" w:type="dxa"/>
            <w:vAlign w:val="center"/>
          </w:tcPr>
          <w:p>
            <w:pPr>
              <w:pStyle w:val="TableText"/>
              <w:jc w:val="left"/>
            </w:pPr>
            <w:r>
              <w:rPr>
                <w:sz w:val="18"/>
                <w:szCs w:val="18"/>
              </w:rPr>
              <w:t xml:space="preserve">Accuracy estimates, detectors, dashboards</w:t>
            </w:r>
          </w:p>
        </w:tc>
        <w:tc>
          <w:tcPr>
            <w:tcW w:w="1815" w:type="dxa"/>
            <w:vAlign w:val="center"/>
          </w:tcPr>
          <w:p>
            <w:pPr>
              <w:pStyle w:val="TableText"/>
              <w:jc w:val="left"/>
            </w:pPr>
            <w:r>
              <w:rPr>
                <w:sz w:val="18"/>
                <w:szCs w:val="18"/>
              </w:rPr>
              <w:t xml:space="preserve">Practical, packaged tools</w:t>
            </w:r>
          </w:p>
        </w:tc>
        <w:tc>
          <w:tcPr>
            <w:tcW w:w="1815" w:type="dxa"/>
            <w:vAlign w:val="center"/>
          </w:tcPr>
          <w:p>
            <w:pPr>
              <w:pStyle w:val="TableText"/>
              <w:jc w:val="left"/>
            </w:pPr>
            <w:r>
              <w:rPr>
                <w:sz w:val="18"/>
                <w:szCs w:val="18"/>
              </w:rPr>
              <w:t xml:space="preserve">No type diagnosis; estimates trust confidence</w:t>
            </w:r>
          </w:p>
        </w:tc>
        <w:tc>
          <w:tcPr>
            <w:tcW w:w="2178" w:type="dxa"/>
            <w:vAlign w:val="center"/>
          </w:tcPr>
          <w:p>
            <w:pPr>
              <w:pStyle w:val="TableText"/>
              <w:jc w:val="left"/>
            </w:pPr>
            <w:r>
              <w:rPr>
                <w:sz w:val="18"/>
                <w:szCs w:val="18"/>
              </w:rPr>
              <w:t xml:space="preserve">Adds diagnosis; reads the estimate as an upper bound</w:t>
            </w:r>
          </w:p>
        </w:tc>
      </w:tr>
      <w:tr>
        <w:trPr>
          <w:cantSplit/>
        </w:trPr>
        <w:tc>
          <w:tcPr>
            <w:tcW w:w="1452" w:type="dxa"/>
            <w:vAlign w:val="center"/>
          </w:tcPr>
          <w:p>
            <w:pPr>
              <w:pStyle w:val="TableText"/>
              <w:jc w:val="left"/>
            </w:pPr>
            <w:r>
              <w:rPr>
                <w:sz w:val="18"/>
                <w:szCs w:val="18"/>
              </w:rPr>
              <w:t xml:space="preserve">DetectShift </w:t>
            </w:r>
            <w:r>
              <w:rPr>
                <w:sz w:val="18"/>
                <w:szCs w:val="18"/>
              </w:rPr>
              <w:t xml:space="preserve">[15]</w:t>
            </w:r>
          </w:p>
        </w:tc>
        <w:tc>
          <w:tcPr>
            <w:tcW w:w="1997" w:type="dxa"/>
            <w:vAlign w:val="center"/>
          </w:tcPr>
          <w:p>
            <w:pPr>
              <w:pStyle w:val="TableText"/>
              <w:jc w:val="left"/>
            </w:pPr>
            <w:r>
              <w:rPr>
                <w:sz w:val="18"/>
                <w:szCs w:val="18"/>
              </w:rPr>
              <w:t xml:space="preserve">Tests each part of the joint distribution</w:t>
            </w:r>
          </w:p>
        </w:tc>
        <w:tc>
          <w:tcPr>
            <w:tcW w:w="1815" w:type="dxa"/>
            <w:vAlign w:val="center"/>
          </w:tcPr>
          <w:p>
            <w:pPr>
              <w:pStyle w:val="TableText"/>
              <w:jc w:val="left"/>
            </w:pPr>
            <w:r>
              <w:rPr>
                <w:sz w:val="18"/>
                <w:szCs w:val="18"/>
              </w:rPr>
              <w:t xml:space="preserve">Error-controlled type tests</w:t>
            </w:r>
          </w:p>
        </w:tc>
        <w:tc>
          <w:tcPr>
            <w:tcW w:w="1815" w:type="dxa"/>
            <w:vAlign w:val="center"/>
          </w:tcPr>
          <w:p>
            <w:pPr>
              <w:pStyle w:val="TableText"/>
              <w:jc w:val="left"/>
            </w:pPr>
            <w:r>
              <w:rPr>
                <w:sz w:val="18"/>
                <w:szCs w:val="18"/>
              </w:rPr>
              <w:t xml:space="preserve">Needs labeled production data; no label noise</w:t>
            </w:r>
          </w:p>
        </w:tc>
        <w:tc>
          <w:tcPr>
            <w:tcW w:w="2178" w:type="dxa"/>
            <w:vAlign w:val="center"/>
          </w:tcPr>
          <w:p>
            <w:pPr>
              <w:pStyle w:val="TableText"/>
              <w:jc w:val="left"/>
            </w:pPr>
            <w:r>
              <w:rPr>
                <w:sz w:val="18"/>
                <w:szCs w:val="18"/>
              </w:rPr>
              <w:t xml:space="preserve">Unlabeled data plus a few hundred late labels; adds label noise</w:t>
            </w:r>
          </w:p>
        </w:tc>
      </w:tr>
      <w:tr>
        <w:trPr>
          <w:cantSplit/>
        </w:trPr>
        <w:tc>
          <w:tcPr>
            <w:tcW w:w="1452" w:type="dxa"/>
            <w:vAlign w:val="center"/>
          </w:tcPr>
          <w:p>
            <w:pPr>
              <w:pStyle w:val="TableText"/>
              <w:jc w:val="left"/>
            </w:pPr>
            <w:r>
              <w:rPr>
                <w:sz w:val="18"/>
                <w:szCs w:val="18"/>
              </w:rPr>
              <w:t xml:space="preserve">Roschewitz et al. </w:t>
            </w:r>
            <w:r>
              <w:rPr>
                <w:sz w:val="18"/>
                <w:szCs w:val="18"/>
              </w:rPr>
              <w:t xml:space="preserve">[21]</w:t>
            </w:r>
          </w:p>
        </w:tc>
        <w:tc>
          <w:tcPr>
            <w:tcW w:w="1997" w:type="dxa"/>
            <w:vAlign w:val="center"/>
          </w:tcPr>
          <w:p>
            <w:pPr>
              <w:pStyle w:val="TableText"/>
              <w:jc w:val="left"/>
            </w:pPr>
            <w:r>
              <w:rPr>
                <w:sz w:val="18"/>
                <w:szCs w:val="18"/>
              </w:rPr>
              <w:t xml:space="preserve">Prevalence-adjusted re-testing of features</w:t>
            </w:r>
          </w:p>
        </w:tc>
        <w:tc>
          <w:tcPr>
            <w:tcW w:w="1815" w:type="dxa"/>
            <w:vAlign w:val="center"/>
          </w:tcPr>
          <w:p>
            <w:pPr>
              <w:pStyle w:val="TableText"/>
              <w:jc w:val="left"/>
            </w:pPr>
            <w:r>
              <w:rPr>
                <w:sz w:val="18"/>
                <w:szCs w:val="18"/>
              </w:rPr>
              <w:t xml:space="preserve">Separates prior from covariate shift without labels</w:t>
            </w:r>
          </w:p>
        </w:tc>
        <w:tc>
          <w:tcPr>
            <w:tcW w:w="1815" w:type="dxa"/>
            <w:vAlign w:val="center"/>
          </w:tcPr>
          <w:p>
            <w:pPr>
              <w:pStyle w:val="TableText"/>
              <w:jc w:val="left"/>
            </w:pPr>
            <w:r>
              <w:rPr>
                <w:sz w:val="18"/>
                <w:szCs w:val="18"/>
              </w:rPr>
              <w:t xml:space="preserve">Two types only</w:t>
            </w:r>
          </w:p>
        </w:tc>
        <w:tc>
          <w:tcPr>
            <w:tcW w:w="2178" w:type="dxa"/>
            <w:vAlign w:val="center"/>
          </w:tcPr>
          <w:p>
            <w:pPr>
              <w:pStyle w:val="TableText"/>
              <w:jc w:val="left"/>
            </w:pPr>
            <w:r>
              <w:rPr>
                <w:sz w:val="18"/>
                <w:szCs w:val="18"/>
              </w:rPr>
              <w:t xml:space="preserve">Same idea inside a four-type, error-controlled procedure</w:t>
            </w:r>
          </w:p>
        </w:tc>
      </w:tr>
      <w:tr>
        <w:trPr>
          <w:cantSplit/>
        </w:trPr>
        <w:tc>
          <w:tcPr>
            <w:tcW w:w="1452" w:type="dxa"/>
            <w:vAlign w:val="center"/>
          </w:tcPr>
          <w:p>
            <w:pPr>
              <w:pStyle w:val="TableText"/>
              <w:jc w:val="left"/>
            </w:pPr>
            <w:r>
              <w:rPr>
                <w:sz w:val="18"/>
                <w:szCs w:val="18"/>
              </w:rPr>
              <w:t xml:space="preserve">Drift patents </w:t>
            </w:r>
            <w:r>
              <w:rPr>
                <w:sz w:val="18"/>
                <w:szCs w:val="18"/>
              </w:rPr>
              <w:t xml:space="preserve">[33], [35], [36]</w:t>
            </w:r>
          </w:p>
        </w:tc>
        <w:tc>
          <w:tcPr>
            <w:tcW w:w="1997" w:type="dxa"/>
            <w:vAlign w:val="center"/>
          </w:tcPr>
          <w:p>
            <w:pPr>
              <w:pStyle w:val="TableText"/>
              <w:jc w:val="left"/>
            </w:pPr>
            <w:r>
              <w:rPr>
                <w:sz w:val="18"/>
                <w:szCs w:val="18"/>
              </w:rPr>
              <w:t xml:space="preserve">Distribution comparison, thresholds, correlation with accuracy</w:t>
            </w:r>
          </w:p>
        </w:tc>
        <w:tc>
          <w:tcPr>
            <w:tcW w:w="1815" w:type="dxa"/>
            <w:vAlign w:val="center"/>
          </w:tcPr>
          <w:p>
            <w:pPr>
              <w:pStyle w:val="TableText"/>
              <w:jc w:val="left"/>
            </w:pPr>
            <w:r>
              <w:rPr>
                <w:sz w:val="18"/>
                <w:szCs w:val="18"/>
              </w:rPr>
              <w:t xml:space="preserve">Deployed in industry</w:t>
            </w:r>
          </w:p>
        </w:tc>
        <w:tc>
          <w:tcPr>
            <w:tcW w:w="1815" w:type="dxa"/>
            <w:vAlign w:val="center"/>
          </w:tcPr>
          <w:p>
            <w:pPr>
              <w:pStyle w:val="TableText"/>
              <w:jc w:val="left"/>
            </w:pPr>
            <w:r>
              <w:rPr>
                <w:sz w:val="18"/>
                <w:szCs w:val="18"/>
              </w:rPr>
              <w:t xml:space="preserve">Thresholds without error control; no type diagnosis</w:t>
            </w:r>
          </w:p>
        </w:tc>
        <w:tc>
          <w:tcPr>
            <w:tcW w:w="2178" w:type="dxa"/>
            <w:vAlign w:val="center"/>
          </w:tcPr>
          <w:p>
            <w:pPr>
              <w:pStyle w:val="TableText"/>
              <w:jc w:val="left"/>
            </w:pPr>
            <w:r>
              <w:rPr>
                <w:sz w:val="18"/>
                <w:szCs w:val="18"/>
              </w:rPr>
              <w:t xml:space="preserve">Hypothesis tests with a stated error rate; four types</w:t>
            </w:r>
          </w:p>
        </w:tc>
      </w:tr>
    </w:tbl>
    <w:p>
      <w:pPr>
        <w:spacing w:before="0" w:after="120" w:line="240" w:lineRule="auto"/>
      </w:pPr>
    </w:p>
    <w:p>
      <w:pPr>
        <w:pStyle w:val="TableCaption"/>
      </w:pPr>
      <w:r>
        <w:rPr>
          <w:b/>
          <w:bCs/>
        </w:rPr>
        <w:t xml:space="preserve">Table 2.4: </w:t>
      </w:r>
      <w:r>
        <w:t xml:space="preserve">Capabilities of the closest methods and of ResilientAI. A tick marks a capability the method provides</w:t>
      </w:r>
    </w:p>
    <w:tbl>
      <w:tblPr>
        <w:tblW w:w="925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30" w:type="dxa"/>
          <w:left w:w="80" w:type="dxa"/>
          <w:bottom w:w="30" w:type="dxa"/>
          <w:right w:w="80" w:type="dxa"/>
        </w:tblCellMar>
        <w:tblLook w:val="0000"/>
      </w:tblPr>
      <w:tblGrid>
        <w:gridCol w:w="2454"/>
        <w:gridCol w:w="1115"/>
        <w:gridCol w:w="1115"/>
        <w:gridCol w:w="1115"/>
        <w:gridCol w:w="1227"/>
        <w:gridCol w:w="1115"/>
        <w:gridCol w:w="1115"/>
      </w:tblGrid>
      <w:tr>
        <w:trPr>
          <w:cantSplit/>
          <w:tblHeader/>
        </w:trPr>
        <w:tc>
          <w:tcPr>
            <w:tcW w:w="2454" w:type="dxa"/>
            <w:shd w:val="clear" w:color="auto" w:fill="D9E2F3"/>
            <w:vAlign w:val="center"/>
          </w:tcPr>
          <w:p>
            <w:pPr>
              <w:pStyle w:val="TableText"/>
              <w:keepNext/>
              <w:jc w:val="center"/>
            </w:pPr>
            <w:r>
              <w:rPr>
                <w:sz w:val="19"/>
                <w:szCs w:val="19"/>
                <w:b/>
                <w:bCs/>
              </w:rPr>
              <w:t xml:space="preserve">Method</w:t>
            </w:r>
          </w:p>
        </w:tc>
        <w:tc>
          <w:tcPr>
            <w:tcW w:w="1115" w:type="dxa"/>
            <w:shd w:val="clear" w:color="auto" w:fill="D9E2F3"/>
            <w:vAlign w:val="center"/>
          </w:tcPr>
          <w:p>
            <w:pPr>
              <w:pStyle w:val="TableText"/>
              <w:keepNext/>
              <w:jc w:val="center"/>
            </w:pPr>
            <w:r>
              <w:rPr>
                <w:sz w:val="19"/>
                <w:szCs w:val="19"/>
                <w:b/>
                <w:bCs/>
              </w:rPr>
              <w:t xml:space="preserve">Error rate stated</w:t>
            </w:r>
          </w:p>
        </w:tc>
        <w:tc>
          <w:tcPr>
            <w:tcW w:w="1115" w:type="dxa"/>
            <w:shd w:val="clear" w:color="auto" w:fill="D9E2F3"/>
            <w:vAlign w:val="center"/>
          </w:tcPr>
          <w:p>
            <w:pPr>
              <w:pStyle w:val="TableText"/>
              <w:keepNext/>
              <w:jc w:val="center"/>
            </w:pPr>
            <w:r>
              <w:rPr>
                <w:sz w:val="19"/>
                <w:szCs w:val="19"/>
                <w:b/>
                <w:bCs/>
              </w:rPr>
              <w:t xml:space="preserve">Accuracy estimate</w:t>
            </w:r>
          </w:p>
        </w:tc>
        <w:tc>
          <w:tcPr>
            <w:tcW w:w="1115" w:type="dxa"/>
            <w:shd w:val="clear" w:color="auto" w:fill="D9E2F3"/>
            <w:vAlign w:val="center"/>
          </w:tcPr>
          <w:p>
            <w:pPr>
              <w:pStyle w:val="TableText"/>
              <w:keepNext/>
              <w:jc w:val="center"/>
            </w:pPr>
            <w:r>
              <w:rPr>
                <w:sz w:val="19"/>
                <w:szCs w:val="19"/>
                <w:b/>
                <w:bCs/>
              </w:rPr>
              <w:t xml:space="preserve">Localizes features</w:t>
            </w:r>
          </w:p>
        </w:tc>
        <w:tc>
          <w:tcPr>
            <w:tcW w:w="1227" w:type="dxa"/>
            <w:shd w:val="clear" w:color="auto" w:fill="D9E2F3"/>
            <w:vAlign w:val="center"/>
          </w:tcPr>
          <w:p>
            <w:pPr>
              <w:pStyle w:val="TableText"/>
              <w:keepNext/>
              <w:jc w:val="center"/>
            </w:pPr>
            <w:r>
              <w:rPr>
                <w:sz w:val="19"/>
                <w:szCs w:val="19"/>
                <w:b/>
                <w:bCs/>
              </w:rPr>
              <w:t xml:space="preserve">Types named</w:t>
            </w:r>
          </w:p>
        </w:tc>
        <w:tc>
          <w:tcPr>
            <w:tcW w:w="1115" w:type="dxa"/>
            <w:shd w:val="clear" w:color="auto" w:fill="D9E2F3"/>
            <w:vAlign w:val="center"/>
          </w:tcPr>
          <w:p>
            <w:pPr>
              <w:pStyle w:val="TableText"/>
              <w:keepNext/>
              <w:jc w:val="center"/>
            </w:pPr>
            <w:r>
              <w:rPr>
                <w:sz w:val="19"/>
                <w:szCs w:val="19"/>
                <w:b/>
                <w:bCs/>
              </w:rPr>
              <w:t xml:space="preserve">Concept vs noise</w:t>
            </w:r>
          </w:p>
        </w:tc>
        <w:tc>
          <w:tcPr>
            <w:tcW w:w="1115" w:type="dxa"/>
            <w:shd w:val="clear" w:color="auto" w:fill="D9E2F3"/>
            <w:vAlign w:val="center"/>
          </w:tcPr>
          <w:p>
            <w:pPr>
              <w:pStyle w:val="TableText"/>
              <w:keepNext/>
              <w:jc w:val="center"/>
            </w:pPr>
            <w:r>
              <w:rPr>
                <w:sz w:val="19"/>
                <w:szCs w:val="19"/>
                <w:b/>
                <w:bCs/>
              </w:rPr>
              <w:t xml:space="preserve">Held-out drift</w:t>
            </w:r>
          </w:p>
        </w:tc>
      </w:tr>
      <w:tr>
        <w:trPr>
          <w:cantSplit/>
        </w:trPr>
        <w:tc>
          <w:tcPr>
            <w:tcW w:w="2454" w:type="dxa"/>
            <w:vAlign w:val="center"/>
          </w:tcPr>
          <w:p>
            <w:pPr>
              <w:pStyle w:val="TableText"/>
              <w:keepNext/>
              <w:jc w:val="left"/>
            </w:pPr>
            <w:r>
              <w:rPr>
                <w:sz w:val="19"/>
                <w:szCs w:val="19"/>
              </w:rPr>
              <w:t xml:space="preserve">BBSD </w:t>
            </w:r>
            <w:r>
              <w:rPr>
                <w:sz w:val="19"/>
                <w:szCs w:val="19"/>
              </w:rPr>
              <w:t xml:space="preserve">[3]</w:t>
            </w:r>
          </w:p>
        </w:tc>
        <w:tc>
          <w:tcPr>
            <w:tcW w:w="1115" w:type="dxa"/>
            <w:vAlign w:val="center"/>
          </w:tcPr>
          <w:p>
            <w:pPr>
              <w:pStyle w:val="TableText"/>
              <w:keepNext/>
              <w:jc w:val="center"/>
            </w:pPr>
            <w:r>
              <w:rPr>
                <w:sz w:val="19"/>
                <w:szCs w:val="19"/>
              </w:rPr>
              <w:t xml:space="preserve">✓</w:t>
            </w:r>
          </w:p>
        </w:tc>
        <w:tc>
          <w:tcPr>
            <w:tcW w:w="1115" w:type="dxa"/>
            <w:vAlign w:val="center"/>
          </w:tcPr>
          <w:p>
            <w:pPr>
              <w:pStyle w:val="TableText"/>
              <w:keepNext/>
              <w:jc w:val="center"/>
            </w:pPr>
            <w:r>
              <w:rPr>
                <w:sz w:val="19"/>
                <w:szCs w:val="19"/>
              </w:rPr>
              <w:t xml:space="preserve">–</w:t>
            </w:r>
          </w:p>
        </w:tc>
        <w:tc>
          <w:tcPr>
            <w:tcW w:w="1115" w:type="dxa"/>
            <w:vAlign w:val="center"/>
          </w:tcPr>
          <w:p>
            <w:pPr>
              <w:pStyle w:val="TableText"/>
              <w:keepNext/>
              <w:jc w:val="center"/>
            </w:pPr>
            <w:r>
              <w:rPr>
                <w:sz w:val="19"/>
                <w:szCs w:val="19"/>
              </w:rPr>
              <w:t xml:space="preserve">limited</w:t>
            </w:r>
          </w:p>
        </w:tc>
        <w:tc>
          <w:tcPr>
            <w:tcW w:w="1227" w:type="dxa"/>
            <w:vAlign w:val="center"/>
          </w:tcPr>
          <w:p>
            <w:pPr>
              <w:pStyle w:val="TableText"/>
              <w:keepNext/>
              <w:jc w:val="center"/>
            </w:pPr>
            <w:r>
              <w:rPr>
                <w:sz w:val="19"/>
                <w:szCs w:val="19"/>
              </w:rPr>
              <w:t xml:space="preserve">–</w:t>
            </w:r>
          </w:p>
        </w:tc>
        <w:tc>
          <w:tcPr>
            <w:tcW w:w="1115" w:type="dxa"/>
            <w:vAlign w:val="center"/>
          </w:tcPr>
          <w:p>
            <w:pPr>
              <w:pStyle w:val="TableText"/>
              <w:keepNext/>
              <w:jc w:val="center"/>
            </w:pPr>
            <w:r>
              <w:rPr>
                <w:sz w:val="19"/>
                <w:szCs w:val="19"/>
              </w:rPr>
              <w:t xml:space="preserve">–</w:t>
            </w:r>
          </w:p>
        </w:tc>
        <w:tc>
          <w:tcPr>
            <w:tcW w:w="1115" w:type="dxa"/>
            <w:vAlign w:val="center"/>
          </w:tcPr>
          <w:p>
            <w:pPr>
              <w:pStyle w:val="TableText"/>
              <w:keepNext/>
              <w:jc w:val="center"/>
            </w:pPr>
            <w:r>
              <w:rPr>
                <w:sz w:val="19"/>
                <w:szCs w:val="19"/>
              </w:rPr>
              <w:t xml:space="preserve">–</w:t>
            </w:r>
          </w:p>
        </w:tc>
      </w:tr>
      <w:tr>
        <w:trPr>
          <w:cantSplit/>
        </w:trPr>
        <w:tc>
          <w:tcPr>
            <w:tcW w:w="2454" w:type="dxa"/>
            <w:vAlign w:val="center"/>
          </w:tcPr>
          <w:p>
            <w:pPr>
              <w:pStyle w:val="TableText"/>
              <w:keepNext/>
              <w:jc w:val="left"/>
            </w:pPr>
            <w:r>
              <w:rPr>
                <w:sz w:val="19"/>
                <w:szCs w:val="19"/>
              </w:rPr>
              <w:t xml:space="preserve">BBSE </w:t>
            </w:r>
            <w:r>
              <w:rPr>
                <w:sz w:val="19"/>
                <w:szCs w:val="19"/>
              </w:rPr>
              <w:t xml:space="preserve">[11]</w:t>
            </w:r>
          </w:p>
        </w:tc>
        <w:tc>
          <w:tcPr>
            <w:tcW w:w="1115" w:type="dxa"/>
            <w:vAlign w:val="center"/>
          </w:tcPr>
          <w:p>
            <w:pPr>
              <w:pStyle w:val="TableText"/>
              <w:keepNext/>
              <w:jc w:val="center"/>
            </w:pPr>
            <w:r>
              <w:rPr>
                <w:sz w:val="19"/>
                <w:szCs w:val="19"/>
              </w:rPr>
              <w:t xml:space="preserve">✓</w:t>
            </w:r>
          </w:p>
        </w:tc>
        <w:tc>
          <w:tcPr>
            <w:tcW w:w="1115" w:type="dxa"/>
            <w:vAlign w:val="center"/>
          </w:tcPr>
          <w:p>
            <w:pPr>
              <w:pStyle w:val="TableText"/>
              <w:keepNext/>
              <w:jc w:val="center"/>
            </w:pPr>
            <w:r>
              <w:rPr>
                <w:sz w:val="19"/>
                <w:szCs w:val="19"/>
              </w:rPr>
              <w:t xml:space="preserve">–</w:t>
            </w:r>
          </w:p>
        </w:tc>
        <w:tc>
          <w:tcPr>
            <w:tcW w:w="1115" w:type="dxa"/>
            <w:vAlign w:val="center"/>
          </w:tcPr>
          <w:p>
            <w:pPr>
              <w:pStyle w:val="TableText"/>
              <w:keepNext/>
              <w:jc w:val="center"/>
            </w:pPr>
            <w:r>
              <w:rPr>
                <w:sz w:val="19"/>
                <w:szCs w:val="19"/>
              </w:rPr>
              <w:t xml:space="preserve">–</w:t>
            </w:r>
          </w:p>
        </w:tc>
        <w:tc>
          <w:tcPr>
            <w:tcW w:w="1227" w:type="dxa"/>
            <w:vAlign w:val="center"/>
          </w:tcPr>
          <w:p>
            <w:pPr>
              <w:pStyle w:val="TableText"/>
              <w:keepNext/>
              <w:jc w:val="center"/>
            </w:pPr>
            <w:r>
              <w:rPr>
                <w:sz w:val="19"/>
                <w:szCs w:val="19"/>
              </w:rPr>
              <w:t xml:space="preserve">prior</w:t>
            </w:r>
          </w:p>
        </w:tc>
        <w:tc>
          <w:tcPr>
            <w:tcW w:w="1115" w:type="dxa"/>
            <w:vAlign w:val="center"/>
          </w:tcPr>
          <w:p>
            <w:pPr>
              <w:pStyle w:val="TableText"/>
              <w:keepNext/>
              <w:jc w:val="center"/>
            </w:pPr>
            <w:r>
              <w:rPr>
                <w:sz w:val="19"/>
                <w:szCs w:val="19"/>
              </w:rPr>
              <w:t xml:space="preserve">–</w:t>
            </w:r>
          </w:p>
        </w:tc>
        <w:tc>
          <w:tcPr>
            <w:tcW w:w="1115" w:type="dxa"/>
            <w:vAlign w:val="center"/>
          </w:tcPr>
          <w:p>
            <w:pPr>
              <w:pStyle w:val="TableText"/>
              <w:keepNext/>
              <w:jc w:val="center"/>
            </w:pPr>
            <w:r>
              <w:rPr>
                <w:sz w:val="19"/>
                <w:szCs w:val="19"/>
              </w:rPr>
              <w:t xml:space="preserve">–</w:t>
            </w:r>
          </w:p>
        </w:tc>
      </w:tr>
      <w:tr>
        <w:trPr>
          <w:cantSplit/>
        </w:trPr>
        <w:tc>
          <w:tcPr>
            <w:tcW w:w="2454" w:type="dxa"/>
            <w:vAlign w:val="center"/>
          </w:tcPr>
          <w:p>
            <w:pPr>
              <w:pStyle w:val="TableText"/>
              <w:jc w:val="left"/>
            </w:pPr>
            <w:r>
              <w:rPr>
                <w:sz w:val="19"/>
                <w:szCs w:val="19"/>
              </w:rPr>
              <w:t xml:space="preserve">CBPE </w:t>
            </w:r>
            <w:r>
              <w:rPr>
                <w:sz w:val="19"/>
                <w:szCs w:val="19"/>
              </w:rPr>
              <w:t xml:space="preserve">[12]</w:t>
            </w:r>
          </w:p>
        </w:tc>
        <w:tc>
          <w:tcPr>
            <w:tcW w:w="1115" w:type="dxa"/>
            <w:vAlign w:val="center"/>
          </w:tcPr>
          <w:p>
            <w:pPr>
              <w:pStyle w:val="TableText"/>
              <w:jc w:val="center"/>
            </w:pPr>
            <w:r>
              <w:rPr>
                <w:sz w:val="19"/>
                <w:szCs w:val="19"/>
              </w:rPr>
              <w:t xml:space="preserve">–</w:t>
            </w:r>
          </w:p>
        </w:tc>
        <w:tc>
          <w:tcPr>
            <w:tcW w:w="1115" w:type="dxa"/>
            <w:vAlign w:val="center"/>
          </w:tcPr>
          <w:p>
            <w:pPr>
              <w:pStyle w:val="TableText"/>
              <w:jc w:val="center"/>
            </w:pPr>
            <w:r>
              <w:rPr>
                <w:sz w:val="19"/>
                <w:szCs w:val="19"/>
              </w:rPr>
              <w:t xml:space="preserve">✓</w:t>
            </w:r>
          </w:p>
        </w:tc>
        <w:tc>
          <w:tcPr>
            <w:tcW w:w="1115" w:type="dxa"/>
            <w:vAlign w:val="center"/>
          </w:tcPr>
          <w:p>
            <w:pPr>
              <w:pStyle w:val="TableText"/>
              <w:jc w:val="center"/>
            </w:pPr>
            <w:r>
              <w:rPr>
                <w:sz w:val="19"/>
                <w:szCs w:val="19"/>
              </w:rPr>
              <w:t xml:space="preserve">–</w:t>
            </w:r>
          </w:p>
        </w:tc>
        <w:tc>
          <w:tcPr>
            <w:tcW w:w="1227" w:type="dxa"/>
            <w:vAlign w:val="center"/>
          </w:tcPr>
          <w:p>
            <w:pPr>
              <w:pStyle w:val="TableText"/>
              <w:jc w:val="center"/>
            </w:pPr>
            <w:r>
              <w:rPr>
                <w:sz w:val="19"/>
                <w:szCs w:val="19"/>
              </w:rPr>
              <w:t xml:space="preserve">–</w:t>
            </w:r>
          </w:p>
        </w:tc>
        <w:tc>
          <w:tcPr>
            <w:tcW w:w="1115" w:type="dxa"/>
            <w:vAlign w:val="center"/>
          </w:tcPr>
          <w:p>
            <w:pPr>
              <w:pStyle w:val="TableText"/>
              <w:jc w:val="center"/>
            </w:pPr>
            <w:r>
              <w:rPr>
                <w:sz w:val="19"/>
                <w:szCs w:val="19"/>
              </w:rPr>
              <w:t xml:space="preserve">–</w:t>
            </w:r>
          </w:p>
        </w:tc>
        <w:tc>
          <w:tcPr>
            <w:tcW w:w="1115" w:type="dxa"/>
            <w:vAlign w:val="center"/>
          </w:tcPr>
          <w:p>
            <w:pPr>
              <w:pStyle w:val="TableText"/>
              <w:jc w:val="center"/>
            </w:pPr>
            <w:r>
              <w:rPr>
                <w:sz w:val="19"/>
                <w:szCs w:val="19"/>
              </w:rPr>
              <w:t xml:space="preserve">–</w:t>
            </w:r>
          </w:p>
        </w:tc>
      </w:tr>
      <w:tr>
        <w:trPr>
          <w:cantSplit/>
        </w:trPr>
        <w:tc>
          <w:tcPr>
            <w:tcW w:w="2454" w:type="dxa"/>
            <w:vAlign w:val="center"/>
          </w:tcPr>
          <w:p>
            <w:pPr>
              <w:pStyle w:val="TableText"/>
              <w:jc w:val="left"/>
            </w:pPr>
            <w:r>
              <w:rPr>
                <w:sz w:val="19"/>
                <w:szCs w:val="19"/>
              </w:rPr>
              <w:t xml:space="preserve">DetectShift </w:t>
            </w:r>
            <w:r>
              <w:rPr>
                <w:sz w:val="19"/>
                <w:szCs w:val="19"/>
              </w:rPr>
              <w:t xml:space="preserve">[15]</w:t>
            </w:r>
          </w:p>
        </w:tc>
        <w:tc>
          <w:tcPr>
            <w:tcW w:w="1115" w:type="dxa"/>
            <w:vAlign w:val="center"/>
          </w:tcPr>
          <w:p>
            <w:pPr>
              <w:pStyle w:val="TableText"/>
              <w:jc w:val="center"/>
            </w:pPr>
            <w:r>
              <w:rPr>
                <w:sz w:val="19"/>
                <w:szCs w:val="19"/>
              </w:rPr>
              <w:t xml:space="preserve">✓</w:t>
            </w:r>
          </w:p>
        </w:tc>
        <w:tc>
          <w:tcPr>
            <w:tcW w:w="1115" w:type="dxa"/>
            <w:vAlign w:val="center"/>
          </w:tcPr>
          <w:p>
            <w:pPr>
              <w:pStyle w:val="TableText"/>
              <w:jc w:val="center"/>
            </w:pPr>
            <w:r>
              <w:rPr>
                <w:sz w:val="19"/>
                <w:szCs w:val="19"/>
              </w:rPr>
              <w:t xml:space="preserve">–</w:t>
            </w:r>
          </w:p>
        </w:tc>
        <w:tc>
          <w:tcPr>
            <w:tcW w:w="1115" w:type="dxa"/>
            <w:vAlign w:val="center"/>
          </w:tcPr>
          <w:p>
            <w:pPr>
              <w:pStyle w:val="TableText"/>
              <w:jc w:val="center"/>
            </w:pPr>
            <w:r>
              <w:rPr>
                <w:sz w:val="19"/>
                <w:szCs w:val="19"/>
              </w:rPr>
              <w:t xml:space="preserve">–</w:t>
            </w:r>
          </w:p>
        </w:tc>
        <w:tc>
          <w:tcPr>
            <w:tcW w:w="1227" w:type="dxa"/>
            <w:vAlign w:val="center"/>
          </w:tcPr>
          <w:p>
            <w:pPr>
              <w:pStyle w:val="TableText"/>
              <w:jc w:val="center"/>
            </w:pPr>
            <w:r>
              <w:rPr>
                <w:sz w:val="19"/>
                <w:szCs w:val="19"/>
              </w:rPr>
              <w:t xml:space="preserve">needs labels</w:t>
            </w:r>
          </w:p>
        </w:tc>
        <w:tc>
          <w:tcPr>
            <w:tcW w:w="1115" w:type="dxa"/>
            <w:vAlign w:val="center"/>
          </w:tcPr>
          <w:p>
            <w:pPr>
              <w:pStyle w:val="TableText"/>
              <w:jc w:val="center"/>
            </w:pPr>
            <w:r>
              <w:rPr>
                <w:sz w:val="19"/>
                <w:szCs w:val="19"/>
              </w:rPr>
              <w:t xml:space="preserve">–</w:t>
            </w:r>
          </w:p>
        </w:tc>
        <w:tc>
          <w:tcPr>
            <w:tcW w:w="1115" w:type="dxa"/>
            <w:vAlign w:val="center"/>
          </w:tcPr>
          <w:p>
            <w:pPr>
              <w:pStyle w:val="TableText"/>
              <w:jc w:val="center"/>
            </w:pPr>
            <w:r>
              <w:rPr>
                <w:sz w:val="19"/>
                <w:szCs w:val="19"/>
              </w:rPr>
              <w:t xml:space="preserve">–</w:t>
            </w:r>
          </w:p>
        </w:tc>
      </w:tr>
      <w:tr>
        <w:trPr>
          <w:cantSplit/>
        </w:trPr>
        <w:tc>
          <w:tcPr>
            <w:tcW w:w="2454" w:type="dxa"/>
            <w:vAlign w:val="center"/>
          </w:tcPr>
          <w:p>
            <w:pPr>
              <w:pStyle w:val="TableText"/>
              <w:jc w:val="left"/>
            </w:pPr>
            <w:r>
              <w:rPr>
                <w:sz w:val="19"/>
                <w:szCs w:val="19"/>
              </w:rPr>
              <w:t xml:space="preserve">Roschewitz et al. </w:t>
            </w:r>
            <w:r>
              <w:rPr>
                <w:sz w:val="19"/>
                <w:szCs w:val="19"/>
              </w:rPr>
              <w:t xml:space="preserve">[21]</w:t>
            </w:r>
          </w:p>
        </w:tc>
        <w:tc>
          <w:tcPr>
            <w:tcW w:w="1115" w:type="dxa"/>
            <w:vAlign w:val="center"/>
          </w:tcPr>
          <w:p>
            <w:pPr>
              <w:pStyle w:val="TableText"/>
              <w:jc w:val="center"/>
            </w:pPr>
            <w:r>
              <w:rPr>
                <w:sz w:val="19"/>
                <w:szCs w:val="19"/>
              </w:rPr>
              <w:t xml:space="preserve">✓</w:t>
            </w:r>
          </w:p>
        </w:tc>
        <w:tc>
          <w:tcPr>
            <w:tcW w:w="1115" w:type="dxa"/>
            <w:vAlign w:val="center"/>
          </w:tcPr>
          <w:p>
            <w:pPr>
              <w:pStyle w:val="TableText"/>
              <w:jc w:val="center"/>
            </w:pPr>
            <w:r>
              <w:rPr>
                <w:sz w:val="19"/>
                <w:szCs w:val="19"/>
              </w:rPr>
              <w:t xml:space="preserve">–</w:t>
            </w:r>
          </w:p>
        </w:tc>
        <w:tc>
          <w:tcPr>
            <w:tcW w:w="1115" w:type="dxa"/>
            <w:vAlign w:val="center"/>
          </w:tcPr>
          <w:p>
            <w:pPr>
              <w:pStyle w:val="TableText"/>
              <w:jc w:val="center"/>
            </w:pPr>
            <w:r>
              <w:rPr>
                <w:sz w:val="19"/>
                <w:szCs w:val="19"/>
              </w:rPr>
              <w:t xml:space="preserve">–</w:t>
            </w:r>
          </w:p>
        </w:tc>
        <w:tc>
          <w:tcPr>
            <w:tcW w:w="1227" w:type="dxa"/>
            <w:vAlign w:val="center"/>
          </w:tcPr>
          <w:p>
            <w:pPr>
              <w:pStyle w:val="TableText"/>
              <w:jc w:val="center"/>
            </w:pPr>
            <w:r>
              <w:rPr>
                <w:sz w:val="19"/>
                <w:szCs w:val="19"/>
              </w:rPr>
              <w:t xml:space="preserve">prior, covariate</w:t>
            </w:r>
          </w:p>
        </w:tc>
        <w:tc>
          <w:tcPr>
            <w:tcW w:w="1115" w:type="dxa"/>
            <w:vAlign w:val="center"/>
          </w:tcPr>
          <w:p>
            <w:pPr>
              <w:pStyle w:val="TableText"/>
              <w:jc w:val="center"/>
            </w:pPr>
            <w:r>
              <w:rPr>
                <w:sz w:val="19"/>
                <w:szCs w:val="19"/>
              </w:rPr>
              <w:t xml:space="preserve">–</w:t>
            </w:r>
          </w:p>
        </w:tc>
        <w:tc>
          <w:tcPr>
            <w:tcW w:w="1115" w:type="dxa"/>
            <w:vAlign w:val="center"/>
          </w:tcPr>
          <w:p>
            <w:pPr>
              <w:pStyle w:val="TableText"/>
              <w:jc w:val="center"/>
            </w:pPr>
            <w:r>
              <w:rPr>
                <w:sz w:val="19"/>
                <w:szCs w:val="19"/>
              </w:rPr>
              <w:t xml:space="preserve">–</w:t>
            </w:r>
          </w:p>
        </w:tc>
      </w:tr>
      <w:tr>
        <w:trPr>
          <w:cantSplit/>
        </w:trPr>
        <w:tc>
          <w:tcPr>
            <w:tcW w:w="2454" w:type="dxa"/>
            <w:vAlign w:val="center"/>
          </w:tcPr>
          <w:p>
            <w:pPr>
              <w:pStyle w:val="TableText"/>
              <w:jc w:val="left"/>
            </w:pPr>
            <w:r>
              <w:rPr>
                <w:sz w:val="19"/>
                <w:szCs w:val="19"/>
              </w:rPr>
              <w:t xml:space="preserve">ResilientAI</w:t>
            </w:r>
          </w:p>
        </w:tc>
        <w:tc>
          <w:tcPr>
            <w:tcW w:w="1115" w:type="dxa"/>
            <w:vAlign w:val="center"/>
          </w:tcPr>
          <w:p>
            <w:pPr>
              <w:pStyle w:val="TableText"/>
              <w:jc w:val="center"/>
            </w:pPr>
            <w:r>
              <w:rPr>
                <w:sz w:val="19"/>
                <w:szCs w:val="19"/>
              </w:rPr>
              <w:t xml:space="preserve">✓</w:t>
            </w:r>
          </w:p>
        </w:tc>
        <w:tc>
          <w:tcPr>
            <w:tcW w:w="1115" w:type="dxa"/>
            <w:vAlign w:val="center"/>
          </w:tcPr>
          <w:p>
            <w:pPr>
              <w:pStyle w:val="TableText"/>
              <w:jc w:val="center"/>
            </w:pPr>
            <w:r>
              <w:rPr>
                <w:sz w:val="19"/>
                <w:szCs w:val="19"/>
              </w:rPr>
              <w:t xml:space="preserve">✓</w:t>
            </w:r>
          </w:p>
        </w:tc>
        <w:tc>
          <w:tcPr>
            <w:tcW w:w="1115" w:type="dxa"/>
            <w:vAlign w:val="center"/>
          </w:tcPr>
          <w:p>
            <w:pPr>
              <w:pStyle w:val="TableText"/>
              <w:jc w:val="center"/>
            </w:pPr>
            <w:r>
              <w:rPr>
                <w:sz w:val="19"/>
                <w:szCs w:val="19"/>
              </w:rPr>
              <w:t xml:space="preserve">✓</w:t>
            </w:r>
          </w:p>
        </w:tc>
        <w:tc>
          <w:tcPr>
            <w:tcW w:w="1227" w:type="dxa"/>
            <w:vAlign w:val="center"/>
          </w:tcPr>
          <w:p>
            <w:pPr>
              <w:pStyle w:val="TableText"/>
              <w:jc w:val="center"/>
            </w:pPr>
            <w:r>
              <w:rPr>
                <w:sz w:val="19"/>
                <w:szCs w:val="19"/>
              </w:rPr>
              <w:t xml:space="preserve">four</w:t>
            </w:r>
          </w:p>
        </w:tc>
        <w:tc>
          <w:tcPr>
            <w:tcW w:w="1115" w:type="dxa"/>
            <w:vAlign w:val="center"/>
          </w:tcPr>
          <w:p>
            <w:pPr>
              <w:pStyle w:val="TableText"/>
              <w:jc w:val="center"/>
            </w:pPr>
            <w:r>
              <w:rPr>
                <w:sz w:val="19"/>
                <w:szCs w:val="19"/>
              </w:rPr>
              <w:t xml:space="preserve">✓</w:t>
            </w:r>
          </w:p>
        </w:tc>
        <w:tc>
          <w:tcPr>
            <w:tcW w:w="1115" w:type="dxa"/>
            <w:vAlign w:val="center"/>
          </w:tcPr>
          <w:p>
            <w:pPr>
              <w:pStyle w:val="TableText"/>
              <w:jc w:val="center"/>
            </w:pPr>
            <w:r>
              <w:rPr>
                <w:sz w:val="19"/>
                <w:szCs w:val="19"/>
              </w:rPr>
              <w:t xml:space="preserve">✓</w:t>
            </w:r>
          </w:p>
        </w:tc>
      </w:tr>
    </w:tbl>
    <w:p>
      <w:pPr>
        <w:spacing w:before="0" w:after="120" w:line="240" w:lineRule="auto"/>
      </w:pPr>
    </w:p>
    <w:p>
      <w:pPr>
        <w:pStyle w:val="Normal"/>
      </w:pPr>
      <w:r>
        <w:t xml:space="preserve">Each existing method covers one or two of the columns. Roschewitz et al. come closest, separating prior from covariate shift without labels, while DetectShift names types only when the production data are labeled. ResilientAI is the only one that covers every column and in particular the only one that separates concept drift from label noise and is tested on held-out drift.</w:t>
      </w:r>
    </w:p>
    <w:p>
      <w:pPr>
        <w:pStyle w:val="Heading2"/>
      </w:pPr>
      <w:r>
        <w:t xml:space="preserve">2.6 Feasibility Analysis</w:t>
      </w:r>
    </w:p>
    <w:p>
      <w:pPr>
        <w:pStyle w:val="Normal"/>
      </w:pPr>
      <w:r>
        <w:t xml:space="preserve">Before committing to the project we checked whether it could be built and run with the resources available to a student team and whether it raised any legal or ethical concern. The analysis below covers each dimension the department asks for.</w:t>
      </w:r>
    </w:p>
    <w:p>
      <w:pPr>
        <w:pStyle w:val="Heading3"/>
      </w:pPr>
      <w:r>
        <w:t xml:space="preserve">2.6.1 Technical Feasibility</w:t>
      </w:r>
    </w:p>
    <w:p>
      <w:pPr>
        <w:pStyle w:val="Normal"/>
      </w:pPr>
      <w:r>
        <w:t xml:space="preserve">Every building block of the system is a well-understood statistical test or machine learning model with a mature open-source implementation: scikit-learn </w:t>
      </w:r>
      <w:r>
        <w:t xml:space="preserve">[39]</w:t>
      </w:r>
      <w:r>
        <w:t xml:space="preserve"> for the models, SciPy and NumPy </w:t>
      </w:r>
      <w:r>
        <w:t xml:space="preserve">[40], [41]</w:t>
      </w:r>
      <w:r>
        <w:t xml:space="preserve"> for the tests, SHAP </w:t>
      </w:r>
      <w:r>
        <w:t xml:space="preserve">[25]</w:t>
      </w:r>
      <w:r>
        <w:t xml:space="preserve"> for explanations and PyTorch for the image network. The data are public. The heaviest computation, the injection benchmark, took 1.6 hours on a desktop processor with 20 cores and no production window took longer than 90 seconds to analyze (Section </w:t>
      </w:r>
      <w:r>
        <w:t xml:space="preserve">7.4.7</w:t>
      </w:r>
      <w:r>
        <w:t xml:space="preserve">). The project was therefore technically feasible on the team’s own hardware.</w:t>
      </w:r>
    </w:p>
    <w:p>
      <w:pPr>
        <w:pStyle w:val="Heading3"/>
      </w:pPr>
      <w:r>
        <w:t xml:space="preserve">2.6.2 Economic and Financial Feasibility</w:t>
      </w:r>
    </w:p>
    <w:p>
      <w:pPr>
        <w:pStyle w:val="Normal"/>
      </w:pPr>
      <w:r>
        <w:t xml:space="preserve">The project needed no purchase. Table </w:t>
      </w:r>
      <w:r>
        <w:t xml:space="preserve">2.5</w:t>
      </w:r>
      <w:r>
        <w:t xml:space="preserve"> gives the budget, with the electricity cost estimated from the measured running time and the processor’s rated maximum power.</w:t>
      </w:r>
    </w:p>
    <w:p>
      <w:pPr>
        <w:pStyle w:val="TableCaption"/>
      </w:pPr>
      <w:r>
        <w:rPr>
          <w:b/>
          <w:bCs/>
        </w:rPr>
        <w:t xml:space="preserve">Table 2.5: </w:t>
      </w:r>
      <w:r>
        <w:t xml:space="preserve">Proposed and actual budget of the project</w:t>
      </w:r>
    </w:p>
    <w:tbl>
      <w:tblPr>
        <w:tblW w:w="925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30" w:type="dxa"/>
          <w:left w:w="80" w:type="dxa"/>
          <w:bottom w:w="30" w:type="dxa"/>
          <w:right w:w="80" w:type="dxa"/>
        </w:tblCellMar>
        <w:tblLook w:val="0000"/>
      </w:tblPr>
      <w:tblGrid>
        <w:gridCol w:w="3253"/>
        <w:gridCol w:w="4254"/>
        <w:gridCol w:w="1751"/>
      </w:tblGrid>
      <w:tr>
        <w:trPr>
          <w:cantSplit/>
          <w:tblHeader/>
        </w:trPr>
        <w:tc>
          <w:tcPr>
            <w:tcW w:w="3253" w:type="dxa"/>
            <w:shd w:val="clear" w:color="auto" w:fill="D9E2F3"/>
            <w:vAlign w:val="center"/>
          </w:tcPr>
          <w:p>
            <w:pPr>
              <w:pStyle w:val="TableText"/>
              <w:keepNext/>
              <w:jc w:val="center"/>
            </w:pPr>
            <w:r>
              <w:rPr>
                <w:sz w:val="20"/>
                <w:szCs w:val="20"/>
                <w:b/>
                <w:bCs/>
              </w:rPr>
              <w:t xml:space="preserve">Item</w:t>
            </w:r>
          </w:p>
        </w:tc>
        <w:tc>
          <w:tcPr>
            <w:tcW w:w="4254" w:type="dxa"/>
            <w:shd w:val="clear" w:color="auto" w:fill="D9E2F3"/>
            <w:vAlign w:val="center"/>
          </w:tcPr>
          <w:p>
            <w:pPr>
              <w:pStyle w:val="TableText"/>
              <w:keepNext/>
              <w:jc w:val="center"/>
            </w:pPr>
            <w:r>
              <w:rPr>
                <w:sz w:val="20"/>
                <w:szCs w:val="20"/>
                <w:b/>
                <w:bCs/>
              </w:rPr>
              <w:t xml:space="preserve">Basis</w:t>
            </w:r>
          </w:p>
        </w:tc>
        <w:tc>
          <w:tcPr>
            <w:tcW w:w="1751" w:type="dxa"/>
            <w:shd w:val="clear" w:color="auto" w:fill="D9E2F3"/>
            <w:vAlign w:val="center"/>
          </w:tcPr>
          <w:p>
            <w:pPr>
              <w:pStyle w:val="TableText"/>
              <w:keepNext/>
              <w:jc w:val="center"/>
            </w:pPr>
            <w:r>
              <w:rPr>
                <w:sz w:val="20"/>
                <w:szCs w:val="20"/>
                <w:b/>
                <w:bCs/>
              </w:rPr>
              <w:t xml:space="preserve">Cost (₹)</w:t>
            </w:r>
          </w:p>
        </w:tc>
      </w:tr>
      <w:tr>
        <w:trPr>
          <w:cantSplit/>
        </w:trPr>
        <w:tc>
          <w:tcPr>
            <w:tcW w:w="3253" w:type="dxa"/>
            <w:vAlign w:val="center"/>
          </w:tcPr>
          <w:p>
            <w:pPr>
              <w:pStyle w:val="TableText"/>
              <w:keepNext/>
              <w:jc w:val="left"/>
            </w:pPr>
            <w:r>
              <w:rPr>
                <w:sz w:val="20"/>
                <w:szCs w:val="20"/>
              </w:rPr>
              <w:t xml:space="preserve">Development workstation (Intel Core i5-14600K, 32 GB memory, NVIDIA RTX 4070)</w:t>
            </w:r>
          </w:p>
        </w:tc>
        <w:tc>
          <w:tcPr>
            <w:tcW w:w="4254" w:type="dxa"/>
            <w:vAlign w:val="center"/>
          </w:tcPr>
          <w:p>
            <w:pPr>
              <w:pStyle w:val="TableText"/>
              <w:keepNext/>
              <w:jc w:val="left"/>
            </w:pPr>
            <w:r>
              <w:rPr>
                <w:sz w:val="20"/>
                <w:szCs w:val="20"/>
              </w:rPr>
              <w:t xml:space="preserve">Already owned by a team member; no purchase</w:t>
            </w:r>
          </w:p>
        </w:tc>
        <w:tc>
          <w:tcPr>
            <w:tcW w:w="1751" w:type="dxa"/>
            <w:vAlign w:val="center"/>
          </w:tcPr>
          <w:p>
            <w:pPr>
              <w:pStyle w:val="TableText"/>
              <w:keepNext/>
              <w:jc w:val="left"/>
            </w:pPr>
            <w:r>
              <w:rPr>
                <w:sz w:val="20"/>
                <w:szCs w:val="20"/>
              </w:rPr>
              <w:t xml:space="preserve">0</w:t>
            </w:r>
          </w:p>
        </w:tc>
      </w:tr>
      <w:tr>
        <w:trPr>
          <w:cantSplit/>
        </w:trPr>
        <w:tc>
          <w:tcPr>
            <w:tcW w:w="3253" w:type="dxa"/>
            <w:vAlign w:val="center"/>
          </w:tcPr>
          <w:p>
            <w:pPr>
              <w:pStyle w:val="TableText"/>
              <w:keepNext/>
              <w:jc w:val="left"/>
            </w:pPr>
            <w:r>
              <w:rPr>
                <w:sz w:val="20"/>
                <w:szCs w:val="20"/>
              </w:rPr>
              <w:t xml:space="preserve">Software: Python, scikit-learn, SciPy, PyTorch, SHAP, Streamlit, LibreOffice</w:t>
            </w:r>
          </w:p>
        </w:tc>
        <w:tc>
          <w:tcPr>
            <w:tcW w:w="4254" w:type="dxa"/>
            <w:vAlign w:val="center"/>
          </w:tcPr>
          <w:p>
            <w:pPr>
              <w:pStyle w:val="TableText"/>
              <w:keepNext/>
              <w:jc w:val="left"/>
            </w:pPr>
            <w:r>
              <w:rPr>
                <w:sz w:val="20"/>
                <w:szCs w:val="20"/>
              </w:rPr>
              <w:t xml:space="preserve">Open-source licences</w:t>
            </w:r>
          </w:p>
        </w:tc>
        <w:tc>
          <w:tcPr>
            <w:tcW w:w="1751" w:type="dxa"/>
            <w:vAlign w:val="center"/>
          </w:tcPr>
          <w:p>
            <w:pPr>
              <w:pStyle w:val="TableText"/>
              <w:keepNext/>
              <w:jc w:val="left"/>
            </w:pPr>
            <w:r>
              <w:rPr>
                <w:sz w:val="20"/>
                <w:szCs w:val="20"/>
              </w:rPr>
              <w:t xml:space="preserve">0</w:t>
            </w:r>
          </w:p>
        </w:tc>
      </w:tr>
      <w:tr>
        <w:trPr>
          <w:cantSplit/>
        </w:trPr>
        <w:tc>
          <w:tcPr>
            <w:tcW w:w="3253" w:type="dxa"/>
            <w:vAlign w:val="center"/>
          </w:tcPr>
          <w:p>
            <w:pPr>
              <w:pStyle w:val="TableText"/>
              <w:jc w:val="left"/>
            </w:pPr>
            <w:r>
              <w:rPr>
                <w:sz w:val="20"/>
                <w:szCs w:val="20"/>
              </w:rPr>
              <w:t xml:space="preserve">Datasets: Folktables ACS, UCI gas sensor array, CLEAR-10</w:t>
            </w:r>
          </w:p>
        </w:tc>
        <w:tc>
          <w:tcPr>
            <w:tcW w:w="4254" w:type="dxa"/>
            <w:vAlign w:val="center"/>
          </w:tcPr>
          <w:p>
            <w:pPr>
              <w:pStyle w:val="TableText"/>
              <w:jc w:val="left"/>
            </w:pPr>
            <w:r>
              <w:rPr>
                <w:sz w:val="20"/>
                <w:szCs w:val="20"/>
              </w:rPr>
              <w:t xml:space="preserve">Free for research use</w:t>
            </w:r>
          </w:p>
        </w:tc>
        <w:tc>
          <w:tcPr>
            <w:tcW w:w="1751" w:type="dxa"/>
            <w:vAlign w:val="center"/>
          </w:tcPr>
          <w:p>
            <w:pPr>
              <w:pStyle w:val="TableText"/>
              <w:jc w:val="left"/>
            </w:pPr>
            <w:r>
              <w:rPr>
                <w:sz w:val="20"/>
                <w:szCs w:val="20"/>
              </w:rPr>
              <w:t xml:space="preserve">0</w:t>
            </w:r>
          </w:p>
        </w:tc>
      </w:tr>
      <w:tr>
        <w:trPr>
          <w:cantSplit/>
        </w:trPr>
        <w:tc>
          <w:tcPr>
            <w:tcW w:w="3253" w:type="dxa"/>
            <w:vAlign w:val="center"/>
          </w:tcPr>
          <w:p>
            <w:pPr>
              <w:pStyle w:val="TableText"/>
              <w:jc w:val="left"/>
            </w:pPr>
            <w:r>
              <w:rPr>
                <w:sz w:val="20"/>
                <w:szCs w:val="20"/>
              </w:rPr>
              <w:t xml:space="preserve">Cloud computing and paid services</w:t>
            </w:r>
          </w:p>
        </w:tc>
        <w:tc>
          <w:tcPr>
            <w:tcW w:w="4254" w:type="dxa"/>
            <w:vAlign w:val="center"/>
          </w:tcPr>
          <w:p>
            <w:pPr>
              <w:pStyle w:val="TableText"/>
              <w:jc w:val="left"/>
            </w:pPr>
            <w:r>
              <w:rPr>
                <w:sz w:val="20"/>
                <w:szCs w:val="20"/>
              </w:rPr>
              <w:t xml:space="preserve">Not used</w:t>
            </w:r>
          </w:p>
        </w:tc>
        <w:tc>
          <w:tcPr>
            <w:tcW w:w="1751" w:type="dxa"/>
            <w:vAlign w:val="center"/>
          </w:tcPr>
          <w:p>
            <w:pPr>
              <w:pStyle w:val="TableText"/>
              <w:jc w:val="left"/>
            </w:pPr>
            <w:r>
              <w:rPr>
                <w:sz w:val="20"/>
                <w:szCs w:val="20"/>
              </w:rPr>
              <w:t xml:space="preserve">0</w:t>
            </w:r>
          </w:p>
        </w:tc>
      </w:tr>
      <w:tr>
        <w:trPr>
          <w:cantSplit/>
        </w:trPr>
        <w:tc>
          <w:tcPr>
            <w:tcW w:w="3253" w:type="dxa"/>
            <w:vAlign w:val="center"/>
          </w:tcPr>
          <w:p>
            <w:pPr>
              <w:pStyle w:val="TableText"/>
              <w:jc w:val="left"/>
            </w:pPr>
            <w:r>
              <w:rPr>
                <w:sz w:val="20"/>
                <w:szCs w:val="20"/>
              </w:rPr>
              <w:t xml:space="preserve">Electricity for the experiments</w:t>
            </w:r>
          </w:p>
        </w:tc>
        <w:tc>
          <w:tcPr>
            <w:tcW w:w="4254" w:type="dxa"/>
            <w:vAlign w:val="center"/>
          </w:tcPr>
          <w:p>
            <w:pPr>
              <w:pStyle w:val="TableText"/>
              <w:jc w:val="left"/>
            </w:pPr>
            <w:r>
              <w:rPr>
                <w:sz w:val="20"/>
                <w:szCs w:val="20"/>
              </w:rPr>
              <w:t xml:space="preserve">0.43 kWh at an assumed ₹10 per kWh</w:t>
            </w:r>
          </w:p>
        </w:tc>
        <w:tc>
          <w:tcPr>
            <w:tcW w:w="1751" w:type="dxa"/>
            <w:vAlign w:val="center"/>
          </w:tcPr>
          <w:p>
            <w:pPr>
              <w:pStyle w:val="TableText"/>
              <w:jc w:val="left"/>
            </w:pPr>
            <w:r>
              <w:rPr>
                <w:sz w:val="20"/>
                <w:szCs w:val="20"/>
              </w:rPr>
              <w:t xml:space="preserve">4</w:t>
            </w:r>
          </w:p>
        </w:tc>
      </w:tr>
      <w:tr>
        <w:trPr>
          <w:cantSplit/>
        </w:trPr>
        <w:tc>
          <w:tcPr>
            <w:tcW w:w="3253" w:type="dxa"/>
            <w:vAlign w:val="center"/>
          </w:tcPr>
          <w:p>
            <w:pPr>
              <w:pStyle w:val="TableText"/>
              <w:jc w:val="left"/>
            </w:pPr>
            <w:r>
              <w:rPr>
                <w:sz w:val="20"/>
                <w:szCs w:val="20"/>
              </w:rPr>
              <w:t xml:space="preserve">Total</w:t>
            </w:r>
          </w:p>
        </w:tc>
        <w:tc>
          <w:tcPr>
            <w:tcW w:w="4254" w:type="dxa"/>
            <w:vAlign w:val="center"/>
          </w:tcPr>
          <w:p>
            <w:pPr>
              <w:pStyle w:val="TableText"/>
              <w:jc w:val="left"/>
            </w:pPr>
          </w:p>
        </w:tc>
        <w:tc>
          <w:tcPr>
            <w:tcW w:w="1751" w:type="dxa"/>
            <w:vAlign w:val="center"/>
          </w:tcPr>
          <w:p>
            <w:pPr>
              <w:pStyle w:val="TableText"/>
              <w:jc w:val="left"/>
            </w:pPr>
            <w:r>
              <w:rPr>
                <w:sz w:val="20"/>
                <w:szCs w:val="20"/>
              </w:rPr>
              <w:t xml:space="preserve">4</w:t>
            </w:r>
          </w:p>
        </w:tc>
      </w:tr>
    </w:tbl>
    <w:p>
      <w:pPr>
        <w:spacing w:before="0" w:after="120" w:line="240" w:lineRule="auto"/>
      </w:pPr>
    </w:p>
    <w:p>
      <w:pPr>
        <w:pStyle w:val="Heading3"/>
      </w:pPr>
      <w:r>
        <w:t xml:space="preserve">2.6.3 Cost-effectiveness Analysis</w:t>
      </w:r>
    </w:p>
    <w:p>
      <w:pPr>
        <w:pStyle w:val="Normal"/>
      </w:pPr>
      <w:r>
        <w:t xml:space="preserve">For a team that deploys models, the alternative to a monitor like ResilientAI is to label production data regularly and measure accuracy directly. Labeling every window of several thousand rows is far more expensive than labeling an audit of 600 rows and Section </w:t>
      </w:r>
      <w:r>
        <w:t xml:space="preserve">7.4</w:t>
      </w:r>
      <w:r>
        <w:t xml:space="preserve"> shows that more audit labels add little beyond that number. The triage further avoids the cost of retraining when retraining would not help. The monitor itself runs on ordinary hardware within seconds to minutes per window, so its running cost is small next to the cost of either labeling or a model failure that goes unnoticed.</w:t>
      </w:r>
    </w:p>
    <w:p>
      <w:pPr>
        <w:pStyle w:val="Heading3"/>
      </w:pPr>
      <w:r>
        <w:t xml:space="preserve">2.6.4 Operational Feasibility and Risk Analysis</w:t>
      </w:r>
    </w:p>
    <w:p>
      <w:pPr>
        <w:pStyle w:val="Normal"/>
      </w:pPr>
      <w:r>
        <w:t xml:space="preserve">The system runs as a set of Python scripts that write one report per study and a dashboard that reads those reports, so it fits into an existing batch workflow without new infrastructure. Table </w:t>
      </w:r>
      <w:r>
        <w:t xml:space="preserve">2.6</w:t>
      </w:r>
      <w:r>
        <w:t xml:space="preserve"> lists the main risks we identified and how each was mitigated.</w:t>
      </w:r>
    </w:p>
    <w:p>
      <w:pPr>
        <w:pStyle w:val="TableCaption"/>
      </w:pPr>
      <w:r>
        <w:rPr>
          <w:b/>
          <w:bCs/>
        </w:rPr>
        <w:t xml:space="preserve">Table 2.6: </w:t>
      </w:r>
      <w:r>
        <w:t xml:space="preserve">Risks and their mitigation</w:t>
      </w:r>
    </w:p>
    <w:tbl>
      <w:tblPr>
        <w:tblW w:w="925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30" w:type="dxa"/>
          <w:left w:w="80" w:type="dxa"/>
          <w:bottom w:w="30" w:type="dxa"/>
          <w:right w:w="80" w:type="dxa"/>
        </w:tblCellMar>
        <w:tblLook w:val="0000"/>
      </w:tblPr>
      <w:tblGrid>
        <w:gridCol w:w="3174"/>
        <w:gridCol w:w="1322"/>
        <w:gridCol w:w="4762"/>
      </w:tblGrid>
      <w:tr>
        <w:trPr>
          <w:cantSplit/>
          <w:tblHeader/>
        </w:trPr>
        <w:tc>
          <w:tcPr>
            <w:tcW w:w="3174" w:type="dxa"/>
            <w:shd w:val="clear" w:color="auto" w:fill="D9E2F3"/>
            <w:vAlign w:val="center"/>
          </w:tcPr>
          <w:p>
            <w:pPr>
              <w:pStyle w:val="TableText"/>
              <w:keepNext/>
              <w:jc w:val="center"/>
            </w:pPr>
            <w:r>
              <w:rPr>
                <w:sz w:val="19"/>
                <w:szCs w:val="19"/>
                <w:b/>
                <w:bCs/>
              </w:rPr>
              <w:t xml:space="preserve">Risk</w:t>
            </w:r>
          </w:p>
        </w:tc>
        <w:tc>
          <w:tcPr>
            <w:tcW w:w="1322" w:type="dxa"/>
            <w:shd w:val="clear" w:color="auto" w:fill="D9E2F3"/>
            <w:vAlign w:val="center"/>
          </w:tcPr>
          <w:p>
            <w:pPr>
              <w:pStyle w:val="TableText"/>
              <w:keepNext/>
              <w:jc w:val="center"/>
            </w:pPr>
            <w:r>
              <w:rPr>
                <w:sz w:val="19"/>
                <w:szCs w:val="19"/>
                <w:b/>
                <w:bCs/>
              </w:rPr>
              <w:t xml:space="preserve">Likelihood</w:t>
            </w:r>
          </w:p>
        </w:tc>
        <w:tc>
          <w:tcPr>
            <w:tcW w:w="4762" w:type="dxa"/>
            <w:shd w:val="clear" w:color="auto" w:fill="D9E2F3"/>
            <w:vAlign w:val="center"/>
          </w:tcPr>
          <w:p>
            <w:pPr>
              <w:pStyle w:val="TableText"/>
              <w:keepNext/>
              <w:jc w:val="center"/>
            </w:pPr>
            <w:r>
              <w:rPr>
                <w:sz w:val="19"/>
                <w:szCs w:val="19"/>
                <w:b/>
                <w:bCs/>
              </w:rPr>
              <w:t xml:space="preserve">Mitigation</w:t>
            </w:r>
          </w:p>
        </w:tc>
      </w:tr>
      <w:tr>
        <w:trPr>
          <w:cantSplit/>
        </w:trPr>
        <w:tc>
          <w:tcPr>
            <w:tcW w:w="3174" w:type="dxa"/>
            <w:vAlign w:val="center"/>
          </w:tcPr>
          <w:p>
            <w:pPr>
              <w:pStyle w:val="TableText"/>
              <w:keepNext/>
              <w:jc w:val="left"/>
            </w:pPr>
            <w:r>
              <w:rPr>
                <w:sz w:val="19"/>
                <w:szCs w:val="19"/>
              </w:rPr>
              <w:t xml:space="preserve">False alarms from testing many features and detectors</w:t>
            </w:r>
          </w:p>
        </w:tc>
        <w:tc>
          <w:tcPr>
            <w:tcW w:w="1322" w:type="dxa"/>
            <w:vAlign w:val="center"/>
          </w:tcPr>
          <w:p>
            <w:pPr>
              <w:pStyle w:val="TableText"/>
              <w:keepNext/>
              <w:jc w:val="left"/>
            </w:pPr>
            <w:r>
              <w:rPr>
                <w:sz w:val="19"/>
                <w:szCs w:val="19"/>
              </w:rPr>
              <w:t xml:space="preserve">High</w:t>
            </w:r>
          </w:p>
        </w:tc>
        <w:tc>
          <w:tcPr>
            <w:tcW w:w="4762" w:type="dxa"/>
            <w:vAlign w:val="center"/>
          </w:tcPr>
          <w:p>
            <w:pPr>
              <w:pStyle w:val="TableText"/>
              <w:keepNext/>
              <w:jc w:val="left"/>
            </w:pPr>
            <w:r>
              <w:rPr>
                <w:sz w:val="19"/>
                <w:szCs w:val="19"/>
              </w:rPr>
              <w:t xml:space="preserve">Weighted Holm procedure keeps the family-wise error rate at α; checked by simulation and on control windows</w:t>
            </w:r>
          </w:p>
        </w:tc>
      </w:tr>
      <w:tr>
        <w:trPr>
          <w:cantSplit/>
        </w:trPr>
        <w:tc>
          <w:tcPr>
            <w:tcW w:w="3174" w:type="dxa"/>
            <w:vAlign w:val="center"/>
          </w:tcPr>
          <w:p>
            <w:pPr>
              <w:pStyle w:val="TableText"/>
              <w:keepNext/>
              <w:jc w:val="left"/>
            </w:pPr>
            <w:r>
              <w:rPr>
                <w:sz w:val="19"/>
                <w:szCs w:val="19"/>
              </w:rPr>
              <w:t xml:space="preserve">A diagnosis tuned to its own benchmark</w:t>
            </w:r>
          </w:p>
        </w:tc>
        <w:tc>
          <w:tcPr>
            <w:tcW w:w="1322" w:type="dxa"/>
            <w:vAlign w:val="center"/>
          </w:tcPr>
          <w:p>
            <w:pPr>
              <w:pStyle w:val="TableText"/>
              <w:keepNext/>
              <w:jc w:val="left"/>
            </w:pPr>
            <w:r>
              <w:rPr>
                <w:sz w:val="19"/>
                <w:szCs w:val="19"/>
              </w:rPr>
              <w:t xml:space="preserve">Medium</w:t>
            </w:r>
          </w:p>
        </w:tc>
        <w:tc>
          <w:tcPr>
            <w:tcW w:w="4762" w:type="dxa"/>
            <w:vAlign w:val="center"/>
          </w:tcPr>
          <w:p>
            <w:pPr>
              <w:pStyle w:val="TableText"/>
              <w:keepNext/>
              <w:jc w:val="left"/>
            </w:pPr>
            <w:r>
              <w:rPr>
                <w:sz w:val="19"/>
                <w:szCs w:val="19"/>
              </w:rPr>
              <w:t xml:space="preserve">Held-out design B; diagnosis frozen before design B was first run</w:t>
            </w:r>
          </w:p>
        </w:tc>
      </w:tr>
      <w:tr>
        <w:trPr>
          <w:cantSplit/>
        </w:trPr>
        <w:tc>
          <w:tcPr>
            <w:tcW w:w="3174" w:type="dxa"/>
            <w:vAlign w:val="center"/>
          </w:tcPr>
          <w:p>
            <w:pPr>
              <w:pStyle w:val="TableText"/>
              <w:jc w:val="left"/>
            </w:pPr>
            <w:r>
              <w:rPr>
                <w:sz w:val="19"/>
                <w:szCs w:val="19"/>
              </w:rPr>
              <w:t xml:space="preserve">Errors in the statistical code</w:t>
            </w:r>
          </w:p>
        </w:tc>
        <w:tc>
          <w:tcPr>
            <w:tcW w:w="1322" w:type="dxa"/>
            <w:vAlign w:val="center"/>
          </w:tcPr>
          <w:p>
            <w:pPr>
              <w:pStyle w:val="TableText"/>
              <w:jc w:val="left"/>
            </w:pPr>
            <w:r>
              <w:rPr>
                <w:sz w:val="19"/>
                <w:szCs w:val="19"/>
              </w:rPr>
              <w:t xml:space="preserve">Medium</w:t>
            </w:r>
          </w:p>
        </w:tc>
        <w:tc>
          <w:tcPr>
            <w:tcW w:w="4762" w:type="dxa"/>
            <w:vAlign w:val="center"/>
          </w:tcPr>
          <w:p>
            <w:pPr>
              <w:pStyle w:val="TableText"/>
              <w:jc w:val="left"/>
            </w:pPr>
            <w:r>
              <w:rPr>
                <w:sz w:val="19"/>
                <w:szCs w:val="19"/>
              </w:rPr>
              <w:t xml:space="preserve">113 automated tests; code review; two errors found and every result regenerated</w:t>
            </w:r>
          </w:p>
        </w:tc>
      </w:tr>
      <w:tr>
        <w:trPr>
          <w:cantSplit/>
        </w:trPr>
        <w:tc>
          <w:tcPr>
            <w:tcW w:w="3174" w:type="dxa"/>
            <w:vAlign w:val="center"/>
          </w:tcPr>
          <w:p>
            <w:pPr>
              <w:pStyle w:val="TableText"/>
              <w:jc w:val="left"/>
            </w:pPr>
            <w:r>
              <w:rPr>
                <w:sz w:val="19"/>
                <w:szCs w:val="19"/>
              </w:rPr>
              <w:t xml:space="preserve">Label-free accuracy estimate misleads under shift</w:t>
            </w:r>
          </w:p>
        </w:tc>
        <w:tc>
          <w:tcPr>
            <w:tcW w:w="1322" w:type="dxa"/>
            <w:vAlign w:val="center"/>
          </w:tcPr>
          <w:p>
            <w:pPr>
              <w:pStyle w:val="TableText"/>
              <w:jc w:val="left"/>
            </w:pPr>
            <w:r>
              <w:rPr>
                <w:sz w:val="19"/>
                <w:szCs w:val="19"/>
              </w:rPr>
              <w:t xml:space="preserve">Medium</w:t>
            </w:r>
          </w:p>
        </w:tc>
        <w:tc>
          <w:tcPr>
            <w:tcW w:w="4762" w:type="dxa"/>
            <w:vAlign w:val="center"/>
          </w:tcPr>
          <w:p>
            <w:pPr>
              <w:pStyle w:val="TableText"/>
              <w:jc w:val="left"/>
            </w:pPr>
            <w:r>
              <w:rPr>
                <w:sz w:val="19"/>
                <w:szCs w:val="19"/>
              </w:rPr>
              <w:t xml:space="preserve">Reported as an upper bound; four estimators compared</w:t>
            </w:r>
          </w:p>
        </w:tc>
      </w:tr>
      <w:tr>
        <w:trPr>
          <w:cantSplit/>
        </w:trPr>
        <w:tc>
          <w:tcPr>
            <w:tcW w:w="3174" w:type="dxa"/>
            <w:vAlign w:val="center"/>
          </w:tcPr>
          <w:p>
            <w:pPr>
              <w:pStyle w:val="TableText"/>
              <w:jc w:val="left"/>
            </w:pPr>
            <w:r>
              <w:rPr>
                <w:sz w:val="19"/>
                <w:szCs w:val="19"/>
              </w:rPr>
              <w:t xml:space="preserve">Long runs overload the machine</w:t>
            </w:r>
          </w:p>
        </w:tc>
        <w:tc>
          <w:tcPr>
            <w:tcW w:w="1322" w:type="dxa"/>
            <w:vAlign w:val="center"/>
          </w:tcPr>
          <w:p>
            <w:pPr>
              <w:pStyle w:val="TableText"/>
              <w:jc w:val="left"/>
            </w:pPr>
            <w:r>
              <w:rPr>
                <w:sz w:val="19"/>
                <w:szCs w:val="19"/>
              </w:rPr>
              <w:t xml:space="preserve">Medium</w:t>
            </w:r>
          </w:p>
        </w:tc>
        <w:tc>
          <w:tcPr>
            <w:tcW w:w="4762" w:type="dxa"/>
            <w:vAlign w:val="center"/>
          </w:tcPr>
          <w:p>
            <w:pPr>
              <w:pStyle w:val="TableText"/>
              <w:jc w:val="left"/>
            </w:pPr>
            <w:r>
              <w:rPr>
                <w:sz w:val="19"/>
                <w:szCs w:val="19"/>
              </w:rPr>
              <w:t xml:space="preserve">Capped worker counts and one heavy job at a time</w:t>
            </w:r>
          </w:p>
        </w:tc>
      </w:tr>
      <w:tr>
        <w:trPr>
          <w:cantSplit/>
        </w:trPr>
        <w:tc>
          <w:tcPr>
            <w:tcW w:w="3174" w:type="dxa"/>
            <w:vAlign w:val="center"/>
          </w:tcPr>
          <w:p>
            <w:pPr>
              <w:pStyle w:val="TableText"/>
              <w:jc w:val="left"/>
            </w:pPr>
            <w:r>
              <w:rPr>
                <w:sz w:val="19"/>
                <w:szCs w:val="19"/>
              </w:rPr>
              <w:t xml:space="preserve">Data access or format changes (2020 ACS release, renamed variables)</w:t>
            </w:r>
          </w:p>
        </w:tc>
        <w:tc>
          <w:tcPr>
            <w:tcW w:w="1322" w:type="dxa"/>
            <w:vAlign w:val="center"/>
          </w:tcPr>
          <w:p>
            <w:pPr>
              <w:pStyle w:val="TableText"/>
              <w:jc w:val="left"/>
            </w:pPr>
            <w:r>
              <w:rPr>
                <w:sz w:val="19"/>
                <w:szCs w:val="19"/>
              </w:rPr>
              <w:t xml:space="preserve">Low</w:t>
            </w:r>
          </w:p>
        </w:tc>
        <w:tc>
          <w:tcPr>
            <w:tcW w:w="4762" w:type="dxa"/>
            <w:vAlign w:val="center"/>
          </w:tcPr>
          <w:p>
            <w:pPr>
              <w:pStyle w:val="TableText"/>
              <w:jc w:val="left"/>
            </w:pPr>
            <w:r>
              <w:rPr>
                <w:sz w:val="19"/>
                <w:szCs w:val="19"/>
              </w:rPr>
              <w:t xml:space="preserve">Cached data; documented mappings (RELSHIPP to RELP)</w:t>
            </w:r>
          </w:p>
        </w:tc>
      </w:tr>
    </w:tbl>
    <w:p>
      <w:pPr>
        <w:spacing w:before="0" w:after="120" w:line="240" w:lineRule="auto"/>
      </w:pPr>
    </w:p>
    <w:p>
      <w:pPr>
        <w:pStyle w:val="Heading3"/>
      </w:pPr>
      <w:r>
        <w:t xml:space="preserve">2.6.5 Environmental and Sustainability Feasibility</w:t>
      </w:r>
    </w:p>
    <w:p>
      <w:pPr>
        <w:pStyle w:val="Normal"/>
      </w:pPr>
      <w:r>
        <w:t xml:space="preserve">The project uses no special hardware and no cloud resources. The experiments consumed about 0.43 kWh of electricity in total, an upper-bound estimate explained in Section </w:t>
      </w:r>
      <w:r>
        <w:t xml:space="preserve">7.7</w:t>
      </w:r>
      <w:r>
        <w:t xml:space="preserve">, which corresponds to about 0.31 kg of carbon dioxide at the average emission factor of the Indian grid. Design choices that keep computation low are described in Section </w:t>
      </w:r>
      <w:r>
        <w:t xml:space="preserve">4.5</w:t>
      </w:r>
      <w:r>
        <w:t xml:space="preserve">.</w:t>
      </w:r>
    </w:p>
    <w:p>
      <w:pPr>
        <w:pStyle w:val="Heading3"/>
      </w:pPr>
      <w:r>
        <w:t xml:space="preserve">2.6.6 Legal, Ethical and Privacy Feasibility</w:t>
      </w:r>
    </w:p>
    <w:p>
      <w:pPr>
        <w:pStyle w:val="Normal"/>
      </w:pPr>
      <w:r>
        <w:t xml:space="preserve">All datasets are public and licensed for research. The American Community Survey microdata are released by the United States Census Bureau under its terms of use and contain no names or addresses; the Folktables code that downloads them is under the MIT licence. The UCI gas sensor dataset and the CLEAR benchmark are released under the Creative Commons Attribution 4.0 licence. No personal data were collected from anyone, no human subjects took part and everything runs locally, so no data leave the machine. The census tasks involve sensitive attributes such as sex and race, which appear as model inputs only because they are part of the standard Folktables tasks; the project does not make decisions about individuals.</w:t>
      </w:r>
    </w:p>
    <w:p>
      <w:pPr>
        <w:pStyle w:val="Heading2"/>
      </w:pPr>
      <w:r>
        <w:t xml:space="preserve">2.7 Expected Outcomes / Deliverables</w:t>
      </w:r>
    </w:p>
    <w:p>
      <w:pPr>
        <w:pStyle w:val="Normal"/>
      </w:pPr>
      <w:r>
        <w:t xml:space="preserve">The project set out to deliver the following.</w:t>
      </w:r>
    </w:p>
    <w:p>
      <w:pPr>
        <w:pStyle w:val="ListItem"/>
        <w:numPr>
          <w:ilvl w:val="0"/>
          <w:numId w:val="201"/>
        </w:numPr>
        <w:ind w:left="567" w:hanging="340"/>
      </w:pPr>
      <w:r>
        <w:t xml:space="preserve">A Python package that implements detection, accuracy estimation, localization, drift type diagnosis, root cause analysis, reliability scoring and remediation triage.</w:t>
      </w:r>
    </w:p>
    <w:p>
      <w:pPr>
        <w:pStyle w:val="ListItem"/>
        <w:numPr>
          <w:ilvl w:val="0"/>
          <w:numId w:val="201"/>
        </w:numPr>
        <w:ind w:left="567" w:hanging="340"/>
      </w:pPr>
      <w:r>
        <w:t xml:space="preserve">An interactive dashboard that walks through these steps for real and injected drift.</w:t>
      </w:r>
    </w:p>
    <w:p>
      <w:pPr>
        <w:pStyle w:val="ListItem"/>
        <w:numPr>
          <w:ilvl w:val="0"/>
          <w:numId w:val="201"/>
        </w:numPr>
        <w:ind w:left="567" w:hanging="340"/>
      </w:pPr>
      <w:r>
        <w:t xml:space="preserve">An injection benchmark with known drift types, including drift mechanisms held out from the design.</w:t>
      </w:r>
    </w:p>
    <w:p>
      <w:pPr>
        <w:pStyle w:val="ListItem"/>
        <w:numPr>
          <w:ilvl w:val="0"/>
          <w:numId w:val="201"/>
        </w:numPr>
        <w:ind w:left="567" w:hanging="340"/>
      </w:pPr>
      <w:r>
        <w:t xml:space="preserve">An evaluation on four real datasets with documented changes, with every reported number generated from the study outputs.</w:t>
      </w:r>
    </w:p>
    <w:p>
      <w:pPr>
        <w:pStyle w:val="ListItem"/>
        <w:numPr>
          <w:ilvl w:val="0"/>
          <w:numId w:val="201"/>
        </w:numPr>
        <w:ind w:left="567" w:hanging="340"/>
      </w:pPr>
      <w:r>
        <w:t xml:space="preserve">A research paper describing the method and its evaluation.</w:t>
      </w:r>
    </w:p>
    <w:p>
      <w:pPr>
        <w:pStyle w:val="ListItem"/>
        <w:numPr>
          <w:ilvl w:val="0"/>
          <w:numId w:val="201"/>
        </w:numPr>
        <w:ind w:left="567" w:hanging="340"/>
      </w:pPr>
      <w:r>
        <w:t xml:space="preserve">This report.</w:t>
      </w:r>
    </w:p>
    <w:p>
      <w:pPr>
        <w:pStyle w:val="Normal"/>
      </w:pPr>
      <w:r>
        <w:t xml:space="preserve">All six were delivered. Chapter </w:t>
      </w:r>
      <w:r>
        <w:t xml:space="preserve">7</w:t>
      </w:r>
      <w:r>
        <w:t xml:space="preserve"> presents the evidence and Appendix I records the status of the research paper.</w:t>
      </w:r>
    </w:p>
    <w:p>
      <w:pPr>
        <w:pStyle w:val="Heading1"/>
      </w:pPr>
      <w:r>
        <w:t xml:space="preserve">CHAPTER 3: REQUIREMENT GATHERING FOR THE PROPOSED SYSTEM</w:t>
      </w:r>
    </w:p>
    <w:p>
      <w:pPr>
        <w:pStyle w:val="Normal"/>
      </w:pPr>
      <w:r>
        <w:t xml:space="preserve">A monitoring system is useful only if it answers the questions its users actually ask and does so within limits they can accept. This chapter describes how the requirements of ResilientAI were gathered, lists the functional and non-functional requirements that the rest of the report traces and records the hardware, software and constraints of the project.</w:t>
      </w:r>
    </w:p>
    <w:p>
      <w:pPr>
        <w:pStyle w:val="Heading2"/>
      </w:pPr>
      <w:r>
        <w:t xml:space="preserve">3.1 Introduction to Requirement Gathering</w:t>
      </w:r>
    </w:p>
    <w:p>
      <w:pPr>
        <w:pStyle w:val="Normal"/>
      </w:pPr>
      <w:r>
        <w:t xml:space="preserve">The requirements came from four sources. The literature survey of Chapter </w:t>
      </w:r>
      <w:r>
        <w:t xml:space="preserve">2</w:t>
      </w:r>
      <w:r>
        <w:t xml:space="preserve"> showed what existing tools already do and where they stop. The documentation of monitoring libraries and the patents of Section </w:t>
      </w:r>
      <w:r>
        <w:t xml:space="preserve">2.3</w:t>
      </w:r>
      <w:r>
        <w:t xml:space="preserve"> showed what industry monitors report. The mentor reviews of the project, held at each stage, turned a broad idea into testable targets and pushed us to state an error rate for every decision. Finally, building early prototypes and showing them as a dashboard exposed what a person needs to see before acting on an alarm.</w:t>
      </w:r>
    </w:p>
    <w:p>
      <w:pPr>
        <w:pStyle w:val="Normal"/>
      </w:pPr>
      <w:r>
        <w:t xml:space="preserve">Three groups of stakeholders shape the requirements. Machine learning engineers register a model with its reference data, run the monitor and export its reports. Monitoring teams read the results: they want to know whether the model is still accurate, what changed and what to do about it. Labeling teams supply the small audit of late labels when it is requested. The people affected by the model’s decisions are indirect stakeholders whose interest is that a failing model is caught early. Fig. </w:t>
      </w:r>
      <w:r>
        <w:t xml:space="preserve">3.1</w:t>
      </w:r>
      <w:r>
        <w:t xml:space="preserve"> shows the main use cases of the three direct groups.</w:t>
      </w:r>
    </w:p>
    <w:p>
      <w:pPr>
        <w:pStyle w:val="FigureBody"/>
      </w:pPr>
      <w:r>
        <w:drawing>
          <wp:inline distT="0" distB="0" distL="0" distR="0">
            <wp:extent cx="3420000" cy="4639858"/>
            <wp:docPr id="1002" name="Figure 3.1" descr="Fig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 name="usecase.png"/>
                    <pic:cNvPicPr/>
                  </pic:nvPicPr>
                  <pic:blipFill>
                    <a:blip r:embed="rIdI2"/>
                    <a:stretch>
                      <a:fillRect/>
                    </a:stretch>
                  </pic:blipFill>
                  <pic:spPr>
                    <a:xfrm>
                      <a:off x="0" y="0"/>
                      <a:ext cx="3420000" cy="4639858"/>
                    </a:xfrm>
                    <a:prstGeom prst="rect">
                      <a:avLst/>
                    </a:prstGeom>
                  </pic:spPr>
                </pic:pic>
              </a:graphicData>
            </a:graphic>
          </wp:inline>
        </w:drawing>
      </w:r>
    </w:p>
    <w:p>
      <w:pPr>
        <w:pStyle w:val="FigureCaption"/>
      </w:pPr>
      <w:r>
        <w:rPr>
          <w:b/>
          <w:bCs/>
        </w:rPr>
        <w:t xml:space="preserve">Fig. 3.1: </w:t>
      </w:r>
      <w:r>
        <w:t xml:space="preserve">Use cases of ResilientAI for its three groups of direct users</w:t>
      </w:r>
    </w:p>
    <w:p>
      <w:pPr>
        <w:pStyle w:val="Normal"/>
      </w:pPr>
      <w:r>
        <w:t xml:space="preserve">The machine learning engineer sets the system up and runs it. The monitoring team reads alarms, accuracy estimates and shifted features, reads the drift type with the reason the system gives for it, checks doubtful predictions and decides on retraining. The labeling team only provides audit labels. The scope of the requirements follows from the problem definition of Section </w:t>
      </w:r>
      <w:r>
        <w:t xml:space="preserve">1.3</w:t>
      </w:r>
      <w:r>
        <w:t xml:space="preserve">: tabular and image classifiers, batch windows of production data and a label budget of a few hundred rows per window.</w:t>
      </w:r>
    </w:p>
    <w:p>
      <w:pPr>
        <w:pStyle w:val="Heading2"/>
      </w:pPr>
      <w:r>
        <w:t xml:space="preserve">3.2 Functional Requirements</w:t>
      </w:r>
    </w:p>
    <w:p>
      <w:pPr>
        <w:pStyle w:val="Normal"/>
      </w:pPr>
      <w:r>
        <w:t xml:space="preserve">Table </w:t>
      </w:r>
      <w:r>
        <w:t xml:space="preserve">3.1</w:t>
      </w:r>
      <w:r>
        <w:t xml:space="preserve"> lists the functional requirements. Each has an identifier that the test cases of Chapter </w:t>
      </w:r>
      <w:r>
        <w:t xml:space="preserve">6</w:t>
      </w:r>
      <w:r>
        <w:t xml:space="preserve"> refer to, a priority and the module of the implementation that meets it.</w:t>
      </w:r>
    </w:p>
    <w:p>
      <w:pPr>
        <w:pStyle w:val="TableCaption"/>
      </w:pPr>
      <w:r>
        <w:rPr>
          <w:b/>
          <w:bCs/>
        </w:rPr>
        <w:t xml:space="preserve">Table 3.1: </w:t>
      </w:r>
      <w:r>
        <w:t xml:space="preserve">Functional requirements</w:t>
      </w:r>
    </w:p>
    <w:tbl>
      <w:tblPr>
        <w:tblW w:w="925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30" w:type="dxa"/>
          <w:left w:w="80" w:type="dxa"/>
          <w:bottom w:w="30" w:type="dxa"/>
          <w:right w:w="80" w:type="dxa"/>
        </w:tblCellMar>
        <w:tblLook w:val="0000"/>
      </w:tblPr>
      <w:tblGrid>
        <w:gridCol w:w="992"/>
        <w:gridCol w:w="5070"/>
        <w:gridCol w:w="1212"/>
        <w:gridCol w:w="1984"/>
      </w:tblGrid>
      <w:tr>
        <w:trPr>
          <w:cantSplit/>
          <w:tblHeader/>
        </w:trPr>
        <w:tc>
          <w:tcPr>
            <w:tcW w:w="992" w:type="dxa"/>
            <w:shd w:val="clear" w:color="auto" w:fill="D9E2F3"/>
            <w:vAlign w:val="center"/>
          </w:tcPr>
          <w:p>
            <w:pPr>
              <w:pStyle w:val="TableText"/>
              <w:keepNext/>
              <w:jc w:val="center"/>
            </w:pPr>
            <w:r>
              <w:rPr>
                <w:sz w:val="19"/>
                <w:szCs w:val="19"/>
                <w:b/>
                <w:bCs/>
              </w:rPr>
              <w:t xml:space="preserve">ID</w:t>
            </w:r>
          </w:p>
        </w:tc>
        <w:tc>
          <w:tcPr>
            <w:tcW w:w="5070" w:type="dxa"/>
            <w:shd w:val="clear" w:color="auto" w:fill="D9E2F3"/>
            <w:vAlign w:val="center"/>
          </w:tcPr>
          <w:p>
            <w:pPr>
              <w:pStyle w:val="TableText"/>
              <w:keepNext/>
              <w:jc w:val="center"/>
            </w:pPr>
            <w:r>
              <w:rPr>
                <w:sz w:val="19"/>
                <w:szCs w:val="19"/>
                <w:b/>
                <w:bCs/>
              </w:rPr>
              <w:t xml:space="preserve">Requirement</w:t>
            </w:r>
          </w:p>
        </w:tc>
        <w:tc>
          <w:tcPr>
            <w:tcW w:w="1212" w:type="dxa"/>
            <w:shd w:val="clear" w:color="auto" w:fill="D9E2F3"/>
            <w:vAlign w:val="center"/>
          </w:tcPr>
          <w:p>
            <w:pPr>
              <w:pStyle w:val="TableText"/>
              <w:keepNext/>
              <w:jc w:val="center"/>
            </w:pPr>
            <w:r>
              <w:rPr>
                <w:sz w:val="19"/>
                <w:szCs w:val="19"/>
                <w:b/>
                <w:bCs/>
              </w:rPr>
              <w:t xml:space="preserve">Priority</w:t>
            </w:r>
          </w:p>
        </w:tc>
        <w:tc>
          <w:tcPr>
            <w:tcW w:w="1984" w:type="dxa"/>
            <w:shd w:val="clear" w:color="auto" w:fill="D9E2F3"/>
            <w:vAlign w:val="center"/>
          </w:tcPr>
          <w:p>
            <w:pPr>
              <w:pStyle w:val="TableText"/>
              <w:keepNext/>
              <w:jc w:val="center"/>
            </w:pPr>
            <w:r>
              <w:rPr>
                <w:sz w:val="19"/>
                <w:szCs w:val="19"/>
                <w:b/>
                <w:bCs/>
              </w:rPr>
              <w:t xml:space="preserve">Module</w:t>
            </w:r>
          </w:p>
        </w:tc>
      </w:tr>
      <w:tr>
        <w:trPr>
          <w:cantSplit/>
        </w:trPr>
        <w:tc>
          <w:tcPr>
            <w:tcW w:w="992" w:type="dxa"/>
            <w:vAlign w:val="center"/>
          </w:tcPr>
          <w:p>
            <w:pPr>
              <w:pStyle w:val="TableText"/>
              <w:keepNext/>
              <w:jc w:val="left"/>
            </w:pPr>
            <w:r>
              <w:rPr>
                <w:sz w:val="19"/>
                <w:szCs w:val="19"/>
              </w:rPr>
              <w:t xml:space="preserve">FR-01</w:t>
            </w:r>
          </w:p>
        </w:tc>
        <w:tc>
          <w:tcPr>
            <w:tcW w:w="5070" w:type="dxa"/>
            <w:vAlign w:val="center"/>
          </w:tcPr>
          <w:p>
            <w:pPr>
              <w:pStyle w:val="TableText"/>
              <w:keepNext/>
              <w:jc w:val="left"/>
            </w:pPr>
            <w:r>
              <w:rPr>
                <w:sz w:val="19"/>
                <w:szCs w:val="19"/>
              </w:rPr>
              <w:t xml:space="preserve">Load a deployed model, labeled reference data and unlabeled production windows; validate their schema and record which features are nominal.</w:t>
            </w:r>
          </w:p>
        </w:tc>
        <w:tc>
          <w:tcPr>
            <w:tcW w:w="1212" w:type="dxa"/>
            <w:vAlign w:val="center"/>
          </w:tcPr>
          <w:p>
            <w:pPr>
              <w:pStyle w:val="TableText"/>
              <w:keepNext/>
              <w:jc w:val="left"/>
            </w:pPr>
            <w:r>
              <w:rPr>
                <w:sz w:val="19"/>
                <w:szCs w:val="19"/>
              </w:rPr>
              <w:t xml:space="preserve">High</w:t>
            </w:r>
          </w:p>
        </w:tc>
        <w:tc>
          <w:tcPr>
            <w:tcW w:w="1984" w:type="dxa"/>
            <w:vAlign w:val="center"/>
          </w:tcPr>
          <w:p>
            <w:pPr>
              <w:pStyle w:val="TableText"/>
              <w:keepNext/>
              <w:jc w:val="left"/>
            </w:pPr>
            <w:r>
              <w:rPr>
                <w:sz w:val="19"/>
                <w:szCs w:val="19"/>
              </w:rPr>
              <w:t xml:space="preserve">data, core</w:t>
            </w:r>
          </w:p>
        </w:tc>
      </w:tr>
      <w:tr>
        <w:trPr>
          <w:cantSplit/>
        </w:trPr>
        <w:tc>
          <w:tcPr>
            <w:tcW w:w="992" w:type="dxa"/>
            <w:vAlign w:val="center"/>
          </w:tcPr>
          <w:p>
            <w:pPr>
              <w:pStyle w:val="TableText"/>
              <w:keepNext/>
              <w:jc w:val="left"/>
            </w:pPr>
            <w:r>
              <w:rPr>
                <w:sz w:val="19"/>
                <w:szCs w:val="19"/>
              </w:rPr>
              <w:t xml:space="preserve">FR-02</w:t>
            </w:r>
          </w:p>
        </w:tc>
        <w:tc>
          <w:tcPr>
            <w:tcW w:w="5070" w:type="dxa"/>
            <w:vAlign w:val="center"/>
          </w:tcPr>
          <w:p>
            <w:pPr>
              <w:pStyle w:val="TableText"/>
              <w:keepNext/>
              <w:jc w:val="left"/>
            </w:pPr>
            <w:r>
              <w:rPr>
                <w:sz w:val="19"/>
                <w:szCs w:val="19"/>
              </w:rPr>
              <w:t xml:space="preserve">Split the reference data into disjoint training, calibration and test parts, stratified by class.</w:t>
            </w:r>
          </w:p>
        </w:tc>
        <w:tc>
          <w:tcPr>
            <w:tcW w:w="1212" w:type="dxa"/>
            <w:vAlign w:val="center"/>
          </w:tcPr>
          <w:p>
            <w:pPr>
              <w:pStyle w:val="TableText"/>
              <w:keepNext/>
              <w:jc w:val="left"/>
            </w:pPr>
            <w:r>
              <w:rPr>
                <w:sz w:val="19"/>
                <w:szCs w:val="19"/>
              </w:rPr>
              <w:t xml:space="preserve">High</w:t>
            </w:r>
          </w:p>
        </w:tc>
        <w:tc>
          <w:tcPr>
            <w:tcW w:w="1984" w:type="dxa"/>
            <w:vAlign w:val="center"/>
          </w:tcPr>
          <w:p>
            <w:pPr>
              <w:pStyle w:val="TableText"/>
              <w:keepNext/>
              <w:jc w:val="left"/>
            </w:pPr>
            <w:r>
              <w:rPr>
                <w:sz w:val="19"/>
                <w:szCs w:val="19"/>
              </w:rPr>
              <w:t xml:space="preserve">experiments</w:t>
            </w:r>
          </w:p>
        </w:tc>
      </w:tr>
      <w:tr>
        <w:trPr>
          <w:cantSplit/>
        </w:trPr>
        <w:tc>
          <w:tcPr>
            <w:tcW w:w="992" w:type="dxa"/>
            <w:vAlign w:val="center"/>
          </w:tcPr>
          <w:p>
            <w:pPr>
              <w:pStyle w:val="TableText"/>
              <w:jc w:val="left"/>
            </w:pPr>
            <w:r>
              <w:rPr>
                <w:sz w:val="19"/>
                <w:szCs w:val="19"/>
              </w:rPr>
              <w:t xml:space="preserve">FR-03</w:t>
            </w:r>
          </w:p>
        </w:tc>
        <w:tc>
          <w:tcPr>
            <w:tcW w:w="5070" w:type="dxa"/>
            <w:vAlign w:val="center"/>
          </w:tcPr>
          <w:p>
            <w:pPr>
              <w:pStyle w:val="TableText"/>
              <w:jc w:val="left"/>
            </w:pPr>
            <w:r>
              <w:rPr>
                <w:sz w:val="19"/>
                <w:szCs w:val="19"/>
              </w:rPr>
              <w:t xml:space="preserve">Map images to embeddings with a frozen pretrained network so that image data can be tested like tabular data.</w:t>
            </w:r>
          </w:p>
        </w:tc>
        <w:tc>
          <w:tcPr>
            <w:tcW w:w="1212" w:type="dxa"/>
            <w:vAlign w:val="center"/>
          </w:tcPr>
          <w:p>
            <w:pPr>
              <w:pStyle w:val="TableText"/>
              <w:jc w:val="left"/>
            </w:pPr>
            <w:r>
              <w:rPr>
                <w:sz w:val="19"/>
                <w:szCs w:val="19"/>
              </w:rPr>
              <w:t xml:space="preserve">Medium</w:t>
            </w:r>
          </w:p>
        </w:tc>
        <w:tc>
          <w:tcPr>
            <w:tcW w:w="1984" w:type="dxa"/>
            <w:vAlign w:val="center"/>
          </w:tcPr>
          <w:p>
            <w:pPr>
              <w:pStyle w:val="TableText"/>
              <w:jc w:val="left"/>
            </w:pPr>
            <w:r>
              <w:rPr>
                <w:sz w:val="19"/>
                <w:szCs w:val="19"/>
              </w:rPr>
              <w:t xml:space="preserve">extractors, data</w:t>
            </w:r>
          </w:p>
        </w:tc>
      </w:tr>
      <w:tr>
        <w:trPr>
          <w:cantSplit/>
        </w:trPr>
        <w:tc>
          <w:tcPr>
            <w:tcW w:w="992" w:type="dxa"/>
            <w:vAlign w:val="center"/>
          </w:tcPr>
          <w:p>
            <w:pPr>
              <w:pStyle w:val="TableText"/>
              <w:jc w:val="left"/>
            </w:pPr>
            <w:r>
              <w:rPr>
                <w:sz w:val="19"/>
                <w:szCs w:val="19"/>
              </w:rPr>
              <w:t xml:space="preserve">FR-04</w:t>
            </w:r>
          </w:p>
        </w:tc>
        <w:tc>
          <w:tcPr>
            <w:tcW w:w="5070" w:type="dxa"/>
            <w:vAlign w:val="center"/>
          </w:tcPr>
          <w:p>
            <w:pPr>
              <w:pStyle w:val="TableText"/>
              <w:jc w:val="left"/>
            </w:pPr>
            <w:r>
              <w:rPr>
                <w:sz w:val="19"/>
                <w:szCs w:val="19"/>
              </w:rPr>
              <w:t xml:space="preserve">Test each window for a change in the inputs and in the model outputs (Kolmogorov–Smirnov, population stability index, maximum mean discrepancy, confidence test) with a stated significance level.</w:t>
            </w:r>
          </w:p>
        </w:tc>
        <w:tc>
          <w:tcPr>
            <w:tcW w:w="1212" w:type="dxa"/>
            <w:vAlign w:val="center"/>
          </w:tcPr>
          <w:p>
            <w:pPr>
              <w:pStyle w:val="TableText"/>
              <w:jc w:val="left"/>
            </w:pPr>
            <w:r>
              <w:rPr>
                <w:sz w:val="19"/>
                <w:szCs w:val="19"/>
              </w:rPr>
              <w:t xml:space="preserve">High</w:t>
            </w:r>
          </w:p>
        </w:tc>
        <w:tc>
          <w:tcPr>
            <w:tcW w:w="1984" w:type="dxa"/>
            <w:vAlign w:val="center"/>
          </w:tcPr>
          <w:p>
            <w:pPr>
              <w:pStyle w:val="TableText"/>
              <w:jc w:val="left"/>
            </w:pPr>
            <w:r>
              <w:rPr>
                <w:sz w:val="19"/>
                <w:szCs w:val="19"/>
              </w:rPr>
              <w:t xml:space="preserve">detectors</w:t>
            </w:r>
          </w:p>
        </w:tc>
      </w:tr>
      <w:tr>
        <w:trPr>
          <w:cantSplit/>
        </w:trPr>
        <w:tc>
          <w:tcPr>
            <w:tcW w:w="992" w:type="dxa"/>
            <w:vAlign w:val="center"/>
          </w:tcPr>
          <w:p>
            <w:pPr>
              <w:pStyle w:val="TableText"/>
              <w:jc w:val="left"/>
            </w:pPr>
            <w:r>
              <w:rPr>
                <w:sz w:val="19"/>
                <w:szCs w:val="19"/>
              </w:rPr>
              <w:t xml:space="preserve">FR-05</w:t>
            </w:r>
          </w:p>
        </w:tc>
        <w:tc>
          <w:tcPr>
            <w:tcW w:w="5070" w:type="dxa"/>
            <w:vAlign w:val="center"/>
          </w:tcPr>
          <w:p>
            <w:pPr>
              <w:pStyle w:val="TableText"/>
              <w:jc w:val="left"/>
            </w:pPr>
            <w:r>
              <w:rPr>
                <w:sz w:val="19"/>
                <w:szCs w:val="19"/>
              </w:rPr>
              <w:t xml:space="preserve">Estimate the accuracy of the model on each window without labels (confidence-based performance estimation; average confidence, difference of confidences and thresholded confidence for comparison).</w:t>
            </w:r>
          </w:p>
        </w:tc>
        <w:tc>
          <w:tcPr>
            <w:tcW w:w="1212" w:type="dxa"/>
            <w:vAlign w:val="center"/>
          </w:tcPr>
          <w:p>
            <w:pPr>
              <w:pStyle w:val="TableText"/>
              <w:jc w:val="left"/>
            </w:pPr>
            <w:r>
              <w:rPr>
                <w:sz w:val="19"/>
                <w:szCs w:val="19"/>
              </w:rPr>
              <w:t xml:space="preserve">High</w:t>
            </w:r>
          </w:p>
        </w:tc>
        <w:tc>
          <w:tcPr>
            <w:tcW w:w="1984" w:type="dxa"/>
            <w:vAlign w:val="center"/>
          </w:tcPr>
          <w:p>
            <w:pPr>
              <w:pStyle w:val="TableText"/>
              <w:jc w:val="left"/>
            </w:pPr>
            <w:r>
              <w:rPr>
                <w:sz w:val="19"/>
                <w:szCs w:val="19"/>
              </w:rPr>
              <w:t xml:space="preserve">estimation, detectors</w:t>
            </w:r>
          </w:p>
        </w:tc>
      </w:tr>
      <w:tr>
        <w:trPr>
          <w:cantSplit/>
        </w:trPr>
        <w:tc>
          <w:tcPr>
            <w:tcW w:w="992" w:type="dxa"/>
            <w:vAlign w:val="center"/>
          </w:tcPr>
          <w:p>
            <w:pPr>
              <w:pStyle w:val="TableText"/>
              <w:jc w:val="left"/>
            </w:pPr>
            <w:r>
              <w:rPr>
                <w:sz w:val="19"/>
                <w:szCs w:val="19"/>
              </w:rPr>
              <w:t xml:space="preserve">FR-06</w:t>
            </w:r>
          </w:p>
        </w:tc>
        <w:tc>
          <w:tcPr>
            <w:tcW w:w="5070" w:type="dxa"/>
            <w:vAlign w:val="center"/>
          </w:tcPr>
          <w:p>
            <w:pPr>
              <w:pStyle w:val="TableText"/>
              <w:jc w:val="left"/>
            </w:pPr>
            <w:r>
              <w:rPr>
                <w:sz w:val="19"/>
                <w:szCs w:val="19"/>
              </w:rPr>
              <w:t xml:space="preserve">Locate the shifted features with a per-feature test and an effect size and report categories never seen in the reference.</w:t>
            </w:r>
          </w:p>
        </w:tc>
        <w:tc>
          <w:tcPr>
            <w:tcW w:w="1212" w:type="dxa"/>
            <w:vAlign w:val="center"/>
          </w:tcPr>
          <w:p>
            <w:pPr>
              <w:pStyle w:val="TableText"/>
              <w:jc w:val="left"/>
            </w:pPr>
            <w:r>
              <w:rPr>
                <w:sz w:val="19"/>
                <w:szCs w:val="19"/>
              </w:rPr>
              <w:t xml:space="preserve">High</w:t>
            </w:r>
          </w:p>
        </w:tc>
        <w:tc>
          <w:tcPr>
            <w:tcW w:w="1984" w:type="dxa"/>
            <w:vAlign w:val="center"/>
          </w:tcPr>
          <w:p>
            <w:pPr>
              <w:pStyle w:val="TableText"/>
              <w:jc w:val="left"/>
            </w:pPr>
            <w:r>
              <w:rPr>
                <w:sz w:val="19"/>
                <w:szCs w:val="19"/>
              </w:rPr>
              <w:t xml:space="preserve">localizers</w:t>
            </w:r>
          </w:p>
        </w:tc>
      </w:tr>
      <w:tr>
        <w:trPr>
          <w:cantSplit/>
        </w:trPr>
        <w:tc>
          <w:tcPr>
            <w:tcW w:w="992" w:type="dxa"/>
            <w:vAlign w:val="center"/>
          </w:tcPr>
          <w:p>
            <w:pPr>
              <w:pStyle w:val="TableText"/>
              <w:jc w:val="left"/>
            </w:pPr>
            <w:r>
              <w:rPr>
                <w:sz w:val="19"/>
                <w:szCs w:val="19"/>
              </w:rPr>
              <w:t xml:space="preserve">FR-07</w:t>
            </w:r>
          </w:p>
        </w:tc>
        <w:tc>
          <w:tcPr>
            <w:tcW w:w="5070" w:type="dxa"/>
            <w:vAlign w:val="center"/>
          </w:tcPr>
          <w:p>
            <w:pPr>
              <w:pStyle w:val="TableText"/>
              <w:jc w:val="left"/>
            </w:pPr>
            <w:r>
              <w:rPr>
                <w:sz w:val="19"/>
                <w:szCs w:val="19"/>
              </w:rPr>
              <w:t xml:space="preserve">Name the drift type as no drift, covariate shift, prior shift, concept drift or label noise, with the stage and the reason for the verdict, holding the family-wise error rate at the chosen level.</w:t>
            </w:r>
          </w:p>
        </w:tc>
        <w:tc>
          <w:tcPr>
            <w:tcW w:w="1212" w:type="dxa"/>
            <w:vAlign w:val="center"/>
          </w:tcPr>
          <w:p>
            <w:pPr>
              <w:pStyle w:val="TableText"/>
              <w:jc w:val="left"/>
            </w:pPr>
            <w:r>
              <w:rPr>
                <w:sz w:val="19"/>
                <w:szCs w:val="19"/>
              </w:rPr>
              <w:t xml:space="preserve">High</w:t>
            </w:r>
          </w:p>
        </w:tc>
        <w:tc>
          <w:tcPr>
            <w:tcW w:w="1984" w:type="dxa"/>
            <w:vAlign w:val="center"/>
          </w:tcPr>
          <w:p>
            <w:pPr>
              <w:pStyle w:val="TableText"/>
              <w:jc w:val="left"/>
            </w:pPr>
            <w:r>
              <w:rPr>
                <w:sz w:val="19"/>
                <w:szCs w:val="19"/>
              </w:rPr>
              <w:t xml:space="preserve">diagnosis</w:t>
            </w:r>
          </w:p>
        </w:tc>
      </w:tr>
      <w:tr>
        <w:trPr>
          <w:cantSplit/>
        </w:trPr>
        <w:tc>
          <w:tcPr>
            <w:tcW w:w="992" w:type="dxa"/>
            <w:vAlign w:val="center"/>
          </w:tcPr>
          <w:p>
            <w:pPr>
              <w:pStyle w:val="TableText"/>
              <w:jc w:val="left"/>
            </w:pPr>
            <w:r>
              <w:rPr>
                <w:sz w:val="19"/>
                <w:szCs w:val="19"/>
              </w:rPr>
              <w:t xml:space="preserve">FR-08</w:t>
            </w:r>
          </w:p>
        </w:tc>
        <w:tc>
          <w:tcPr>
            <w:tcW w:w="5070" w:type="dxa"/>
            <w:vAlign w:val="center"/>
          </w:tcPr>
          <w:p>
            <w:pPr>
              <w:pStyle w:val="TableText"/>
              <w:jc w:val="left"/>
            </w:pPr>
            <w:r>
              <w:rPr>
                <w:sz w:val="19"/>
                <w:szCs w:val="19"/>
              </w:rPr>
              <w:t xml:space="preserve">Use an optional audit of late labels to test for an accuracy drop and for errors that depend on a feature beyond the model’s confidence.</w:t>
            </w:r>
          </w:p>
        </w:tc>
        <w:tc>
          <w:tcPr>
            <w:tcW w:w="1212" w:type="dxa"/>
            <w:vAlign w:val="center"/>
          </w:tcPr>
          <w:p>
            <w:pPr>
              <w:pStyle w:val="TableText"/>
              <w:jc w:val="left"/>
            </w:pPr>
            <w:r>
              <w:rPr>
                <w:sz w:val="19"/>
                <w:szCs w:val="19"/>
              </w:rPr>
              <w:t xml:space="preserve">High</w:t>
            </w:r>
          </w:p>
        </w:tc>
        <w:tc>
          <w:tcPr>
            <w:tcW w:w="1984" w:type="dxa"/>
            <w:vAlign w:val="center"/>
          </w:tcPr>
          <w:p>
            <w:pPr>
              <w:pStyle w:val="TableText"/>
              <w:jc w:val="left"/>
            </w:pPr>
            <w:r>
              <w:rPr>
                <w:sz w:val="19"/>
                <w:szCs w:val="19"/>
              </w:rPr>
              <w:t xml:space="preserve">diagnosis</w:t>
            </w:r>
          </w:p>
        </w:tc>
      </w:tr>
      <w:tr>
        <w:trPr>
          <w:cantSplit/>
        </w:trPr>
        <w:tc>
          <w:tcPr>
            <w:tcW w:w="992" w:type="dxa"/>
            <w:vAlign w:val="center"/>
          </w:tcPr>
          <w:p>
            <w:pPr>
              <w:pStyle w:val="TableText"/>
              <w:jc w:val="left"/>
            </w:pPr>
            <w:r>
              <w:rPr>
                <w:sz w:val="19"/>
                <w:szCs w:val="19"/>
              </w:rPr>
              <w:t xml:space="preserve">FR-09</w:t>
            </w:r>
          </w:p>
        </w:tc>
        <w:tc>
          <w:tcPr>
            <w:tcW w:w="5070" w:type="dxa"/>
            <w:vAlign w:val="center"/>
          </w:tcPr>
          <w:p>
            <w:pPr>
              <w:pStyle w:val="TableText"/>
              <w:jc w:val="left"/>
            </w:pPr>
            <w:r>
              <w:rPr>
                <w:sz w:val="19"/>
                <w:szCs w:val="19"/>
              </w:rPr>
              <w:t xml:space="preserve">Explain a shift by the change in what the model relies on: Shapley values for tabular models and class activation maps for image models.</w:t>
            </w:r>
          </w:p>
        </w:tc>
        <w:tc>
          <w:tcPr>
            <w:tcW w:w="1212" w:type="dxa"/>
            <w:vAlign w:val="center"/>
          </w:tcPr>
          <w:p>
            <w:pPr>
              <w:pStyle w:val="TableText"/>
              <w:jc w:val="left"/>
            </w:pPr>
            <w:r>
              <w:rPr>
                <w:sz w:val="19"/>
                <w:szCs w:val="19"/>
              </w:rPr>
              <w:t xml:space="preserve">Medium</w:t>
            </w:r>
          </w:p>
        </w:tc>
        <w:tc>
          <w:tcPr>
            <w:tcW w:w="1984" w:type="dxa"/>
            <w:vAlign w:val="center"/>
          </w:tcPr>
          <w:p>
            <w:pPr>
              <w:pStyle w:val="TableText"/>
              <w:jc w:val="left"/>
            </w:pPr>
            <w:r>
              <w:rPr>
                <w:sz w:val="19"/>
                <w:szCs w:val="19"/>
              </w:rPr>
              <w:t xml:space="preserve">rca</w:t>
            </w:r>
          </w:p>
        </w:tc>
      </w:tr>
      <w:tr>
        <w:trPr>
          <w:cantSplit/>
        </w:trPr>
        <w:tc>
          <w:tcPr>
            <w:tcW w:w="992" w:type="dxa"/>
            <w:vAlign w:val="center"/>
          </w:tcPr>
          <w:p>
            <w:pPr>
              <w:pStyle w:val="TableText"/>
              <w:jc w:val="left"/>
            </w:pPr>
            <w:r>
              <w:rPr>
                <w:sz w:val="19"/>
                <w:szCs w:val="19"/>
              </w:rPr>
              <w:t xml:space="preserve">FR-10</w:t>
            </w:r>
          </w:p>
        </w:tc>
        <w:tc>
          <w:tcPr>
            <w:tcW w:w="5070" w:type="dxa"/>
            <w:vAlign w:val="center"/>
          </w:tcPr>
          <w:p>
            <w:pPr>
              <w:pStyle w:val="TableText"/>
              <w:jc w:val="left"/>
            </w:pPr>
            <w:r>
              <w:rPr>
                <w:sz w:val="19"/>
                <w:szCs w:val="19"/>
              </w:rPr>
              <w:t xml:space="preserve">Score the risk of error of every single prediction from its confidence, its instability under small perturbations and an out-of-distribution score.</w:t>
            </w:r>
          </w:p>
        </w:tc>
        <w:tc>
          <w:tcPr>
            <w:tcW w:w="1212" w:type="dxa"/>
            <w:vAlign w:val="center"/>
          </w:tcPr>
          <w:p>
            <w:pPr>
              <w:pStyle w:val="TableText"/>
              <w:jc w:val="left"/>
            </w:pPr>
            <w:r>
              <w:rPr>
                <w:sz w:val="19"/>
                <w:szCs w:val="19"/>
              </w:rPr>
              <w:t xml:space="preserve">Medium</w:t>
            </w:r>
          </w:p>
        </w:tc>
        <w:tc>
          <w:tcPr>
            <w:tcW w:w="1984" w:type="dxa"/>
            <w:vAlign w:val="center"/>
          </w:tcPr>
          <w:p>
            <w:pPr>
              <w:pStyle w:val="TableText"/>
              <w:jc w:val="left"/>
            </w:pPr>
            <w:r>
              <w:rPr>
                <w:sz w:val="19"/>
                <w:szCs w:val="19"/>
              </w:rPr>
              <w:t xml:space="preserve">reliability</w:t>
            </w:r>
          </w:p>
        </w:tc>
      </w:tr>
      <w:tr>
        <w:trPr>
          <w:cantSplit/>
        </w:trPr>
        <w:tc>
          <w:tcPr>
            <w:tcW w:w="992" w:type="dxa"/>
            <w:vAlign w:val="center"/>
          </w:tcPr>
          <w:p>
            <w:pPr>
              <w:pStyle w:val="TableText"/>
              <w:jc w:val="left"/>
            </w:pPr>
            <w:r>
              <w:rPr>
                <w:sz w:val="19"/>
                <w:szCs w:val="19"/>
              </w:rPr>
              <w:t xml:space="preserve">FR-11</w:t>
            </w:r>
          </w:p>
        </w:tc>
        <w:tc>
          <w:tcPr>
            <w:tcW w:w="5070" w:type="dxa"/>
            <w:vAlign w:val="center"/>
          </w:tcPr>
          <w:p>
            <w:pPr>
              <w:pStyle w:val="TableText"/>
              <w:jc w:val="left"/>
            </w:pPr>
            <w:r>
              <w:rPr>
                <w:sz w:val="19"/>
                <w:szCs w:val="19"/>
              </w:rPr>
              <w:t xml:space="preserve">Advise whether a cheap retrain would recover accuracy, using importance weighting and, where available, an earlier labeled window.</w:t>
            </w:r>
          </w:p>
        </w:tc>
        <w:tc>
          <w:tcPr>
            <w:tcW w:w="1212" w:type="dxa"/>
            <w:vAlign w:val="center"/>
          </w:tcPr>
          <w:p>
            <w:pPr>
              <w:pStyle w:val="TableText"/>
              <w:jc w:val="left"/>
            </w:pPr>
            <w:r>
              <w:rPr>
                <w:sz w:val="19"/>
                <w:szCs w:val="19"/>
              </w:rPr>
              <w:t xml:space="preserve">Medium</w:t>
            </w:r>
          </w:p>
        </w:tc>
        <w:tc>
          <w:tcPr>
            <w:tcW w:w="1984" w:type="dxa"/>
            <w:vAlign w:val="center"/>
          </w:tcPr>
          <w:p>
            <w:pPr>
              <w:pStyle w:val="TableText"/>
              <w:jc w:val="left"/>
            </w:pPr>
            <w:r>
              <w:rPr>
                <w:sz w:val="19"/>
                <w:szCs w:val="19"/>
              </w:rPr>
              <w:t xml:space="preserve">remediation</w:t>
            </w:r>
          </w:p>
        </w:tc>
      </w:tr>
      <w:tr>
        <w:trPr>
          <w:cantSplit/>
        </w:trPr>
        <w:tc>
          <w:tcPr>
            <w:tcW w:w="992" w:type="dxa"/>
            <w:vAlign w:val="center"/>
          </w:tcPr>
          <w:p>
            <w:pPr>
              <w:pStyle w:val="TableText"/>
              <w:jc w:val="left"/>
            </w:pPr>
            <w:r>
              <w:rPr>
                <w:sz w:val="19"/>
                <w:szCs w:val="19"/>
              </w:rPr>
              <w:t xml:space="preserve">FR-12</w:t>
            </w:r>
          </w:p>
        </w:tc>
        <w:tc>
          <w:tcPr>
            <w:tcW w:w="5070" w:type="dxa"/>
            <w:vAlign w:val="center"/>
          </w:tcPr>
          <w:p>
            <w:pPr>
              <w:pStyle w:val="TableText"/>
              <w:jc w:val="left"/>
            </w:pPr>
            <w:r>
              <w:rPr>
                <w:sz w:val="19"/>
                <w:szCs w:val="19"/>
              </w:rPr>
              <w:t xml:space="preserve">Write every result of a study to one machine-readable report.</w:t>
            </w:r>
          </w:p>
        </w:tc>
        <w:tc>
          <w:tcPr>
            <w:tcW w:w="1212" w:type="dxa"/>
            <w:vAlign w:val="center"/>
          </w:tcPr>
          <w:p>
            <w:pPr>
              <w:pStyle w:val="TableText"/>
              <w:jc w:val="left"/>
            </w:pPr>
            <w:r>
              <w:rPr>
                <w:sz w:val="19"/>
                <w:szCs w:val="19"/>
              </w:rPr>
              <w:t xml:space="preserve">High</w:t>
            </w:r>
          </w:p>
        </w:tc>
        <w:tc>
          <w:tcPr>
            <w:tcW w:w="1984" w:type="dxa"/>
            <w:vAlign w:val="center"/>
          </w:tcPr>
          <w:p>
            <w:pPr>
              <w:pStyle w:val="TableText"/>
              <w:jc w:val="left"/>
            </w:pPr>
            <w:r>
              <w:rPr>
                <w:sz w:val="19"/>
                <w:szCs w:val="19"/>
              </w:rPr>
              <w:t xml:space="preserve">experiments</w:t>
            </w:r>
          </w:p>
        </w:tc>
      </w:tr>
      <w:tr>
        <w:trPr>
          <w:cantSplit/>
        </w:trPr>
        <w:tc>
          <w:tcPr>
            <w:tcW w:w="992" w:type="dxa"/>
            <w:vAlign w:val="center"/>
          </w:tcPr>
          <w:p>
            <w:pPr>
              <w:pStyle w:val="TableText"/>
              <w:jc w:val="left"/>
            </w:pPr>
            <w:r>
              <w:rPr>
                <w:sz w:val="19"/>
                <w:szCs w:val="19"/>
              </w:rPr>
              <w:t xml:space="preserve">FR-13</w:t>
            </w:r>
          </w:p>
        </w:tc>
        <w:tc>
          <w:tcPr>
            <w:tcW w:w="5070" w:type="dxa"/>
            <w:vAlign w:val="center"/>
          </w:tcPr>
          <w:p>
            <w:pPr>
              <w:pStyle w:val="TableText"/>
              <w:jc w:val="left"/>
            </w:pPr>
            <w:r>
              <w:rPr>
                <w:sz w:val="19"/>
                <w:szCs w:val="19"/>
              </w:rPr>
              <w:t xml:space="preserve">Present the results step by step in an interactive dashboard for real and injected drift.</w:t>
            </w:r>
          </w:p>
        </w:tc>
        <w:tc>
          <w:tcPr>
            <w:tcW w:w="1212" w:type="dxa"/>
            <w:vAlign w:val="center"/>
          </w:tcPr>
          <w:p>
            <w:pPr>
              <w:pStyle w:val="TableText"/>
              <w:jc w:val="left"/>
            </w:pPr>
            <w:r>
              <w:rPr>
                <w:sz w:val="19"/>
                <w:szCs w:val="19"/>
              </w:rPr>
              <w:t xml:space="preserve">High</w:t>
            </w:r>
          </w:p>
        </w:tc>
        <w:tc>
          <w:tcPr>
            <w:tcW w:w="1984" w:type="dxa"/>
            <w:vAlign w:val="center"/>
          </w:tcPr>
          <w:p>
            <w:pPr>
              <w:pStyle w:val="TableText"/>
              <w:jc w:val="left"/>
            </w:pPr>
            <w:r>
              <w:rPr>
                <w:sz w:val="19"/>
                <w:szCs w:val="19"/>
              </w:rPr>
              <w:t xml:space="preserve">dashboard</w:t>
            </w:r>
          </w:p>
        </w:tc>
      </w:tr>
      <w:tr>
        <w:trPr>
          <w:cantSplit/>
        </w:trPr>
        <w:tc>
          <w:tcPr>
            <w:tcW w:w="992" w:type="dxa"/>
            <w:vAlign w:val="center"/>
          </w:tcPr>
          <w:p>
            <w:pPr>
              <w:pStyle w:val="TableText"/>
              <w:jc w:val="left"/>
            </w:pPr>
            <w:r>
              <w:rPr>
                <w:sz w:val="19"/>
                <w:szCs w:val="19"/>
              </w:rPr>
              <w:t xml:space="preserve">FR-14</w:t>
            </w:r>
          </w:p>
        </w:tc>
        <w:tc>
          <w:tcPr>
            <w:tcW w:w="5070" w:type="dxa"/>
            <w:vAlign w:val="center"/>
          </w:tcPr>
          <w:p>
            <w:pPr>
              <w:pStyle w:val="TableText"/>
              <w:jc w:val="left"/>
            </w:pPr>
            <w:r>
              <w:rPr>
                <w:sz w:val="19"/>
                <w:szCs w:val="19"/>
              </w:rPr>
              <w:t xml:space="preserve">Inject drift of a known type and intensity into real data and grade the diagnosis against the truth.</w:t>
            </w:r>
          </w:p>
        </w:tc>
        <w:tc>
          <w:tcPr>
            <w:tcW w:w="1212" w:type="dxa"/>
            <w:vAlign w:val="center"/>
          </w:tcPr>
          <w:p>
            <w:pPr>
              <w:pStyle w:val="TableText"/>
              <w:jc w:val="left"/>
            </w:pPr>
            <w:r>
              <w:rPr>
                <w:sz w:val="19"/>
                <w:szCs w:val="19"/>
              </w:rPr>
              <w:t xml:space="preserve">High</w:t>
            </w:r>
          </w:p>
        </w:tc>
        <w:tc>
          <w:tcPr>
            <w:tcW w:w="1984" w:type="dxa"/>
            <w:vAlign w:val="center"/>
          </w:tcPr>
          <w:p>
            <w:pPr>
              <w:pStyle w:val="TableText"/>
              <w:jc w:val="left"/>
            </w:pPr>
            <w:r>
              <w:rPr>
                <w:sz w:val="19"/>
                <w:szCs w:val="19"/>
              </w:rPr>
              <w:t xml:space="preserve">benchmark</w:t>
            </w:r>
          </w:p>
        </w:tc>
      </w:tr>
    </w:tbl>
    <w:p>
      <w:pPr>
        <w:spacing w:before="0" w:after="120" w:line="240" w:lineRule="auto"/>
      </w:pPr>
    </w:p>
    <w:p>
      <w:pPr>
        <w:pStyle w:val="Heading2"/>
      </w:pPr>
      <w:r>
        <w:t xml:space="preserve">3.3 Non-Functional Requirements</w:t>
      </w:r>
    </w:p>
    <w:p>
      <w:pPr>
        <w:pStyle w:val="Normal"/>
      </w:pPr>
      <w:r>
        <w:t xml:space="preserve">Table </w:t>
      </w:r>
      <w:r>
        <w:t xml:space="preserve">3.2</w:t>
      </w:r>
      <w:r>
        <w:t xml:space="preserve"> gives the non-functional requirements as measurable targets, together with the way each was checked and the value achieved.</w:t>
      </w:r>
    </w:p>
    <w:p>
      <w:pPr>
        <w:pStyle w:val="TableCaption"/>
      </w:pPr>
      <w:r>
        <w:rPr>
          <w:b/>
          <w:bCs/>
        </w:rPr>
        <w:t xml:space="preserve">Table 3.2: </w:t>
      </w:r>
      <w:r>
        <w:t xml:space="preserve">Non-functional requirements, their targets and the values achieved</w:t>
      </w:r>
    </w:p>
    <w:tbl>
      <w:tblPr>
        <w:tblW w:w="9259"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30" w:type="dxa"/>
          <w:left w:w="80" w:type="dxa"/>
          <w:bottom w:w="30" w:type="dxa"/>
          <w:right w:w="80" w:type="dxa"/>
        </w:tblCellMar>
        <w:tblLook w:val="0000"/>
      </w:tblPr>
      <w:tblGrid>
        <w:gridCol w:w="877"/>
        <w:gridCol w:w="1462"/>
        <w:gridCol w:w="2729"/>
        <w:gridCol w:w="2339"/>
        <w:gridCol w:w="1852"/>
      </w:tblGrid>
      <w:tr>
        <w:trPr>
          <w:cantSplit/>
          <w:tblHeader/>
        </w:trPr>
        <w:tc>
          <w:tcPr>
            <w:tcW w:w="877" w:type="dxa"/>
            <w:shd w:val="clear" w:color="auto" w:fill="D9E2F3"/>
            <w:vAlign w:val="center"/>
          </w:tcPr>
          <w:p>
            <w:pPr>
              <w:pStyle w:val="TableText"/>
              <w:keepNext/>
              <w:jc w:val="center"/>
            </w:pPr>
            <w:r>
              <w:rPr>
                <w:sz w:val="19"/>
                <w:szCs w:val="19"/>
                <w:b/>
                <w:bCs/>
              </w:rPr>
              <w:t xml:space="preserve">ID</w:t>
            </w:r>
          </w:p>
        </w:tc>
        <w:tc>
          <w:tcPr>
            <w:tcW w:w="1462" w:type="dxa"/>
            <w:shd w:val="clear" w:color="auto" w:fill="D9E2F3"/>
            <w:vAlign w:val="center"/>
          </w:tcPr>
          <w:p>
            <w:pPr>
              <w:pStyle w:val="TableText"/>
              <w:keepNext/>
              <w:jc w:val="center"/>
            </w:pPr>
            <w:r>
              <w:rPr>
                <w:sz w:val="19"/>
                <w:szCs w:val="19"/>
                <w:b/>
                <w:bCs/>
              </w:rPr>
              <w:t xml:space="preserve">Quality</w:t>
            </w:r>
          </w:p>
        </w:tc>
        <w:tc>
          <w:tcPr>
            <w:tcW w:w="2729" w:type="dxa"/>
            <w:shd w:val="clear" w:color="auto" w:fill="D9E2F3"/>
            <w:vAlign w:val="center"/>
          </w:tcPr>
          <w:p>
            <w:pPr>
              <w:pStyle w:val="TableText"/>
              <w:keepNext/>
              <w:jc w:val="center"/>
            </w:pPr>
            <w:r>
              <w:rPr>
                <w:sz w:val="19"/>
                <w:szCs w:val="19"/>
                <w:b/>
                <w:bCs/>
              </w:rPr>
              <w:t xml:space="preserve">Target</w:t>
            </w:r>
          </w:p>
        </w:tc>
        <w:tc>
          <w:tcPr>
            <w:tcW w:w="2339" w:type="dxa"/>
            <w:shd w:val="clear" w:color="auto" w:fill="D9E2F3"/>
            <w:vAlign w:val="center"/>
          </w:tcPr>
          <w:p>
            <w:pPr>
              <w:pStyle w:val="TableText"/>
              <w:keepNext/>
              <w:jc w:val="center"/>
            </w:pPr>
            <w:r>
              <w:rPr>
                <w:sz w:val="19"/>
                <w:szCs w:val="19"/>
                <w:b/>
                <w:bCs/>
              </w:rPr>
              <w:t xml:space="preserve">How checked</w:t>
            </w:r>
          </w:p>
        </w:tc>
        <w:tc>
          <w:tcPr>
            <w:tcW w:w="1852" w:type="dxa"/>
            <w:shd w:val="clear" w:color="auto" w:fill="D9E2F3"/>
            <w:vAlign w:val="center"/>
          </w:tcPr>
          <w:p>
            <w:pPr>
              <w:pStyle w:val="TableText"/>
              <w:keepNext/>
              <w:jc w:val="center"/>
            </w:pPr>
            <w:r>
              <w:rPr>
                <w:sz w:val="19"/>
                <w:szCs w:val="19"/>
                <w:b/>
                <w:bCs/>
              </w:rPr>
              <w:t xml:space="preserve">Achieved</w:t>
            </w:r>
          </w:p>
        </w:tc>
      </w:tr>
      <w:tr>
        <w:trPr>
          <w:cantSplit/>
        </w:trPr>
        <w:tc>
          <w:tcPr>
            <w:tcW w:w="877" w:type="dxa"/>
            <w:vAlign w:val="center"/>
          </w:tcPr>
          <w:p>
            <w:pPr>
              <w:pStyle w:val="TableText"/>
              <w:keepNext/>
              <w:jc w:val="left"/>
            </w:pPr>
            <w:r>
              <w:rPr>
                <w:sz w:val="19"/>
                <w:szCs w:val="19"/>
              </w:rPr>
              <w:t xml:space="preserve">NFR-01</w:t>
            </w:r>
          </w:p>
        </w:tc>
        <w:tc>
          <w:tcPr>
            <w:tcW w:w="1462" w:type="dxa"/>
            <w:vAlign w:val="center"/>
          </w:tcPr>
          <w:p>
            <w:pPr>
              <w:pStyle w:val="TableText"/>
              <w:keepNext/>
              <w:jc w:val="left"/>
            </w:pPr>
            <w:r>
              <w:rPr>
                <w:sz w:val="19"/>
                <w:szCs w:val="19"/>
              </w:rPr>
              <w:t xml:space="preserve">Reliability of alarms</w:t>
            </w:r>
          </w:p>
        </w:tc>
        <w:tc>
          <w:tcPr>
            <w:tcW w:w="2729" w:type="dxa"/>
            <w:vAlign w:val="center"/>
          </w:tcPr>
          <w:p>
            <w:pPr>
              <w:pStyle w:val="TableText"/>
              <w:keepNext/>
              <w:jc w:val="left"/>
            </w:pPr>
            <w:r>
              <w:rPr>
                <w:sz w:val="19"/>
                <w:szCs w:val="19"/>
              </w:rPr>
              <w:t xml:space="preserve">Each detector’s false alarm rate on windows without drift at or below α = 0.05</w:t>
            </w:r>
          </w:p>
        </w:tc>
        <w:tc>
          <w:tcPr>
            <w:tcW w:w="2339" w:type="dxa"/>
            <w:vAlign w:val="center"/>
          </w:tcPr>
          <w:p>
            <w:pPr>
              <w:pStyle w:val="TableText"/>
              <w:keepNext/>
              <w:jc w:val="left"/>
            </w:pPr>
            <w:r>
              <w:rPr>
                <w:sz w:val="19"/>
                <w:szCs w:val="19"/>
              </w:rPr>
              <w:t xml:space="preserve">95% CI over 200 benchmark control windows</w:t>
            </w:r>
          </w:p>
        </w:tc>
        <w:tc>
          <w:tcPr>
            <w:tcW w:w="1852" w:type="dxa"/>
            <w:vAlign w:val="center"/>
          </w:tcPr>
          <w:p>
            <w:pPr>
              <w:pStyle w:val="TableText"/>
              <w:keepNext/>
              <w:jc w:val="left"/>
            </w:pPr>
            <w:r>
              <w:rPr>
                <w:sz w:val="19"/>
                <w:szCs w:val="19"/>
              </w:rPr>
              <w:t xml:space="preserve">Every CI contains α or lies below it</w:t>
            </w:r>
          </w:p>
        </w:tc>
      </w:tr>
      <w:tr>
        <w:trPr>
          <w:cantSplit/>
        </w:trPr>
        <w:tc>
          <w:tcPr>
            <w:tcW w:w="877" w:type="dxa"/>
            <w:vAlign w:val="center"/>
          </w:tcPr>
          <w:p>
            <w:pPr>
              <w:pStyle w:val="TableText"/>
              <w:keepNext/>
              <w:jc w:val="left"/>
            </w:pPr>
            <w:r>
              <w:rPr>
                <w:sz w:val="19"/>
                <w:szCs w:val="19"/>
              </w:rPr>
              <w:t xml:space="preserve">NFR-02</w:t>
            </w:r>
          </w:p>
        </w:tc>
        <w:tc>
          <w:tcPr>
            <w:tcW w:w="1462" w:type="dxa"/>
            <w:vAlign w:val="center"/>
          </w:tcPr>
          <w:p>
            <w:pPr>
              <w:pStyle w:val="TableText"/>
              <w:keepNext/>
              <w:jc w:val="left"/>
            </w:pPr>
            <w:r>
              <w:rPr>
                <w:sz w:val="19"/>
                <w:szCs w:val="19"/>
              </w:rPr>
              <w:t xml:space="preserve">Reliability of the diagnosis</w:t>
            </w:r>
          </w:p>
        </w:tc>
        <w:tc>
          <w:tcPr>
            <w:tcW w:w="2729" w:type="dxa"/>
            <w:vAlign w:val="center"/>
          </w:tcPr>
          <w:p>
            <w:pPr>
              <w:pStyle w:val="TableText"/>
              <w:keepNext/>
              <w:jc w:val="left"/>
            </w:pPr>
            <w:r>
              <w:rPr>
                <w:sz w:val="19"/>
                <w:szCs w:val="19"/>
              </w:rPr>
              <w:t xml:space="preserve">Probability of a drift verdict on a window without drift at most 2α = 10%</w:t>
            </w:r>
          </w:p>
        </w:tc>
        <w:tc>
          <w:tcPr>
            <w:tcW w:w="2339" w:type="dxa"/>
            <w:vAlign w:val="center"/>
          </w:tcPr>
          <w:p>
            <w:pPr>
              <w:pStyle w:val="TableText"/>
              <w:keepNext/>
              <w:jc w:val="left"/>
            </w:pPr>
            <w:r>
              <w:rPr>
                <w:sz w:val="19"/>
                <w:szCs w:val="19"/>
              </w:rPr>
              <w:t xml:space="preserve">Benchmark control windows</w:t>
            </w:r>
          </w:p>
        </w:tc>
        <w:tc>
          <w:tcPr>
            <w:tcW w:w="1852" w:type="dxa"/>
            <w:vAlign w:val="center"/>
          </w:tcPr>
          <w:p>
            <w:pPr>
              <w:pStyle w:val="TableText"/>
              <w:keepNext/>
              <w:jc w:val="left"/>
            </w:pPr>
            <w:r>
              <w:rPr>
                <w:sz w:val="19"/>
                <w:szCs w:val="19"/>
              </w:rPr>
              <w:t xml:space="preserve">6.5%</w:t>
            </w:r>
          </w:p>
        </w:tc>
      </w:tr>
      <w:tr>
        <w:trPr>
          <w:cantSplit/>
        </w:trPr>
        <w:tc>
          <w:tcPr>
            <w:tcW w:w="877" w:type="dxa"/>
            <w:vAlign w:val="center"/>
          </w:tcPr>
          <w:p>
            <w:pPr>
              <w:pStyle w:val="TableText"/>
              <w:jc w:val="left"/>
            </w:pPr>
            <w:r>
              <w:rPr>
                <w:sz w:val="19"/>
                <w:szCs w:val="19"/>
              </w:rPr>
              <w:t xml:space="preserve">NFR-03</w:t>
            </w:r>
          </w:p>
        </w:tc>
        <w:tc>
          <w:tcPr>
            <w:tcW w:w="1462" w:type="dxa"/>
            <w:vAlign w:val="center"/>
          </w:tcPr>
          <w:p>
            <w:pPr>
              <w:pStyle w:val="TableText"/>
              <w:jc w:val="left"/>
            </w:pPr>
            <w:r>
              <w:rPr>
                <w:sz w:val="19"/>
                <w:szCs w:val="19"/>
              </w:rPr>
              <w:t xml:space="preserve">Error control</w:t>
            </w:r>
          </w:p>
        </w:tc>
        <w:tc>
          <w:tcPr>
            <w:tcW w:w="2729" w:type="dxa"/>
            <w:vAlign w:val="center"/>
          </w:tcPr>
          <w:p>
            <w:pPr>
              <w:pStyle w:val="TableText"/>
              <w:jc w:val="left"/>
            </w:pPr>
            <w:r>
              <w:rPr>
                <w:sz w:val="19"/>
                <w:szCs w:val="19"/>
              </w:rPr>
              <w:t xml:space="preserve">Family-wise error of the label-free decisions at most α</w:t>
            </w:r>
          </w:p>
        </w:tc>
        <w:tc>
          <w:tcPr>
            <w:tcW w:w="2339" w:type="dxa"/>
            <w:vAlign w:val="center"/>
          </w:tcPr>
          <w:p>
            <w:pPr>
              <w:pStyle w:val="TableText"/>
              <w:jc w:val="left"/>
            </w:pPr>
            <w:r>
              <w:rPr>
                <w:sz w:val="19"/>
                <w:szCs w:val="19"/>
              </w:rPr>
              <w:t xml:space="preserve">Simulation with 200,000 replicates</w:t>
            </w:r>
          </w:p>
        </w:tc>
        <w:tc>
          <w:tcPr>
            <w:tcW w:w="1852" w:type="dxa"/>
            <w:vAlign w:val="center"/>
          </w:tcPr>
          <w:p>
            <w:pPr>
              <w:pStyle w:val="TableText"/>
              <w:jc w:val="left"/>
            </w:pPr>
            <w:r>
              <w:rPr>
                <w:sz w:val="19"/>
                <w:szCs w:val="19"/>
              </w:rPr>
              <w:t xml:space="preserve">4.9%</w:t>
            </w:r>
          </w:p>
        </w:tc>
      </w:tr>
      <w:tr>
        <w:trPr>
          <w:cantSplit/>
        </w:trPr>
        <w:tc>
          <w:tcPr>
            <w:tcW w:w="877" w:type="dxa"/>
            <w:vAlign w:val="center"/>
          </w:tcPr>
          <w:p>
            <w:pPr>
              <w:pStyle w:val="TableText"/>
              <w:jc w:val="left"/>
            </w:pPr>
            <w:r>
              <w:rPr>
                <w:sz w:val="19"/>
                <w:szCs w:val="19"/>
              </w:rPr>
              <w:t xml:space="preserve">NFR-04</w:t>
            </w:r>
          </w:p>
        </w:tc>
        <w:tc>
          <w:tcPr>
            <w:tcW w:w="1462" w:type="dxa"/>
            <w:vAlign w:val="center"/>
          </w:tcPr>
          <w:p>
            <w:pPr>
              <w:pStyle w:val="TableText"/>
              <w:jc w:val="left"/>
            </w:pPr>
            <w:r>
              <w:rPr>
                <w:sz w:val="19"/>
                <w:szCs w:val="19"/>
              </w:rPr>
              <w:t xml:space="preserve">Performance</w:t>
            </w:r>
          </w:p>
        </w:tc>
        <w:tc>
          <w:tcPr>
            <w:tcW w:w="2729" w:type="dxa"/>
            <w:vAlign w:val="center"/>
          </w:tcPr>
          <w:p>
            <w:pPr>
              <w:pStyle w:val="TableText"/>
              <w:jc w:val="left"/>
            </w:pPr>
            <w:r>
              <w:rPr>
                <w:sz w:val="19"/>
                <w:szCs w:val="19"/>
              </w:rPr>
              <w:t xml:space="preserve">Analysis of one window well within a daily monitoring cycle</w:t>
            </w:r>
          </w:p>
        </w:tc>
        <w:tc>
          <w:tcPr>
            <w:tcW w:w="2339" w:type="dxa"/>
            <w:vAlign w:val="center"/>
          </w:tcPr>
          <w:p>
            <w:pPr>
              <w:pStyle w:val="TableText"/>
              <w:jc w:val="left"/>
            </w:pPr>
            <w:r>
              <w:rPr>
                <w:sz w:val="19"/>
                <w:szCs w:val="19"/>
              </w:rPr>
              <w:t xml:space="preserve">Measured run time per window</w:t>
            </w:r>
          </w:p>
        </w:tc>
        <w:tc>
          <w:tcPr>
            <w:tcW w:w="1852" w:type="dxa"/>
            <w:vAlign w:val="center"/>
          </w:tcPr>
          <w:p>
            <w:pPr>
              <w:pStyle w:val="TableText"/>
              <w:jc w:val="left"/>
            </w:pPr>
            <w:r>
              <w:rPr>
                <w:sz w:val="19"/>
                <w:szCs w:val="19"/>
              </w:rPr>
              <w:t xml:space="preserve">At most 90 s</w:t>
            </w:r>
          </w:p>
        </w:tc>
      </w:tr>
      <w:tr>
        <w:trPr>
          <w:cantSplit/>
        </w:trPr>
        <w:tc>
          <w:tcPr>
            <w:tcW w:w="877" w:type="dxa"/>
            <w:vAlign w:val="center"/>
          </w:tcPr>
          <w:p>
            <w:pPr>
              <w:pStyle w:val="TableText"/>
              <w:jc w:val="left"/>
            </w:pPr>
            <w:r>
              <w:rPr>
                <w:sz w:val="19"/>
                <w:szCs w:val="19"/>
              </w:rPr>
              <w:t xml:space="preserve">NFR-05</w:t>
            </w:r>
          </w:p>
        </w:tc>
        <w:tc>
          <w:tcPr>
            <w:tcW w:w="1462" w:type="dxa"/>
            <w:vAlign w:val="center"/>
          </w:tcPr>
          <w:p>
            <w:pPr>
              <w:pStyle w:val="TableText"/>
              <w:jc w:val="left"/>
            </w:pPr>
            <w:r>
              <w:rPr>
                <w:sz w:val="19"/>
                <w:szCs w:val="19"/>
              </w:rPr>
              <w:t xml:space="preserve">Label economy</w:t>
            </w:r>
          </w:p>
        </w:tc>
        <w:tc>
          <w:tcPr>
            <w:tcW w:w="2729" w:type="dxa"/>
            <w:vAlign w:val="center"/>
          </w:tcPr>
          <w:p>
            <w:pPr>
              <w:pStyle w:val="TableText"/>
              <w:jc w:val="left"/>
            </w:pPr>
            <w:r>
              <w:rPr>
                <w:sz w:val="19"/>
                <w:szCs w:val="19"/>
              </w:rPr>
              <w:t xml:space="preserve">Labels needed only for the optional audit</w:t>
            </w:r>
          </w:p>
        </w:tc>
        <w:tc>
          <w:tcPr>
            <w:tcW w:w="2339" w:type="dxa"/>
            <w:vAlign w:val="center"/>
          </w:tcPr>
          <w:p>
            <w:pPr>
              <w:pStyle w:val="TableText"/>
              <w:jc w:val="left"/>
            </w:pPr>
            <w:r>
              <w:rPr>
                <w:sz w:val="19"/>
                <w:szCs w:val="19"/>
              </w:rPr>
              <w:t xml:space="preserve">Design; audit-size study</w:t>
            </w:r>
          </w:p>
        </w:tc>
        <w:tc>
          <w:tcPr>
            <w:tcW w:w="1852" w:type="dxa"/>
            <w:vAlign w:val="center"/>
          </w:tcPr>
          <w:p>
            <w:pPr>
              <w:pStyle w:val="TableText"/>
              <w:jc w:val="left"/>
            </w:pPr>
            <w:r>
              <w:rPr>
                <w:sz w:val="19"/>
                <w:szCs w:val="19"/>
              </w:rPr>
              <w:t xml:space="preserve">600 labels per window</w:t>
            </w:r>
          </w:p>
        </w:tc>
      </w:tr>
      <w:tr>
        <w:trPr>
          <w:cantSplit/>
        </w:trPr>
        <w:tc>
          <w:tcPr>
            <w:tcW w:w="877" w:type="dxa"/>
            <w:vAlign w:val="center"/>
          </w:tcPr>
          <w:p>
            <w:pPr>
              <w:pStyle w:val="TableText"/>
              <w:jc w:val="left"/>
            </w:pPr>
            <w:r>
              <w:rPr>
                <w:sz w:val="19"/>
                <w:szCs w:val="19"/>
              </w:rPr>
              <w:t xml:space="preserve">NFR-06</w:t>
            </w:r>
          </w:p>
        </w:tc>
        <w:tc>
          <w:tcPr>
            <w:tcW w:w="1462" w:type="dxa"/>
            <w:vAlign w:val="center"/>
          </w:tcPr>
          <w:p>
            <w:pPr>
              <w:pStyle w:val="TableText"/>
              <w:jc w:val="left"/>
            </w:pPr>
            <w:r>
              <w:rPr>
                <w:sz w:val="19"/>
                <w:szCs w:val="19"/>
              </w:rPr>
              <w:t xml:space="preserve">Reproducibility</w:t>
            </w:r>
          </w:p>
        </w:tc>
        <w:tc>
          <w:tcPr>
            <w:tcW w:w="2729" w:type="dxa"/>
            <w:vAlign w:val="center"/>
          </w:tcPr>
          <w:p>
            <w:pPr>
              <w:pStyle w:val="TableText"/>
              <w:jc w:val="left"/>
            </w:pPr>
            <w:r>
              <w:rPr>
                <w:sz w:val="19"/>
                <w:szCs w:val="19"/>
              </w:rPr>
              <w:t xml:space="preserve">Every result repeatable exactly</w:t>
            </w:r>
          </w:p>
        </w:tc>
        <w:tc>
          <w:tcPr>
            <w:tcW w:w="2339" w:type="dxa"/>
            <w:vAlign w:val="center"/>
          </w:tcPr>
          <w:p>
            <w:pPr>
              <w:pStyle w:val="TableText"/>
              <w:jc w:val="left"/>
            </w:pPr>
            <w:r>
              <w:rPr>
                <w:sz w:val="19"/>
                <w:szCs w:val="19"/>
              </w:rPr>
              <w:t xml:space="preserve">Seeded randomness; all reported numbers generated from the study outputs</w:t>
            </w:r>
          </w:p>
        </w:tc>
        <w:tc>
          <w:tcPr>
            <w:tcW w:w="1852" w:type="dxa"/>
            <w:vAlign w:val="center"/>
          </w:tcPr>
          <w:p>
            <w:pPr>
              <w:pStyle w:val="TableText"/>
              <w:jc w:val="left"/>
            </w:pPr>
            <w:r>
              <w:rPr>
                <w:sz w:val="19"/>
                <w:szCs w:val="19"/>
              </w:rPr>
              <w:t xml:space="preserve">Met</w:t>
            </w:r>
          </w:p>
        </w:tc>
      </w:tr>
      <w:tr>
        <w:trPr>
          <w:cantSplit/>
        </w:trPr>
        <w:tc>
          <w:tcPr>
            <w:tcW w:w="877" w:type="dxa"/>
            <w:vAlign w:val="center"/>
          </w:tcPr>
          <w:p>
            <w:pPr>
              <w:pStyle w:val="TableText"/>
              <w:jc w:val="left"/>
            </w:pPr>
            <w:r>
              <w:rPr>
                <w:sz w:val="19"/>
                <w:szCs w:val="19"/>
              </w:rPr>
              <w:t xml:space="preserve">NFR-07</w:t>
            </w:r>
          </w:p>
        </w:tc>
        <w:tc>
          <w:tcPr>
            <w:tcW w:w="1462" w:type="dxa"/>
            <w:vAlign w:val="center"/>
          </w:tcPr>
          <w:p>
            <w:pPr>
              <w:pStyle w:val="TableText"/>
              <w:jc w:val="left"/>
            </w:pPr>
            <w:r>
              <w:rPr>
                <w:sz w:val="19"/>
                <w:szCs w:val="19"/>
              </w:rPr>
              <w:t xml:space="preserve">Correctness of the code</w:t>
            </w:r>
          </w:p>
        </w:tc>
        <w:tc>
          <w:tcPr>
            <w:tcW w:w="2729" w:type="dxa"/>
            <w:vAlign w:val="center"/>
          </w:tcPr>
          <w:p>
            <w:pPr>
              <w:pStyle w:val="TableText"/>
              <w:jc w:val="left"/>
            </w:pPr>
            <w:r>
              <w:rPr>
                <w:sz w:val="19"/>
                <w:szCs w:val="19"/>
              </w:rPr>
              <w:t xml:space="preserve">All automated tests pass</w:t>
            </w:r>
          </w:p>
        </w:tc>
        <w:tc>
          <w:tcPr>
            <w:tcW w:w="2339" w:type="dxa"/>
            <w:vAlign w:val="center"/>
          </w:tcPr>
          <w:p>
            <w:pPr>
              <w:pStyle w:val="TableText"/>
              <w:jc w:val="left"/>
            </w:pPr>
            <w:r>
              <w:rPr>
                <w:sz w:val="19"/>
                <w:szCs w:val="19"/>
              </w:rPr>
              <w:t xml:space="preserve">pytest</w:t>
            </w:r>
          </w:p>
        </w:tc>
        <w:tc>
          <w:tcPr>
            <w:tcW w:w="1852" w:type="dxa"/>
            <w:vAlign w:val="center"/>
          </w:tcPr>
          <w:p>
            <w:pPr>
              <w:pStyle w:val="TableText"/>
              <w:jc w:val="left"/>
            </w:pPr>
            <w:r>
              <w:rPr>
                <w:sz w:val="19"/>
                <w:szCs w:val="19"/>
              </w:rPr>
              <w:t xml:space="preserve">113 of 113 passed</w:t>
            </w:r>
          </w:p>
        </w:tc>
      </w:tr>
      <w:tr>
        <w:trPr>
          <w:cantSplit/>
        </w:trPr>
        <w:tc>
          <w:tcPr>
            <w:tcW w:w="877" w:type="dxa"/>
            <w:vAlign w:val="center"/>
          </w:tcPr>
          <w:p>
            <w:pPr>
              <w:pStyle w:val="TableText"/>
              <w:jc w:val="left"/>
            </w:pPr>
            <w:r>
              <w:rPr>
                <w:sz w:val="19"/>
                <w:szCs w:val="19"/>
              </w:rPr>
              <w:t xml:space="preserve">NFR-08</w:t>
            </w:r>
          </w:p>
        </w:tc>
        <w:tc>
          <w:tcPr>
            <w:tcW w:w="1462" w:type="dxa"/>
            <w:vAlign w:val="center"/>
          </w:tcPr>
          <w:p>
            <w:pPr>
              <w:pStyle w:val="TableText"/>
              <w:jc w:val="left"/>
            </w:pPr>
            <w:r>
              <w:rPr>
                <w:sz w:val="19"/>
                <w:szCs w:val="19"/>
              </w:rPr>
              <w:t xml:space="preserve">Usability</w:t>
            </w:r>
          </w:p>
        </w:tc>
        <w:tc>
          <w:tcPr>
            <w:tcW w:w="2729" w:type="dxa"/>
            <w:vAlign w:val="center"/>
          </w:tcPr>
          <w:p>
            <w:pPr>
              <w:pStyle w:val="TableText"/>
              <w:jc w:val="left"/>
            </w:pPr>
            <w:r>
              <w:rPr>
                <w:sz w:val="19"/>
                <w:szCs w:val="19"/>
              </w:rPr>
              <w:t xml:space="preserve">Each dashboard step answers one stated question with a plain-language summary</w:t>
            </w:r>
          </w:p>
        </w:tc>
        <w:tc>
          <w:tcPr>
            <w:tcW w:w="2339" w:type="dxa"/>
            <w:vAlign w:val="center"/>
          </w:tcPr>
          <w:p>
            <w:pPr>
              <w:pStyle w:val="TableText"/>
              <w:jc w:val="left"/>
            </w:pPr>
            <w:r>
              <w:rPr>
                <w:sz w:val="19"/>
                <w:szCs w:val="19"/>
              </w:rPr>
              <w:t xml:space="preserve">Review of the dashboard</w:t>
            </w:r>
          </w:p>
        </w:tc>
        <w:tc>
          <w:tcPr>
            <w:tcW w:w="1852" w:type="dxa"/>
            <w:vAlign w:val="center"/>
          </w:tcPr>
          <w:p>
            <w:pPr>
              <w:pStyle w:val="TableText"/>
              <w:jc w:val="left"/>
            </w:pPr>
            <w:r>
              <w:rPr>
                <w:sz w:val="19"/>
                <w:szCs w:val="19"/>
              </w:rPr>
              <w:t xml:space="preserve">Met (Section </w:t>
            </w:r>
            <w:r>
              <w:rPr>
                <w:sz w:val="19"/>
                <w:szCs w:val="19"/>
              </w:rPr>
              <w:t xml:space="preserve">7.1</w:t>
            </w:r>
            <w:r>
              <w:rPr>
                <w:sz w:val="19"/>
                <w:szCs w:val="19"/>
              </w:rPr>
              <w:t xml:space="preserve">)</w:t>
            </w:r>
          </w:p>
        </w:tc>
      </w:tr>
      <w:tr>
        <w:trPr>
          <w:cantSplit/>
        </w:trPr>
        <w:tc>
          <w:tcPr>
            <w:tcW w:w="877" w:type="dxa"/>
            <w:vAlign w:val="center"/>
          </w:tcPr>
          <w:p>
            <w:pPr>
              <w:pStyle w:val="TableText"/>
              <w:jc w:val="left"/>
            </w:pPr>
            <w:r>
              <w:rPr>
                <w:sz w:val="19"/>
                <w:szCs w:val="19"/>
              </w:rPr>
              <w:t xml:space="preserve">NFR-09</w:t>
            </w:r>
          </w:p>
        </w:tc>
        <w:tc>
          <w:tcPr>
            <w:tcW w:w="1462" w:type="dxa"/>
            <w:vAlign w:val="center"/>
          </w:tcPr>
          <w:p>
            <w:pPr>
              <w:pStyle w:val="TableText"/>
              <w:jc w:val="left"/>
            </w:pPr>
            <w:r>
              <w:rPr>
                <w:sz w:val="19"/>
                <w:szCs w:val="19"/>
              </w:rPr>
              <w:t xml:space="preserve">Maintainability</w:t>
            </w:r>
          </w:p>
        </w:tc>
        <w:tc>
          <w:tcPr>
            <w:tcW w:w="2729" w:type="dxa"/>
            <w:vAlign w:val="center"/>
          </w:tcPr>
          <w:p>
            <w:pPr>
              <w:pStyle w:val="TableText"/>
              <w:jc w:val="left"/>
            </w:pPr>
            <w:r>
              <w:rPr>
                <w:sz w:val="19"/>
                <w:szCs w:val="19"/>
              </w:rPr>
              <w:t xml:space="preserve">Modules separated by responsibility, typed configuration, documented data contracts</w:t>
            </w:r>
          </w:p>
        </w:tc>
        <w:tc>
          <w:tcPr>
            <w:tcW w:w="2339" w:type="dxa"/>
            <w:vAlign w:val="center"/>
          </w:tcPr>
          <w:p>
            <w:pPr>
              <w:pStyle w:val="TableText"/>
              <w:jc w:val="left"/>
            </w:pPr>
            <w:r>
              <w:rPr>
                <w:sz w:val="19"/>
                <w:szCs w:val="19"/>
              </w:rPr>
              <w:t xml:space="preserve">Code structure (Section </w:t>
            </w:r>
            <w:r>
              <w:rPr>
                <w:sz w:val="19"/>
                <w:szCs w:val="19"/>
              </w:rPr>
              <w:t xml:space="preserve">4.2</w:t>
            </w:r>
            <w:r>
              <w:rPr>
                <w:sz w:val="19"/>
                <w:szCs w:val="19"/>
              </w:rPr>
              <w:t xml:space="preserve">)</w:t>
            </w:r>
          </w:p>
        </w:tc>
        <w:tc>
          <w:tcPr>
            <w:tcW w:w="1852" w:type="dxa"/>
            <w:vAlign w:val="center"/>
          </w:tcPr>
          <w:p>
            <w:pPr>
              <w:pStyle w:val="TableText"/>
              <w:jc w:val="left"/>
            </w:pPr>
            <w:r>
              <w:rPr>
                <w:sz w:val="19"/>
                <w:szCs w:val="19"/>
              </w:rPr>
              <w:t xml:space="preserve">Met</w:t>
            </w:r>
          </w:p>
        </w:tc>
      </w:tr>
      <w:tr>
        <w:trPr>
          <w:cantSplit/>
        </w:trPr>
        <w:tc>
          <w:tcPr>
            <w:tcW w:w="877" w:type="dxa"/>
            <w:vAlign w:val="center"/>
          </w:tcPr>
          <w:p>
            <w:pPr>
              <w:pStyle w:val="TableText"/>
              <w:jc w:val="left"/>
            </w:pPr>
            <w:r>
              <w:rPr>
                <w:sz w:val="19"/>
                <w:szCs w:val="19"/>
              </w:rPr>
              <w:t xml:space="preserve">NFR-10</w:t>
            </w:r>
          </w:p>
        </w:tc>
        <w:tc>
          <w:tcPr>
            <w:tcW w:w="1462" w:type="dxa"/>
            <w:vAlign w:val="center"/>
          </w:tcPr>
          <w:p>
            <w:pPr>
              <w:pStyle w:val="TableText"/>
              <w:jc w:val="left"/>
            </w:pPr>
            <w:r>
              <w:rPr>
                <w:sz w:val="19"/>
                <w:szCs w:val="19"/>
              </w:rPr>
              <w:t xml:space="preserve">Privacy and security</w:t>
            </w:r>
          </w:p>
        </w:tc>
        <w:tc>
          <w:tcPr>
            <w:tcW w:w="2729" w:type="dxa"/>
            <w:vAlign w:val="center"/>
          </w:tcPr>
          <w:p>
            <w:pPr>
              <w:pStyle w:val="TableText"/>
              <w:jc w:val="left"/>
            </w:pPr>
            <w:r>
              <w:rPr>
                <w:sz w:val="19"/>
                <w:szCs w:val="19"/>
              </w:rPr>
              <w:t xml:space="preserve">No personal data collected; all processing local</w:t>
            </w:r>
          </w:p>
        </w:tc>
        <w:tc>
          <w:tcPr>
            <w:tcW w:w="2339" w:type="dxa"/>
            <w:vAlign w:val="center"/>
          </w:tcPr>
          <w:p>
            <w:pPr>
              <w:pStyle w:val="TableText"/>
              <w:jc w:val="left"/>
            </w:pPr>
            <w:r>
              <w:rPr>
                <w:sz w:val="19"/>
                <w:szCs w:val="19"/>
              </w:rPr>
              <w:t xml:space="preserve">Design; datasets are public</w:t>
            </w:r>
          </w:p>
        </w:tc>
        <w:tc>
          <w:tcPr>
            <w:tcW w:w="1852" w:type="dxa"/>
            <w:vAlign w:val="center"/>
          </w:tcPr>
          <w:p>
            <w:pPr>
              <w:pStyle w:val="TableText"/>
              <w:jc w:val="left"/>
            </w:pPr>
            <w:r>
              <w:rPr>
                <w:sz w:val="19"/>
                <w:szCs w:val="19"/>
              </w:rPr>
              <w:t xml:space="preserve">Met</w:t>
            </w:r>
          </w:p>
        </w:tc>
      </w:tr>
      <w:tr>
        <w:trPr>
          <w:cantSplit/>
        </w:trPr>
        <w:tc>
          <w:tcPr>
            <w:tcW w:w="877" w:type="dxa"/>
            <w:vAlign w:val="center"/>
          </w:tcPr>
          <w:p>
            <w:pPr>
              <w:pStyle w:val="TableText"/>
              <w:jc w:val="left"/>
            </w:pPr>
            <w:r>
              <w:rPr>
                <w:sz w:val="19"/>
                <w:szCs w:val="19"/>
              </w:rPr>
              <w:t xml:space="preserve">NFR-11</w:t>
            </w:r>
          </w:p>
        </w:tc>
        <w:tc>
          <w:tcPr>
            <w:tcW w:w="1462" w:type="dxa"/>
            <w:vAlign w:val="center"/>
          </w:tcPr>
          <w:p>
            <w:pPr>
              <w:pStyle w:val="TableText"/>
              <w:jc w:val="left"/>
            </w:pPr>
            <w:r>
              <w:rPr>
                <w:sz w:val="19"/>
                <w:szCs w:val="19"/>
              </w:rPr>
              <w:t xml:space="preserve">Resource use</w:t>
            </w:r>
          </w:p>
        </w:tc>
        <w:tc>
          <w:tcPr>
            <w:tcW w:w="2729" w:type="dxa"/>
            <w:vAlign w:val="center"/>
          </w:tcPr>
          <w:p>
            <w:pPr>
              <w:pStyle w:val="TableText"/>
              <w:jc w:val="left"/>
            </w:pPr>
            <w:r>
              <w:rPr>
                <w:sz w:val="19"/>
                <w:szCs w:val="19"/>
              </w:rPr>
              <w:t xml:space="preserve">No overload of the workstation during long runs</w:t>
            </w:r>
          </w:p>
        </w:tc>
        <w:tc>
          <w:tcPr>
            <w:tcW w:w="2339" w:type="dxa"/>
            <w:vAlign w:val="center"/>
          </w:tcPr>
          <w:p>
            <w:pPr>
              <w:pStyle w:val="TableText"/>
              <w:jc w:val="left"/>
            </w:pPr>
            <w:r>
              <w:rPr>
                <w:sz w:val="19"/>
                <w:szCs w:val="19"/>
              </w:rPr>
              <w:t xml:space="preserve">Capped workers; one heavy job at a time</w:t>
            </w:r>
          </w:p>
        </w:tc>
        <w:tc>
          <w:tcPr>
            <w:tcW w:w="1852" w:type="dxa"/>
            <w:vAlign w:val="center"/>
          </w:tcPr>
          <w:p>
            <w:pPr>
              <w:pStyle w:val="TableText"/>
              <w:jc w:val="left"/>
            </w:pPr>
            <w:r>
              <w:rPr>
                <w:sz w:val="19"/>
                <w:szCs w:val="19"/>
              </w:rPr>
              <w:t xml:space="preserve">Met</w:t>
            </w:r>
          </w:p>
        </w:tc>
      </w:tr>
    </w:tbl>
    <w:p>
      <w:pPr>
        <w:spacing w:before="0" w:after="120" w:line="240" w:lineRule="auto"/>
      </w:pPr>
    </w:p>
    <w:p>
      <w:pPr>
        <w:pStyle w:val="Heading2"/>
      </w:pPr>
      <w:r>
        <w:t xml:space="preserve">3.4 Hardware, Software, Technologies and Tools Utilized</w:t>
      </w:r>
    </w:p>
    <w:p>
      <w:pPr>
        <w:pStyle w:val="Normal"/>
      </w:pPr>
      <w:r>
        <w:t xml:space="preserve">Table </w:t>
      </w:r>
      <w:r>
        <w:t xml:space="preserve">3.3</w:t>
      </w:r>
      <w:r>
        <w:t xml:space="preserve"> lists the hardware and software used to build and run the system, with the versions installed when the results in this report were produced.</w:t>
      </w:r>
    </w:p>
    <w:p>
      <w:pPr>
        <w:pStyle w:val="TableCaption"/>
      </w:pPr>
      <w:r>
        <w:rPr>
          <w:b/>
          <w:bCs/>
        </w:rPr>
        <w:t xml:space="preserve">Table 3.3: </w:t>
      </w:r>
      <w:r>
        <w:t xml:space="preserve">Hardware, software, technologies and tools</w:t>
      </w:r>
    </w:p>
    <w:tbl>
      <w:tblPr>
        <w:tblW w:w="926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30" w:type="dxa"/>
          <w:left w:w="80" w:type="dxa"/>
          <w:bottom w:w="30" w:type="dxa"/>
          <w:right w:w="80" w:type="dxa"/>
        </w:tblCellMar>
        <w:tblLook w:val="0000"/>
      </w:tblPr>
      <w:tblGrid>
        <w:gridCol w:w="1852"/>
        <w:gridCol w:w="3704"/>
        <w:gridCol w:w="3704"/>
      </w:tblGrid>
      <w:tr>
        <w:trPr>
          <w:cantSplit/>
          <w:tblHeader/>
        </w:trPr>
        <w:tc>
          <w:tcPr>
            <w:tcW w:w="1852" w:type="dxa"/>
            <w:shd w:val="clear" w:color="auto" w:fill="D9E2F3"/>
            <w:vAlign w:val="center"/>
          </w:tcPr>
          <w:p>
            <w:pPr>
              <w:pStyle w:val="TableText"/>
              <w:keepNext/>
              <w:jc w:val="center"/>
            </w:pPr>
            <w:r>
              <w:rPr>
                <w:sz w:val="19"/>
                <w:szCs w:val="19"/>
                <w:b/>
                <w:bCs/>
              </w:rPr>
              <w:t xml:space="preserve">Category</w:t>
            </w:r>
          </w:p>
        </w:tc>
        <w:tc>
          <w:tcPr>
            <w:tcW w:w="3704" w:type="dxa"/>
            <w:shd w:val="clear" w:color="auto" w:fill="D9E2F3"/>
            <w:vAlign w:val="center"/>
          </w:tcPr>
          <w:p>
            <w:pPr>
              <w:pStyle w:val="TableText"/>
              <w:keepNext/>
              <w:jc w:val="center"/>
            </w:pPr>
            <w:r>
              <w:rPr>
                <w:sz w:val="19"/>
                <w:szCs w:val="19"/>
                <w:b/>
                <w:bCs/>
              </w:rPr>
              <w:t xml:space="preserve">Tool / specification</w:t>
            </w:r>
          </w:p>
        </w:tc>
        <w:tc>
          <w:tcPr>
            <w:tcW w:w="3704" w:type="dxa"/>
            <w:shd w:val="clear" w:color="auto" w:fill="D9E2F3"/>
            <w:vAlign w:val="center"/>
          </w:tcPr>
          <w:p>
            <w:pPr>
              <w:pStyle w:val="TableText"/>
              <w:keepNext/>
              <w:jc w:val="center"/>
            </w:pPr>
            <w:r>
              <w:rPr>
                <w:sz w:val="19"/>
                <w:szCs w:val="19"/>
                <w:b/>
                <w:bCs/>
              </w:rPr>
              <w:t xml:space="preserve">Purpose / version</w:t>
            </w:r>
          </w:p>
        </w:tc>
      </w:tr>
      <w:tr>
        <w:trPr>
          <w:cantSplit/>
        </w:trPr>
        <w:tc>
          <w:tcPr>
            <w:tcW w:w="1852" w:type="dxa"/>
            <w:vAlign w:val="center"/>
          </w:tcPr>
          <w:p>
            <w:pPr>
              <w:pStyle w:val="TableText"/>
              <w:keepNext/>
              <w:jc w:val="left"/>
            </w:pPr>
            <w:r>
              <w:rPr>
                <w:sz w:val="19"/>
                <w:szCs w:val="19"/>
              </w:rPr>
              <w:t xml:space="preserve">Hardware</w:t>
            </w:r>
          </w:p>
        </w:tc>
        <w:tc>
          <w:tcPr>
            <w:tcW w:w="3704" w:type="dxa"/>
            <w:vAlign w:val="center"/>
          </w:tcPr>
          <w:p>
            <w:pPr>
              <w:pStyle w:val="TableText"/>
              <w:keepNext/>
              <w:jc w:val="left"/>
            </w:pPr>
            <w:r>
              <w:rPr>
                <w:sz w:val="19"/>
                <w:szCs w:val="19"/>
              </w:rPr>
              <w:t xml:space="preserve">Intel Core i5-14600K (20 threads), 32 GB memory, NVIDIA GeForce RTX 4070 (12 GB)</w:t>
            </w:r>
          </w:p>
        </w:tc>
        <w:tc>
          <w:tcPr>
            <w:tcW w:w="3704" w:type="dxa"/>
            <w:vAlign w:val="center"/>
          </w:tcPr>
          <w:p>
            <w:pPr>
              <w:pStyle w:val="TableText"/>
              <w:keepNext/>
              <w:jc w:val="left"/>
            </w:pPr>
            <w:r>
              <w:rPr>
                <w:sz w:val="19"/>
                <w:szCs w:val="19"/>
              </w:rPr>
              <w:t xml:space="preserve">Development, experiments, image embeddings on the graphics card</w:t>
            </w:r>
          </w:p>
        </w:tc>
      </w:tr>
      <w:tr>
        <w:trPr>
          <w:cantSplit/>
        </w:trPr>
        <w:tc>
          <w:tcPr>
            <w:tcW w:w="1852" w:type="dxa"/>
            <w:vAlign w:val="center"/>
          </w:tcPr>
          <w:p>
            <w:pPr>
              <w:pStyle w:val="TableText"/>
              <w:keepNext/>
              <w:jc w:val="left"/>
            </w:pPr>
            <w:r>
              <w:rPr>
                <w:sz w:val="19"/>
                <w:szCs w:val="19"/>
              </w:rPr>
              <w:t xml:space="preserve">Software / OS</w:t>
            </w:r>
          </w:p>
        </w:tc>
        <w:tc>
          <w:tcPr>
            <w:tcW w:w="3704" w:type="dxa"/>
            <w:vAlign w:val="center"/>
          </w:tcPr>
          <w:p>
            <w:pPr>
              <w:pStyle w:val="TableText"/>
              <w:keepNext/>
              <w:jc w:val="left"/>
            </w:pPr>
            <w:r>
              <w:rPr>
                <w:sz w:val="19"/>
                <w:szCs w:val="19"/>
              </w:rPr>
              <w:t xml:space="preserve">Linux (Arch-based distribution, kernel 7.2); Python 3.14</w:t>
            </w:r>
          </w:p>
        </w:tc>
        <w:tc>
          <w:tcPr>
            <w:tcW w:w="3704" w:type="dxa"/>
            <w:vAlign w:val="center"/>
          </w:tcPr>
          <w:p>
            <w:pPr>
              <w:pStyle w:val="TableText"/>
              <w:keepNext/>
              <w:jc w:val="left"/>
            </w:pPr>
            <w:r>
              <w:rPr>
                <w:sz w:val="19"/>
                <w:szCs w:val="19"/>
              </w:rPr>
              <w:t xml:space="preserve">Operating system and language</w:t>
            </w:r>
          </w:p>
        </w:tc>
      </w:tr>
      <w:tr>
        <w:trPr>
          <w:cantSplit/>
        </w:trPr>
        <w:tc>
          <w:tcPr>
            <w:tcW w:w="1852" w:type="dxa"/>
            <w:vAlign w:val="center"/>
          </w:tcPr>
          <w:p>
            <w:pPr>
              <w:pStyle w:val="TableText"/>
              <w:jc w:val="left"/>
            </w:pPr>
            <w:r>
              <w:rPr>
                <w:sz w:val="19"/>
                <w:szCs w:val="19"/>
              </w:rPr>
              <w:t xml:space="preserve">Languages / frameworks</w:t>
            </w:r>
          </w:p>
        </w:tc>
        <w:tc>
          <w:tcPr>
            <w:tcW w:w="3704" w:type="dxa"/>
            <w:vAlign w:val="center"/>
          </w:tcPr>
          <w:p>
            <w:pPr>
              <w:pStyle w:val="TableText"/>
              <w:jc w:val="left"/>
            </w:pPr>
            <w:r>
              <w:rPr>
                <w:sz w:val="19"/>
                <w:szCs w:val="19"/>
              </w:rPr>
              <w:t xml:space="preserve">NumPy 2.4, pandas 2.3, SciPy 1.17, scikit-learn 1.8</w:t>
            </w:r>
          </w:p>
        </w:tc>
        <w:tc>
          <w:tcPr>
            <w:tcW w:w="3704" w:type="dxa"/>
            <w:vAlign w:val="center"/>
          </w:tcPr>
          <w:p>
            <w:pPr>
              <w:pStyle w:val="TableText"/>
              <w:jc w:val="left"/>
            </w:pPr>
            <w:r>
              <w:rPr>
                <w:sz w:val="19"/>
                <w:szCs w:val="19"/>
              </w:rPr>
              <w:t xml:space="preserve">Data handling, statistical tests, models</w:t>
            </w:r>
          </w:p>
        </w:tc>
      </w:tr>
      <w:tr>
        <w:trPr>
          <w:cantSplit/>
        </w:trPr>
        <w:tc>
          <w:tcPr>
            <w:tcW w:w="1852" w:type="dxa"/>
            <w:vAlign w:val="center"/>
          </w:tcPr>
          <w:p>
            <w:pPr>
              <w:pStyle w:val="TableText"/>
              <w:jc w:val="left"/>
            </w:pPr>
            <w:r>
              <w:rPr>
                <w:sz w:val="19"/>
                <w:szCs w:val="19"/>
              </w:rPr>
              <w:t xml:space="preserve">Languages / frameworks</w:t>
            </w:r>
          </w:p>
        </w:tc>
        <w:tc>
          <w:tcPr>
            <w:tcW w:w="3704" w:type="dxa"/>
            <w:vAlign w:val="center"/>
          </w:tcPr>
          <w:p>
            <w:pPr>
              <w:pStyle w:val="TableText"/>
              <w:jc w:val="left"/>
            </w:pPr>
            <w:r>
              <w:rPr>
                <w:sz w:val="19"/>
                <w:szCs w:val="19"/>
              </w:rPr>
              <w:t xml:space="preserve">PyTorch 2.11, torchvision 0.26, OpenCLIP 3.3</w:t>
            </w:r>
          </w:p>
        </w:tc>
        <w:tc>
          <w:tcPr>
            <w:tcW w:w="3704" w:type="dxa"/>
            <w:vAlign w:val="center"/>
          </w:tcPr>
          <w:p>
            <w:pPr>
              <w:pStyle w:val="TableText"/>
              <w:jc w:val="left"/>
            </w:pPr>
            <w:r>
              <w:rPr>
                <w:sz w:val="19"/>
                <w:szCs w:val="19"/>
              </w:rPr>
              <w:t xml:space="preserve">Image network (ResNet-18), CLIP concept probe</w:t>
            </w:r>
          </w:p>
        </w:tc>
      </w:tr>
      <w:tr>
        <w:trPr>
          <w:cantSplit/>
        </w:trPr>
        <w:tc>
          <w:tcPr>
            <w:tcW w:w="1852" w:type="dxa"/>
            <w:vAlign w:val="center"/>
          </w:tcPr>
          <w:p>
            <w:pPr>
              <w:pStyle w:val="TableText"/>
              <w:jc w:val="left"/>
            </w:pPr>
            <w:r>
              <w:rPr>
                <w:sz w:val="19"/>
                <w:szCs w:val="19"/>
              </w:rPr>
              <w:t xml:space="preserve">Languages / frameworks</w:t>
            </w:r>
          </w:p>
        </w:tc>
        <w:tc>
          <w:tcPr>
            <w:tcW w:w="3704" w:type="dxa"/>
            <w:vAlign w:val="center"/>
          </w:tcPr>
          <w:p>
            <w:pPr>
              <w:pStyle w:val="TableText"/>
              <w:jc w:val="left"/>
            </w:pPr>
            <w:r>
              <w:rPr>
                <w:sz w:val="19"/>
                <w:szCs w:val="19"/>
              </w:rPr>
              <w:t xml:space="preserve">SHAP 0.50</w:t>
            </w:r>
          </w:p>
        </w:tc>
        <w:tc>
          <w:tcPr>
            <w:tcW w:w="3704" w:type="dxa"/>
            <w:vAlign w:val="center"/>
          </w:tcPr>
          <w:p>
            <w:pPr>
              <w:pStyle w:val="TableText"/>
              <w:jc w:val="left"/>
            </w:pPr>
            <w:r>
              <w:rPr>
                <w:sz w:val="19"/>
                <w:szCs w:val="19"/>
              </w:rPr>
              <w:t xml:space="preserve">Shapley value explanations</w:t>
            </w:r>
          </w:p>
        </w:tc>
      </w:tr>
      <w:tr>
        <w:trPr>
          <w:cantSplit/>
        </w:trPr>
        <w:tc>
          <w:tcPr>
            <w:tcW w:w="1852" w:type="dxa"/>
            <w:vAlign w:val="center"/>
          </w:tcPr>
          <w:p>
            <w:pPr>
              <w:pStyle w:val="TableText"/>
              <w:jc w:val="left"/>
            </w:pPr>
            <w:r>
              <w:rPr>
                <w:sz w:val="19"/>
                <w:szCs w:val="19"/>
              </w:rPr>
              <w:t xml:space="preserve">Database / cloud / APIs</w:t>
            </w:r>
          </w:p>
        </w:tc>
        <w:tc>
          <w:tcPr>
            <w:tcW w:w="3704" w:type="dxa"/>
            <w:vAlign w:val="center"/>
          </w:tcPr>
          <w:p>
            <w:pPr>
              <w:pStyle w:val="TableText"/>
              <w:jc w:val="left"/>
            </w:pPr>
            <w:r>
              <w:rPr>
                <w:sz w:val="19"/>
                <w:szCs w:val="19"/>
              </w:rPr>
              <w:t xml:space="preserve">JSON files, one per study; Folktables 0.0.12 for the census data; no cloud services</w:t>
            </w:r>
          </w:p>
        </w:tc>
        <w:tc>
          <w:tcPr>
            <w:tcW w:w="3704" w:type="dxa"/>
            <w:vAlign w:val="center"/>
          </w:tcPr>
          <w:p>
            <w:pPr>
              <w:pStyle w:val="TableText"/>
              <w:jc w:val="left"/>
            </w:pPr>
            <w:r>
              <w:rPr>
                <w:sz w:val="19"/>
                <w:szCs w:val="19"/>
              </w:rPr>
              <w:t xml:space="preserve">Storage of results and data access</w:t>
            </w:r>
          </w:p>
        </w:tc>
      </w:tr>
      <w:tr>
        <w:trPr>
          <w:cantSplit/>
        </w:trPr>
        <w:tc>
          <w:tcPr>
            <w:tcW w:w="1852" w:type="dxa"/>
            <w:vAlign w:val="center"/>
          </w:tcPr>
          <w:p>
            <w:pPr>
              <w:pStyle w:val="TableText"/>
              <w:jc w:val="left"/>
            </w:pPr>
            <w:r>
              <w:rPr>
                <w:sz w:val="19"/>
                <w:szCs w:val="19"/>
              </w:rPr>
              <w:t xml:space="preserve">Visualization / UI</w:t>
            </w:r>
          </w:p>
        </w:tc>
        <w:tc>
          <w:tcPr>
            <w:tcW w:w="3704" w:type="dxa"/>
            <w:vAlign w:val="center"/>
          </w:tcPr>
          <w:p>
            <w:pPr>
              <w:pStyle w:val="TableText"/>
              <w:jc w:val="left"/>
            </w:pPr>
            <w:r>
              <w:rPr>
                <w:sz w:val="19"/>
                <w:szCs w:val="19"/>
              </w:rPr>
              <w:t xml:space="preserve">Streamlit 1.54, Plotly 6.5, Matplotlib 3.10, Graphviz</w:t>
            </w:r>
          </w:p>
        </w:tc>
        <w:tc>
          <w:tcPr>
            <w:tcW w:w="3704" w:type="dxa"/>
            <w:vAlign w:val="center"/>
          </w:tcPr>
          <w:p>
            <w:pPr>
              <w:pStyle w:val="TableText"/>
              <w:jc w:val="left"/>
            </w:pPr>
            <w:r>
              <w:rPr>
                <w:sz w:val="19"/>
                <w:szCs w:val="19"/>
              </w:rPr>
              <w:t xml:space="preserve">Dashboard and figures</w:t>
            </w:r>
          </w:p>
        </w:tc>
      </w:tr>
      <w:tr>
        <w:trPr>
          <w:cantSplit/>
        </w:trPr>
        <w:tc>
          <w:tcPr>
            <w:tcW w:w="1852" w:type="dxa"/>
            <w:vAlign w:val="center"/>
          </w:tcPr>
          <w:p>
            <w:pPr>
              <w:pStyle w:val="TableText"/>
              <w:jc w:val="left"/>
            </w:pPr>
            <w:r>
              <w:rPr>
                <w:sz w:val="19"/>
                <w:szCs w:val="19"/>
              </w:rPr>
              <w:t xml:space="preserve">Testing / analytics / version control</w:t>
            </w:r>
          </w:p>
        </w:tc>
        <w:tc>
          <w:tcPr>
            <w:tcW w:w="3704" w:type="dxa"/>
            <w:vAlign w:val="center"/>
          </w:tcPr>
          <w:p>
            <w:pPr>
              <w:pStyle w:val="TableText"/>
              <w:jc w:val="left"/>
            </w:pPr>
            <w:r>
              <w:rPr>
                <w:sz w:val="19"/>
                <w:szCs w:val="19"/>
              </w:rPr>
              <w:t xml:space="preserve">pytest 9.0, Git with two repositories (code and paper)</w:t>
            </w:r>
          </w:p>
        </w:tc>
        <w:tc>
          <w:tcPr>
            <w:tcW w:w="3704" w:type="dxa"/>
            <w:vAlign w:val="center"/>
          </w:tcPr>
          <w:p>
            <w:pPr>
              <w:pStyle w:val="TableText"/>
              <w:jc w:val="left"/>
            </w:pPr>
            <w:r>
              <w:rPr>
                <w:sz w:val="19"/>
                <w:szCs w:val="19"/>
              </w:rPr>
              <w:t xml:space="preserve">Automated tests and version control</w:t>
            </w:r>
          </w:p>
        </w:tc>
      </w:tr>
      <w:tr>
        <w:trPr>
          <w:cantSplit/>
        </w:trPr>
        <w:tc>
          <w:tcPr>
            <w:tcW w:w="1852" w:type="dxa"/>
            <w:vAlign w:val="center"/>
          </w:tcPr>
          <w:p>
            <w:pPr>
              <w:pStyle w:val="TableText"/>
              <w:jc w:val="left"/>
            </w:pPr>
            <w:r>
              <w:rPr>
                <w:sz w:val="19"/>
                <w:szCs w:val="19"/>
              </w:rPr>
              <w:t xml:space="preserve">Documentation</w:t>
            </w:r>
          </w:p>
        </w:tc>
        <w:tc>
          <w:tcPr>
            <w:tcW w:w="3704" w:type="dxa"/>
            <w:vAlign w:val="center"/>
          </w:tcPr>
          <w:p>
            <w:pPr>
              <w:pStyle w:val="TableText"/>
              <w:jc w:val="left"/>
            </w:pPr>
            <w:r>
              <w:rPr>
                <w:sz w:val="19"/>
                <w:szCs w:val="19"/>
              </w:rPr>
              <w:t xml:space="preserve">LibreOffice 26.8, Markdown sources</w:t>
            </w:r>
          </w:p>
        </w:tc>
        <w:tc>
          <w:tcPr>
            <w:tcW w:w="3704" w:type="dxa"/>
            <w:vAlign w:val="center"/>
          </w:tcPr>
          <w:p>
            <w:pPr>
              <w:pStyle w:val="TableText"/>
              <w:jc w:val="left"/>
            </w:pPr>
            <w:r>
              <w:rPr>
                <w:sz w:val="19"/>
                <w:szCs w:val="19"/>
              </w:rPr>
              <w:t xml:space="preserve">This report and the paper versions</w:t>
            </w:r>
          </w:p>
        </w:tc>
      </w:tr>
    </w:tbl>
    <w:p>
      <w:pPr>
        <w:spacing w:before="0" w:after="120" w:line="240" w:lineRule="auto"/>
      </w:pPr>
    </w:p>
    <w:p>
      <w:pPr>
        <w:pStyle w:val="Heading2"/>
      </w:pPr>
      <w:r>
        <w:t xml:space="preserve">3.5 Constraints</w:t>
      </w:r>
    </w:p>
    <w:p>
      <w:pPr>
        <w:pStyle w:val="Normal"/>
      </w:pPr>
      <w:r>
        <w:t xml:space="preserve">The project worked within the following constraints and assumptions.</w:t>
      </w:r>
    </w:p>
    <w:p>
      <w:pPr>
        <w:pStyle w:val="ListItem"/>
        <w:numPr>
          <w:ilvl w:val="0"/>
          <w:numId w:val="100"/>
        </w:numPr>
        <w:ind w:left="567" w:hanging="340"/>
      </w:pPr>
      <w:r>
        <w:rPr>
          <w:b/>
          <w:bCs/>
        </w:rPr>
        <w:t xml:space="preserve">Labels.</w:t>
      </w:r>
      <w:r>
        <w:t xml:space="preserve"> Production labels are assumed to arrive late and to be expensive, so they may be used only in a small audit. The audit is assumed to be a random sample of the window.</w:t>
      </w:r>
    </w:p>
    <w:p>
      <w:pPr>
        <w:pStyle w:val="ListItem"/>
        <w:numPr>
          <w:ilvl w:val="0"/>
          <w:numId w:val="100"/>
        </w:numPr>
        <w:ind w:left="567" w:hanging="340"/>
      </w:pPr>
      <w:r>
        <w:rPr>
          <w:b/>
          <w:bCs/>
        </w:rPr>
        <w:t xml:space="preserve">Data.</w:t>
      </w:r>
      <w:r>
        <w:t xml:space="preserve"> Only public datasets could be used. Their drift types are not known exactly, which is why an injection benchmark was needed. The 2020 release of the American Community Survey has no standard version, so 2020 is missing from the timelines.</w:t>
      </w:r>
    </w:p>
    <w:p>
      <w:pPr>
        <w:pStyle w:val="ListItem"/>
        <w:numPr>
          <w:ilvl w:val="0"/>
          <w:numId w:val="100"/>
        </w:numPr>
        <w:ind w:left="567" w:hanging="340"/>
      </w:pPr>
      <w:r>
        <w:rPr>
          <w:b/>
          <w:bCs/>
        </w:rPr>
        <w:t xml:space="preserve">Models.</w:t>
      </w:r>
      <w:r>
        <w:t xml:space="preserve"> The system watches the model from outside: it needs predictions and class probabilities, not the internals of the model, except for the explanations.</w:t>
      </w:r>
    </w:p>
    <w:p>
      <w:pPr>
        <w:pStyle w:val="ListItem"/>
        <w:numPr>
          <w:ilvl w:val="0"/>
          <w:numId w:val="100"/>
        </w:numPr>
        <w:ind w:left="567" w:hanging="340"/>
      </w:pPr>
      <w:r>
        <w:rPr>
          <w:b/>
          <w:bCs/>
        </w:rPr>
        <w:t xml:space="preserve">Compute and time.</w:t>
      </w:r>
      <w:r>
        <w:t xml:space="preserve"> All work had to run on one workstation within the semester. Long benchmark runs were scheduled one at a time with capped parallel workers.</w:t>
      </w:r>
    </w:p>
    <w:p>
      <w:pPr>
        <w:pStyle w:val="ListItem"/>
        <w:numPr>
          <w:ilvl w:val="0"/>
          <w:numId w:val="100"/>
        </w:numPr>
        <w:ind w:left="567" w:hanging="340"/>
      </w:pPr>
      <w:r>
        <w:rPr>
          <w:b/>
          <w:bCs/>
        </w:rPr>
        <w:t xml:space="preserve">Batch setting.</w:t>
      </w:r>
      <w:r>
        <w:t xml:space="preserve"> Windows are batches of hundreds to thousands of rows. The tests are not designed for streams that need a verdict every few seconds.</w:t>
      </w:r>
    </w:p>
    <w:p>
      <w:pPr>
        <w:pStyle w:val="ListItem"/>
        <w:numPr>
          <w:ilvl w:val="0"/>
          <w:numId w:val="100"/>
        </w:numPr>
        <w:ind w:left="567" w:hanging="340"/>
      </w:pPr>
      <w:r>
        <w:rPr>
          <w:b/>
          <w:bCs/>
        </w:rPr>
        <w:t xml:space="preserve">Ethics and privacy.</w:t>
      </w:r>
      <w:r>
        <w:t xml:space="preserve"> No personal data could be collected and the sensitive attributes in the census tasks are used only as model inputs of standard public tasks.</w:t>
      </w:r>
    </w:p>
    <w:p>
      <w:pPr>
        <w:pStyle w:val="Heading1"/>
      </w:pPr>
      <w:r>
        <w:t xml:space="preserve">CHAPTER 4: PROPOSED DESIGN</w:t>
      </w:r>
    </w:p>
    <w:p>
      <w:pPr>
        <w:pStyle w:val="Normal"/>
      </w:pPr>
      <w:r>
        <w:t xml:space="preserve">This chapter turns the requirements of Chapter </w:t>
      </w:r>
      <w:r>
        <w:t xml:space="preserve">3</w:t>
      </w:r>
      <w:r>
        <w:t xml:space="preserve"> into a design. It starts from a block diagram of the whole system, breaks the system into modules, shows the main classes and the flow of data between them, presents the schedule the project followed and ends with the design decisions taken to keep the system economical in computation and labels.</w:t>
      </w:r>
    </w:p>
    <w:p>
      <w:pPr>
        <w:pStyle w:val="Heading2"/>
      </w:pPr>
      <w:r>
        <w:t xml:space="preserve">4.1 Block Diagram of the System</w:t>
      </w:r>
    </w:p>
    <w:p>
      <w:pPr>
        <w:pStyle w:val="Normal"/>
      </w:pPr>
      <w:r>
        <w:t xml:space="preserve">The system is organized as a pipeline of stages, each answering one of the questions a monitoring team asks. Fig. </w:t>
      </w:r>
      <w:r>
        <w:t xml:space="preserve">4.1</w:t>
      </w:r>
      <w:r>
        <w:t xml:space="preserve"> shows the stages and the data that pass between them.</w:t>
      </w:r>
    </w:p>
    <w:p>
      <w:pPr>
        <w:pStyle w:val="FigureBody"/>
      </w:pPr>
      <w:r>
        <w:drawing>
          <wp:inline distT="0" distB="0" distL="0" distR="0">
            <wp:extent cx="5400000" cy="5474386"/>
            <wp:docPr id="1003" name="Figure 4.1" descr="Fig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 name="block_diagram.png"/>
                    <pic:cNvPicPr/>
                  </pic:nvPicPr>
                  <pic:blipFill>
                    <a:blip r:embed="rIdI3"/>
                    <a:stretch>
                      <a:fillRect/>
                    </a:stretch>
                  </pic:blipFill>
                  <pic:spPr>
                    <a:xfrm>
                      <a:off x="0" y="0"/>
                      <a:ext cx="5400000" cy="5474386"/>
                    </a:xfrm>
                    <a:prstGeom prst="rect">
                      <a:avLst/>
                    </a:prstGeom>
                  </pic:spPr>
                </pic:pic>
              </a:graphicData>
            </a:graphic>
          </wp:inline>
        </w:drawing>
      </w:r>
    </w:p>
    <w:p>
      <w:pPr>
        <w:pStyle w:val="FigureCaption"/>
        <w:jc w:val="both"/>
      </w:pPr>
      <w:r>
        <w:rPr>
          <w:b/>
          <w:bCs/>
        </w:rPr>
        <w:t xml:space="preserve">Fig. 4.1: </w:t>
      </w:r>
      <w:r>
        <w:t xml:space="preserve">Block diagram of ResilientAI. Stage letters follow the order in which a production window is processed; dashed arrows carry optional or supporting data</w:t>
      </w:r>
    </w:p>
    <w:p>
      <w:pPr>
        <w:pStyle w:val="Normal"/>
      </w:pPr>
      <w:r>
        <w:rPr>
          <w:b/>
          <w:bCs/>
        </w:rPr>
        <w:t xml:space="preserve">A. Inputs.</w:t>
      </w:r>
      <w:r>
        <w:t xml:space="preserve"> The system takes the deployed model, the labeled reference data it was built from, the unlabeled production windows and, optionally, a few hundred late labels for each window.</w:t>
      </w:r>
    </w:p>
    <w:p>
      <w:pPr>
        <w:pStyle w:val="Normal"/>
      </w:pPr>
      <w:r>
        <w:rPr>
          <w:b/>
          <w:bCs/>
        </w:rPr>
        <w:t xml:space="preserve">B. Preparation.</w:t>
      </w:r>
      <w:r>
        <w:t xml:space="preserve"> The data are brought into a common form. Feature types are recorded, so that nominal codes such as an occupation code are never treated as numbers. Images are mapped to embeddings by a frozen pretrained network. The reference data are split into training, calibration and test parts.</w:t>
      </w:r>
    </w:p>
    <w:p>
      <w:pPr>
        <w:pStyle w:val="Normal"/>
      </w:pPr>
      <w:r>
        <w:rPr>
          <w:b/>
          <w:bCs/>
        </w:rPr>
        <w:t xml:space="preserve">C. Detection and estimation.</w:t>
      </w:r>
      <w:r>
        <w:t xml:space="preserve"> Shift detectors compare each window with the calibration part, the accuracy is estimated from the model’s confidence and the shifted features are located with per-feature tests.</w:t>
      </w:r>
    </w:p>
    <w:p>
      <w:pPr>
        <w:pStyle w:val="Normal"/>
      </w:pPr>
      <w:r>
        <w:rPr>
          <w:b/>
          <w:bCs/>
        </w:rPr>
        <w:t xml:space="preserve">D. Drift type and cause.</w:t>
      </w:r>
      <w:r>
        <w:t xml:space="preserve"> The label-free stage of the diagnosis decides whether anything moved and whether a change in the class balance alone explains it. When no label-free test rejects and an audit is available, the audit stage decides between concept drift, label noise and no drift. Root cause analysis compares what the model relies on before and after the shift.</w:t>
      </w:r>
    </w:p>
    <w:p>
      <w:pPr>
        <w:pStyle w:val="Normal"/>
      </w:pPr>
      <w:r>
        <w:rPr>
          <w:b/>
          <w:bCs/>
        </w:rPr>
        <w:t xml:space="preserve">E and F. Acting on the findings.</w:t>
      </w:r>
      <w:r>
        <w:t xml:space="preserve"> The reliability stage scores the risk of each single prediction and the remediation triage advises whether a cheap retrain would recover the accuracy.</w:t>
      </w:r>
    </w:p>
    <w:p>
      <w:pPr>
        <w:pStyle w:val="Normal"/>
      </w:pPr>
      <w:r>
        <w:t xml:space="preserve">Every result of a study is written to one report in JavaScript Object Notation (JSON). The dashboard reads these reports and so does the build that generates the tables, figures and numbers of the paper and of this report.</w:t>
      </w:r>
    </w:p>
    <w:p>
      <w:pPr>
        <w:pStyle w:val="Heading2"/>
      </w:pPr>
      <w:r>
        <w:t xml:space="preserve">4.2 Modular Design of the System</w:t>
      </w:r>
    </w:p>
    <w:p>
      <w:pPr>
        <w:pStyle w:val="Normal"/>
      </w:pPr>
      <w:r>
        <w:t xml:space="preserve">The implementation is a Python package of 57 modules and 11,057 lines in 13 subpackages, plus the dashboard and the build scripts. Fig. </w:t>
      </w:r>
      <w:r>
        <w:t xml:space="preserve">4.2</w:t>
      </w:r>
      <w:r>
        <w:t xml:space="preserve"> shows the packages as layers, where each layer uses the layers below it.</w:t>
      </w:r>
    </w:p>
    <w:p>
      <w:pPr>
        <w:pStyle w:val="FigureBody"/>
      </w:pPr>
      <w:r>
        <w:drawing>
          <wp:inline distT="0" distB="0" distL="0" distR="0">
            <wp:extent cx="5400000" cy="4142707"/>
            <wp:docPr id="1004" name="Figure 4.2" descr="Fig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 name="module_diagram.png"/>
                    <pic:cNvPicPr/>
                  </pic:nvPicPr>
                  <pic:blipFill>
                    <a:blip r:embed="rIdI4"/>
                    <a:stretch>
                      <a:fillRect/>
                    </a:stretch>
                  </pic:blipFill>
                  <pic:spPr>
                    <a:xfrm>
                      <a:off x="0" y="0"/>
                      <a:ext cx="5400000" cy="4142707"/>
                    </a:xfrm>
                    <a:prstGeom prst="rect">
                      <a:avLst/>
                    </a:prstGeom>
                  </pic:spPr>
                </pic:pic>
              </a:graphicData>
            </a:graphic>
          </wp:inline>
        </w:drawing>
      </w:r>
    </w:p>
    <w:p>
      <w:pPr>
        <w:pStyle w:val="FigureCaption"/>
      </w:pPr>
      <w:r>
        <w:rPr>
          <w:b/>
          <w:bCs/>
        </w:rPr>
        <w:t xml:space="preserve">Fig. 4.2: </w:t>
      </w:r>
      <w:r>
        <w:t xml:space="preserve">Packages of the implementation, arranged in layers; each layer uses the layers below it</w:t>
      </w:r>
    </w:p>
    <w:p>
      <w:pPr>
        <w:pStyle w:val="Normal"/>
      </w:pPr>
      <w:r>
        <w:t xml:space="preserve">The foundation layer holds the data container and base classes (core), the statistical routines shared by every test (stats), the data loaders and validators (data) and the image networks (extractors). The analysis layer holds one package per stage of the block diagram. The orchestration layer runs studies on real data (experiments) and on injected drift (benchmark) and reads the run configuration (config). The presentation layer is the dashboard and the build of the paper. Table </w:t>
      </w:r>
      <w:r>
        <w:t xml:space="preserve">4.1</w:t>
      </w:r>
      <w:r>
        <w:t xml:space="preserve"> gives the responsibility, inputs and outputs of each package.</w:t>
      </w:r>
    </w:p>
    <w:p>
      <w:pPr>
        <w:pStyle w:val="TableCaption"/>
      </w:pPr>
      <w:r>
        <w:rPr>
          <w:b/>
          <w:bCs/>
        </w:rPr>
        <w:t xml:space="preserve">Table 4.1: </w:t>
      </w:r>
      <w:r>
        <w:t xml:space="preserve">Responsibilities, inputs and outputs of the packages</w:t>
      </w:r>
    </w:p>
    <w:tbl>
      <w:tblPr>
        <w:tblW w:w="9259"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30" w:type="dxa"/>
          <w:left w:w="80" w:type="dxa"/>
          <w:bottom w:w="30" w:type="dxa"/>
          <w:right w:w="80" w:type="dxa"/>
        </w:tblCellMar>
        <w:tblLook w:val="0000"/>
      </w:tblPr>
      <w:tblGrid>
        <w:gridCol w:w="1507"/>
        <w:gridCol w:w="3230"/>
        <w:gridCol w:w="2261"/>
        <w:gridCol w:w="2261"/>
      </w:tblGrid>
      <w:tr>
        <w:trPr>
          <w:cantSplit/>
          <w:tblHeader/>
        </w:trPr>
        <w:tc>
          <w:tcPr>
            <w:tcW w:w="1507" w:type="dxa"/>
            <w:shd w:val="clear" w:color="auto" w:fill="D9E2F3"/>
            <w:vAlign w:val="center"/>
          </w:tcPr>
          <w:p>
            <w:pPr>
              <w:pStyle w:val="TableText"/>
              <w:keepNext/>
              <w:jc w:val="center"/>
            </w:pPr>
            <w:r>
              <w:rPr>
                <w:sz w:val="19"/>
                <w:szCs w:val="19"/>
                <w:b/>
                <w:bCs/>
              </w:rPr>
              <w:t xml:space="preserve">Package</w:t>
            </w:r>
          </w:p>
        </w:tc>
        <w:tc>
          <w:tcPr>
            <w:tcW w:w="3230" w:type="dxa"/>
            <w:shd w:val="clear" w:color="auto" w:fill="D9E2F3"/>
            <w:vAlign w:val="center"/>
          </w:tcPr>
          <w:p>
            <w:pPr>
              <w:pStyle w:val="TableText"/>
              <w:keepNext/>
              <w:jc w:val="center"/>
            </w:pPr>
            <w:r>
              <w:rPr>
                <w:sz w:val="19"/>
                <w:szCs w:val="19"/>
                <w:b/>
                <w:bCs/>
              </w:rPr>
              <w:t xml:space="preserve">Responsibility</w:t>
            </w:r>
          </w:p>
        </w:tc>
        <w:tc>
          <w:tcPr>
            <w:tcW w:w="2261" w:type="dxa"/>
            <w:shd w:val="clear" w:color="auto" w:fill="D9E2F3"/>
            <w:vAlign w:val="center"/>
          </w:tcPr>
          <w:p>
            <w:pPr>
              <w:pStyle w:val="TableText"/>
              <w:keepNext/>
              <w:jc w:val="center"/>
            </w:pPr>
            <w:r>
              <w:rPr>
                <w:sz w:val="19"/>
                <w:szCs w:val="19"/>
                <w:b/>
                <w:bCs/>
              </w:rPr>
              <w:t xml:space="preserve">Inputs</w:t>
            </w:r>
          </w:p>
        </w:tc>
        <w:tc>
          <w:tcPr>
            <w:tcW w:w="2261" w:type="dxa"/>
            <w:shd w:val="clear" w:color="auto" w:fill="D9E2F3"/>
            <w:vAlign w:val="center"/>
          </w:tcPr>
          <w:p>
            <w:pPr>
              <w:pStyle w:val="TableText"/>
              <w:keepNext/>
              <w:jc w:val="center"/>
            </w:pPr>
            <w:r>
              <w:rPr>
                <w:sz w:val="19"/>
                <w:szCs w:val="19"/>
                <w:b/>
                <w:bCs/>
              </w:rPr>
              <w:t xml:space="preserve">Outputs</w:t>
            </w:r>
          </w:p>
        </w:tc>
      </w:tr>
      <w:tr>
        <w:trPr>
          <w:cantSplit/>
        </w:trPr>
        <w:tc>
          <w:tcPr>
            <w:tcW w:w="1507" w:type="dxa"/>
            <w:vAlign w:val="center"/>
          </w:tcPr>
          <w:p>
            <w:pPr>
              <w:pStyle w:val="TableText"/>
              <w:keepNext/>
              <w:jc w:val="left"/>
            </w:pPr>
            <w:r>
              <w:rPr>
                <w:sz w:val="19"/>
                <w:szCs w:val="19"/>
              </w:rPr>
              <w:t xml:space="preserve">core</w:t>
            </w:r>
          </w:p>
        </w:tc>
        <w:tc>
          <w:tcPr>
            <w:tcW w:w="3230" w:type="dxa"/>
            <w:vAlign w:val="center"/>
          </w:tcPr>
          <w:p>
            <w:pPr>
              <w:pStyle w:val="TableText"/>
              <w:keepNext/>
              <w:jc w:val="left"/>
            </w:pPr>
            <w:r>
              <w:rPr>
                <w:sz w:val="19"/>
                <w:szCs w:val="19"/>
              </w:rPr>
              <w:t xml:space="preserve">Dataset container with feature types; base classes for detectors, localizers and root cause analyzers; the detection pipeline; result records</w:t>
            </w:r>
          </w:p>
        </w:tc>
        <w:tc>
          <w:tcPr>
            <w:tcW w:w="2261" w:type="dxa"/>
            <w:vAlign w:val="center"/>
          </w:tcPr>
          <w:p>
            <w:pPr>
              <w:pStyle w:val="TableText"/>
              <w:keepNext/>
              <w:jc w:val="left"/>
            </w:pPr>
            <w:r>
              <w:rPr>
                <w:sz w:val="19"/>
                <w:szCs w:val="19"/>
              </w:rPr>
              <w:t xml:space="preserve">Arrays or data frames, model outputs</w:t>
            </w:r>
          </w:p>
        </w:tc>
        <w:tc>
          <w:tcPr>
            <w:tcW w:w="2261" w:type="dxa"/>
            <w:vAlign w:val="center"/>
          </w:tcPr>
          <w:p>
            <w:pPr>
              <w:pStyle w:val="TableText"/>
              <w:keepNext/>
              <w:jc w:val="left"/>
            </w:pPr>
            <w:r>
              <w:rPr>
                <w:sz w:val="19"/>
                <w:szCs w:val="19"/>
              </w:rPr>
              <w:t xml:space="preserve">Dataset objects, pipeline results</w:t>
            </w:r>
          </w:p>
        </w:tc>
      </w:tr>
      <w:tr>
        <w:trPr>
          <w:cantSplit/>
        </w:trPr>
        <w:tc>
          <w:tcPr>
            <w:tcW w:w="1507" w:type="dxa"/>
            <w:vAlign w:val="center"/>
          </w:tcPr>
          <w:p>
            <w:pPr>
              <w:pStyle w:val="TableText"/>
              <w:keepNext/>
              <w:jc w:val="left"/>
            </w:pPr>
            <w:r>
              <w:rPr>
                <w:sz w:val="19"/>
                <w:szCs w:val="19"/>
              </w:rPr>
              <w:t xml:space="preserve">data</w:t>
            </w:r>
          </w:p>
        </w:tc>
        <w:tc>
          <w:tcPr>
            <w:tcW w:w="3230" w:type="dxa"/>
            <w:vAlign w:val="center"/>
          </w:tcPr>
          <w:p>
            <w:pPr>
              <w:pStyle w:val="TableText"/>
              <w:keepNext/>
              <w:jc w:val="left"/>
            </w:pPr>
            <w:r>
              <w:rPr>
                <w:sz w:val="19"/>
                <w:szCs w:val="19"/>
              </w:rPr>
              <w:t xml:space="preserve">Loading and caching of the census, gas sensor and image data; schema validation; image tabularization</w:t>
            </w:r>
          </w:p>
        </w:tc>
        <w:tc>
          <w:tcPr>
            <w:tcW w:w="2261" w:type="dxa"/>
            <w:vAlign w:val="center"/>
          </w:tcPr>
          <w:p>
            <w:pPr>
              <w:pStyle w:val="TableText"/>
              <w:keepNext/>
              <w:jc w:val="left"/>
            </w:pPr>
            <w:r>
              <w:rPr>
                <w:sz w:val="19"/>
                <w:szCs w:val="19"/>
              </w:rPr>
              <w:t xml:space="preserve">Raw files, Folktables downloads</w:t>
            </w:r>
          </w:p>
        </w:tc>
        <w:tc>
          <w:tcPr>
            <w:tcW w:w="2261" w:type="dxa"/>
            <w:vAlign w:val="center"/>
          </w:tcPr>
          <w:p>
            <w:pPr>
              <w:pStyle w:val="TableText"/>
              <w:keepNext/>
              <w:jc w:val="left"/>
            </w:pPr>
            <w:r>
              <w:rPr>
                <w:sz w:val="19"/>
                <w:szCs w:val="19"/>
              </w:rPr>
              <w:t xml:space="preserve">Typed tables, embedding tables</w:t>
            </w:r>
          </w:p>
        </w:tc>
      </w:tr>
      <w:tr>
        <w:trPr>
          <w:cantSplit/>
        </w:trPr>
        <w:tc>
          <w:tcPr>
            <w:tcW w:w="1507" w:type="dxa"/>
            <w:vAlign w:val="center"/>
          </w:tcPr>
          <w:p>
            <w:pPr>
              <w:pStyle w:val="TableText"/>
              <w:jc w:val="left"/>
            </w:pPr>
            <w:r>
              <w:rPr>
                <w:sz w:val="19"/>
                <w:szCs w:val="19"/>
              </w:rPr>
              <w:t xml:space="preserve">extractors</w:t>
            </w:r>
          </w:p>
        </w:tc>
        <w:tc>
          <w:tcPr>
            <w:tcW w:w="3230" w:type="dxa"/>
            <w:vAlign w:val="center"/>
          </w:tcPr>
          <w:p>
            <w:pPr>
              <w:pStyle w:val="TableText"/>
              <w:jc w:val="left"/>
            </w:pPr>
            <w:r>
              <w:rPr>
                <w:sz w:val="19"/>
                <w:szCs w:val="19"/>
              </w:rPr>
              <w:t xml:space="preserve">Frozen ResNet-18 and CLIP image networks</w:t>
            </w:r>
          </w:p>
        </w:tc>
        <w:tc>
          <w:tcPr>
            <w:tcW w:w="2261" w:type="dxa"/>
            <w:vAlign w:val="center"/>
          </w:tcPr>
          <w:p>
            <w:pPr>
              <w:pStyle w:val="TableText"/>
              <w:jc w:val="left"/>
            </w:pPr>
            <w:r>
              <w:rPr>
                <w:sz w:val="19"/>
                <w:szCs w:val="19"/>
              </w:rPr>
              <w:t xml:space="preserve">Images</w:t>
            </w:r>
          </w:p>
        </w:tc>
        <w:tc>
          <w:tcPr>
            <w:tcW w:w="2261" w:type="dxa"/>
            <w:vAlign w:val="center"/>
          </w:tcPr>
          <w:p>
            <w:pPr>
              <w:pStyle w:val="TableText"/>
              <w:jc w:val="left"/>
            </w:pPr>
            <w:r>
              <w:rPr>
                <w:sz w:val="19"/>
                <w:szCs w:val="19"/>
              </w:rPr>
              <w:t xml:space="preserve">512-dimensional embeddings</w:t>
            </w:r>
          </w:p>
        </w:tc>
      </w:tr>
      <w:tr>
        <w:trPr>
          <w:cantSplit/>
        </w:trPr>
        <w:tc>
          <w:tcPr>
            <w:tcW w:w="1507" w:type="dxa"/>
            <w:vAlign w:val="center"/>
          </w:tcPr>
          <w:p>
            <w:pPr>
              <w:pStyle w:val="TableText"/>
              <w:jc w:val="left"/>
            </w:pPr>
            <w:r>
              <w:rPr>
                <w:sz w:val="19"/>
                <w:szCs w:val="19"/>
              </w:rPr>
              <w:t xml:space="preserve">stats</w:t>
            </w:r>
          </w:p>
        </w:tc>
        <w:tc>
          <w:tcPr>
            <w:tcW w:w="3230" w:type="dxa"/>
            <w:vAlign w:val="center"/>
          </w:tcPr>
          <w:p>
            <w:pPr>
              <w:pStyle w:val="TableText"/>
              <w:jc w:val="left"/>
            </w:pPr>
            <w:r>
              <w:rPr>
                <w:sz w:val="19"/>
                <w:szCs w:val="19"/>
              </w:rPr>
              <w:t xml:space="preserve">Holm and weighted Holm procedures, chi-square homogeneity, weighted Kolmogorov–Smirnov, Wilson intervals, Kish effective sample size</w:t>
            </w:r>
          </w:p>
        </w:tc>
        <w:tc>
          <w:tcPr>
            <w:tcW w:w="2261" w:type="dxa"/>
            <w:vAlign w:val="center"/>
          </w:tcPr>
          <w:p>
            <w:pPr>
              <w:pStyle w:val="TableText"/>
              <w:jc w:val="left"/>
            </w:pPr>
            <w:r>
              <w:rPr>
                <w:sz w:val="19"/>
                <w:szCs w:val="19"/>
              </w:rPr>
              <w:t xml:space="preserve">p values, samples, weights</w:t>
            </w:r>
          </w:p>
        </w:tc>
        <w:tc>
          <w:tcPr>
            <w:tcW w:w="2261" w:type="dxa"/>
            <w:vAlign w:val="center"/>
          </w:tcPr>
          <w:p>
            <w:pPr>
              <w:pStyle w:val="TableText"/>
              <w:jc w:val="left"/>
            </w:pPr>
            <w:r>
              <w:rPr>
                <w:sz w:val="19"/>
                <w:szCs w:val="19"/>
              </w:rPr>
              <w:t xml:space="preserve">Test results, intervals</w:t>
            </w:r>
          </w:p>
        </w:tc>
      </w:tr>
      <w:tr>
        <w:trPr>
          <w:cantSplit/>
        </w:trPr>
        <w:tc>
          <w:tcPr>
            <w:tcW w:w="1507" w:type="dxa"/>
            <w:vAlign w:val="center"/>
          </w:tcPr>
          <w:p>
            <w:pPr>
              <w:pStyle w:val="TableText"/>
              <w:jc w:val="left"/>
            </w:pPr>
            <w:r>
              <w:rPr>
                <w:sz w:val="19"/>
                <w:szCs w:val="19"/>
              </w:rPr>
              <w:t xml:space="preserve">detectors</w:t>
            </w:r>
          </w:p>
        </w:tc>
        <w:tc>
          <w:tcPr>
            <w:tcW w:w="3230" w:type="dxa"/>
            <w:vAlign w:val="center"/>
          </w:tcPr>
          <w:p>
            <w:pPr>
              <w:pStyle w:val="TableText"/>
              <w:jc w:val="left"/>
            </w:pPr>
            <w:r>
              <w:rPr>
                <w:sz w:val="19"/>
                <w:szCs w:val="19"/>
              </w:rPr>
              <w:t xml:space="preserve">Kolmogorov–Smirnov, population stability index, maximum mean discrepancy, confidence test, black-box shift detection, domain classifier</w:t>
            </w:r>
          </w:p>
        </w:tc>
        <w:tc>
          <w:tcPr>
            <w:tcW w:w="2261" w:type="dxa"/>
            <w:vAlign w:val="center"/>
          </w:tcPr>
          <w:p>
            <w:pPr>
              <w:pStyle w:val="TableText"/>
              <w:jc w:val="left"/>
            </w:pPr>
            <w:r>
              <w:rPr>
                <w:sz w:val="19"/>
                <w:szCs w:val="19"/>
              </w:rPr>
              <w:t xml:space="preserve">Reference and window data</w:t>
            </w:r>
          </w:p>
        </w:tc>
        <w:tc>
          <w:tcPr>
            <w:tcW w:w="2261" w:type="dxa"/>
            <w:vAlign w:val="center"/>
          </w:tcPr>
          <w:p>
            <w:pPr>
              <w:pStyle w:val="TableText"/>
              <w:jc w:val="left"/>
            </w:pPr>
            <w:r>
              <w:rPr>
                <w:sz w:val="19"/>
                <w:szCs w:val="19"/>
              </w:rPr>
              <w:t xml:space="preserve">Detection results with p values</w:t>
            </w:r>
          </w:p>
        </w:tc>
      </w:tr>
      <w:tr>
        <w:trPr>
          <w:cantSplit/>
        </w:trPr>
        <w:tc>
          <w:tcPr>
            <w:tcW w:w="1507" w:type="dxa"/>
            <w:vAlign w:val="center"/>
          </w:tcPr>
          <w:p>
            <w:pPr>
              <w:pStyle w:val="TableText"/>
              <w:jc w:val="left"/>
            </w:pPr>
            <w:r>
              <w:rPr>
                <w:sz w:val="19"/>
                <w:szCs w:val="19"/>
              </w:rPr>
              <w:t xml:space="preserve">estimation</w:t>
            </w:r>
          </w:p>
        </w:tc>
        <w:tc>
          <w:tcPr>
            <w:tcW w:w="3230" w:type="dxa"/>
            <w:vAlign w:val="center"/>
          </w:tcPr>
          <w:p>
            <w:pPr>
              <w:pStyle w:val="TableText"/>
              <w:jc w:val="left"/>
            </w:pPr>
            <w:r>
              <w:rPr>
                <w:sz w:val="19"/>
                <w:szCs w:val="19"/>
              </w:rPr>
              <w:t xml:space="preserve">Accuracy estimates from confidence: CBPE, average confidence, difference of confidences, thresholded confidence</w:t>
            </w:r>
          </w:p>
        </w:tc>
        <w:tc>
          <w:tcPr>
            <w:tcW w:w="2261" w:type="dxa"/>
            <w:vAlign w:val="center"/>
          </w:tcPr>
          <w:p>
            <w:pPr>
              <w:pStyle w:val="TableText"/>
              <w:jc w:val="left"/>
            </w:pPr>
            <w:r>
              <w:rPr>
                <w:sz w:val="19"/>
                <w:szCs w:val="19"/>
              </w:rPr>
              <w:t xml:space="preserve">Calibration and window probabilities</w:t>
            </w:r>
          </w:p>
        </w:tc>
        <w:tc>
          <w:tcPr>
            <w:tcW w:w="2261" w:type="dxa"/>
            <w:vAlign w:val="center"/>
          </w:tcPr>
          <w:p>
            <w:pPr>
              <w:pStyle w:val="TableText"/>
              <w:jc w:val="left"/>
            </w:pPr>
            <w:r>
              <w:rPr>
                <w:sz w:val="19"/>
                <w:szCs w:val="19"/>
              </w:rPr>
              <w:t xml:space="preserve">Estimated accuracy</w:t>
            </w:r>
          </w:p>
        </w:tc>
      </w:tr>
      <w:tr>
        <w:trPr>
          <w:cantSplit/>
        </w:trPr>
        <w:tc>
          <w:tcPr>
            <w:tcW w:w="1507" w:type="dxa"/>
            <w:vAlign w:val="center"/>
          </w:tcPr>
          <w:p>
            <w:pPr>
              <w:pStyle w:val="TableText"/>
              <w:jc w:val="left"/>
            </w:pPr>
            <w:r>
              <w:rPr>
                <w:sz w:val="19"/>
                <w:szCs w:val="19"/>
              </w:rPr>
              <w:t xml:space="preserve">localizers</w:t>
            </w:r>
          </w:p>
        </w:tc>
        <w:tc>
          <w:tcPr>
            <w:tcW w:w="3230" w:type="dxa"/>
            <w:vAlign w:val="center"/>
          </w:tcPr>
          <w:p>
            <w:pPr>
              <w:pStyle w:val="TableText"/>
              <w:jc w:val="left"/>
            </w:pPr>
            <w:r>
              <w:rPr>
                <w:sz w:val="19"/>
                <w:szCs w:val="19"/>
              </w:rPr>
              <w:t xml:space="preserve">Per-feature tests with effect sizes and unseen categories</w:t>
            </w:r>
          </w:p>
        </w:tc>
        <w:tc>
          <w:tcPr>
            <w:tcW w:w="2261" w:type="dxa"/>
            <w:vAlign w:val="center"/>
          </w:tcPr>
          <w:p>
            <w:pPr>
              <w:pStyle w:val="TableText"/>
              <w:jc w:val="left"/>
            </w:pPr>
            <w:r>
              <w:rPr>
                <w:sz w:val="19"/>
                <w:szCs w:val="19"/>
              </w:rPr>
              <w:t xml:space="preserve">Reference and window data</w:t>
            </w:r>
          </w:p>
        </w:tc>
        <w:tc>
          <w:tcPr>
            <w:tcW w:w="2261" w:type="dxa"/>
            <w:vAlign w:val="center"/>
          </w:tcPr>
          <w:p>
            <w:pPr>
              <w:pStyle w:val="TableText"/>
              <w:jc w:val="left"/>
            </w:pPr>
            <w:r>
              <w:rPr>
                <w:sz w:val="19"/>
                <w:szCs w:val="19"/>
              </w:rPr>
              <w:t xml:space="preserve">Ranked shifted features</w:t>
            </w:r>
          </w:p>
        </w:tc>
      </w:tr>
      <w:tr>
        <w:trPr>
          <w:cantSplit/>
        </w:trPr>
        <w:tc>
          <w:tcPr>
            <w:tcW w:w="1507" w:type="dxa"/>
            <w:vAlign w:val="center"/>
          </w:tcPr>
          <w:p>
            <w:pPr>
              <w:pStyle w:val="TableText"/>
              <w:jc w:val="left"/>
            </w:pPr>
            <w:r>
              <w:rPr>
                <w:sz w:val="19"/>
                <w:szCs w:val="19"/>
              </w:rPr>
              <w:t xml:space="preserve">diagnosis</w:t>
            </w:r>
          </w:p>
        </w:tc>
        <w:tc>
          <w:tcPr>
            <w:tcW w:w="3230" w:type="dxa"/>
            <w:vAlign w:val="center"/>
          </w:tcPr>
          <w:p>
            <w:pPr>
              <w:pStyle w:val="TableText"/>
              <w:jc w:val="left"/>
            </w:pPr>
            <w:r>
              <w:rPr>
                <w:sz w:val="19"/>
                <w:szCs w:val="19"/>
              </w:rPr>
              <w:t xml:space="preserve">Label-free stage, audit stage, combination into a verdict; rule baselines and the meta-classifier</w:t>
            </w:r>
          </w:p>
        </w:tc>
        <w:tc>
          <w:tcPr>
            <w:tcW w:w="2261" w:type="dxa"/>
            <w:vAlign w:val="center"/>
          </w:tcPr>
          <w:p>
            <w:pPr>
              <w:pStyle w:val="TableText"/>
              <w:jc w:val="left"/>
            </w:pPr>
            <w:r>
              <w:rPr>
                <w:sz w:val="19"/>
                <w:szCs w:val="19"/>
              </w:rPr>
              <w:t xml:space="preserve">Test p values, predictions, audit labels</w:t>
            </w:r>
          </w:p>
        </w:tc>
        <w:tc>
          <w:tcPr>
            <w:tcW w:w="2261" w:type="dxa"/>
            <w:vAlign w:val="center"/>
          </w:tcPr>
          <w:p>
            <w:pPr>
              <w:pStyle w:val="TableText"/>
              <w:jc w:val="left"/>
            </w:pPr>
            <w:r>
              <w:rPr>
                <w:sz w:val="19"/>
                <w:szCs w:val="19"/>
              </w:rPr>
              <w:t xml:space="preserve">Drift type, stage, rationale</w:t>
            </w:r>
          </w:p>
        </w:tc>
      </w:tr>
      <w:tr>
        <w:trPr>
          <w:cantSplit/>
        </w:trPr>
        <w:tc>
          <w:tcPr>
            <w:tcW w:w="1507" w:type="dxa"/>
            <w:vAlign w:val="center"/>
          </w:tcPr>
          <w:p>
            <w:pPr>
              <w:pStyle w:val="TableText"/>
              <w:jc w:val="left"/>
            </w:pPr>
            <w:r>
              <w:rPr>
                <w:sz w:val="19"/>
                <w:szCs w:val="19"/>
              </w:rPr>
              <w:t xml:space="preserve">rca</w:t>
            </w:r>
          </w:p>
        </w:tc>
        <w:tc>
          <w:tcPr>
            <w:tcW w:w="3230" w:type="dxa"/>
            <w:vAlign w:val="center"/>
          </w:tcPr>
          <w:p>
            <w:pPr>
              <w:pStyle w:val="TableText"/>
              <w:jc w:val="left"/>
            </w:pPr>
            <w:r>
              <w:rPr>
                <w:sz w:val="19"/>
                <w:szCs w:val="19"/>
              </w:rPr>
              <w:t xml:space="preserve">SHAP comparison for tabular models, class activation maps and a CLIP concept probe for images</w:t>
            </w:r>
          </w:p>
        </w:tc>
        <w:tc>
          <w:tcPr>
            <w:tcW w:w="2261" w:type="dxa"/>
            <w:vAlign w:val="center"/>
          </w:tcPr>
          <w:p>
            <w:pPr>
              <w:pStyle w:val="TableText"/>
              <w:jc w:val="left"/>
            </w:pPr>
            <w:r>
              <w:rPr>
                <w:sz w:val="19"/>
                <w:szCs w:val="19"/>
              </w:rPr>
              <w:t xml:space="preserve">Model, reference and window data</w:t>
            </w:r>
          </w:p>
        </w:tc>
        <w:tc>
          <w:tcPr>
            <w:tcW w:w="2261" w:type="dxa"/>
            <w:vAlign w:val="center"/>
          </w:tcPr>
          <w:p>
            <w:pPr>
              <w:pStyle w:val="TableText"/>
              <w:jc w:val="left"/>
            </w:pPr>
            <w:r>
              <w:rPr>
                <w:sz w:val="19"/>
                <w:szCs w:val="19"/>
              </w:rPr>
              <w:t xml:space="preserve">Attribution changes, heat maps</w:t>
            </w:r>
          </w:p>
        </w:tc>
      </w:tr>
      <w:tr>
        <w:trPr>
          <w:cantSplit/>
        </w:trPr>
        <w:tc>
          <w:tcPr>
            <w:tcW w:w="1507" w:type="dxa"/>
            <w:vAlign w:val="center"/>
          </w:tcPr>
          <w:p>
            <w:pPr>
              <w:pStyle w:val="TableText"/>
              <w:jc w:val="left"/>
            </w:pPr>
            <w:r>
              <w:rPr>
                <w:sz w:val="19"/>
                <w:szCs w:val="19"/>
              </w:rPr>
              <w:t xml:space="preserve">reliability</w:t>
            </w:r>
          </w:p>
        </w:tc>
        <w:tc>
          <w:tcPr>
            <w:tcW w:w="3230" w:type="dxa"/>
            <w:vAlign w:val="center"/>
          </w:tcPr>
          <w:p>
            <w:pPr>
              <w:pStyle w:val="TableText"/>
              <w:jc w:val="left"/>
            </w:pPr>
            <w:r>
              <w:rPr>
                <w:sz w:val="19"/>
                <w:szCs w:val="19"/>
              </w:rPr>
              <w:t xml:space="preserve">Per-prediction signals, out-of-distribution score, learned fusion</w:t>
            </w:r>
          </w:p>
        </w:tc>
        <w:tc>
          <w:tcPr>
            <w:tcW w:w="2261" w:type="dxa"/>
            <w:vAlign w:val="center"/>
          </w:tcPr>
          <w:p>
            <w:pPr>
              <w:pStyle w:val="TableText"/>
              <w:jc w:val="left"/>
            </w:pPr>
            <w:r>
              <w:rPr>
                <w:sz w:val="19"/>
                <w:szCs w:val="19"/>
              </w:rPr>
              <w:t xml:space="preserve">Calibration and window data</w:t>
            </w:r>
          </w:p>
        </w:tc>
        <w:tc>
          <w:tcPr>
            <w:tcW w:w="2261" w:type="dxa"/>
            <w:vAlign w:val="center"/>
          </w:tcPr>
          <w:p>
            <w:pPr>
              <w:pStyle w:val="TableText"/>
              <w:jc w:val="left"/>
            </w:pPr>
            <w:r>
              <w:rPr>
                <w:sz w:val="19"/>
                <w:szCs w:val="19"/>
              </w:rPr>
              <w:t xml:space="preserve">Risk score per prediction</w:t>
            </w:r>
          </w:p>
        </w:tc>
      </w:tr>
      <w:tr>
        <w:trPr>
          <w:cantSplit/>
        </w:trPr>
        <w:tc>
          <w:tcPr>
            <w:tcW w:w="1507" w:type="dxa"/>
            <w:vAlign w:val="center"/>
          </w:tcPr>
          <w:p>
            <w:pPr>
              <w:pStyle w:val="TableText"/>
              <w:jc w:val="left"/>
            </w:pPr>
            <w:r>
              <w:rPr>
                <w:sz w:val="19"/>
                <w:szCs w:val="19"/>
              </w:rPr>
              <w:t xml:space="preserve">remediation</w:t>
            </w:r>
          </w:p>
        </w:tc>
        <w:tc>
          <w:tcPr>
            <w:tcW w:w="3230" w:type="dxa"/>
            <w:vAlign w:val="center"/>
          </w:tcPr>
          <w:p>
            <w:pPr>
              <w:pStyle w:val="TableText"/>
              <w:jc w:val="left"/>
            </w:pPr>
            <w:r>
              <w:rPr>
                <w:sz w:val="19"/>
                <w:szCs w:val="19"/>
              </w:rPr>
              <w:t xml:space="preserve">Repair strategies and the label-free triage</w:t>
            </w:r>
          </w:p>
        </w:tc>
        <w:tc>
          <w:tcPr>
            <w:tcW w:w="2261" w:type="dxa"/>
            <w:vAlign w:val="center"/>
          </w:tcPr>
          <w:p>
            <w:pPr>
              <w:pStyle w:val="TableText"/>
              <w:jc w:val="left"/>
            </w:pPr>
            <w:r>
              <w:rPr>
                <w:sz w:val="19"/>
                <w:szCs w:val="19"/>
              </w:rPr>
              <w:t xml:space="preserve">Reference data, window data, earlier labels</w:t>
            </w:r>
          </w:p>
        </w:tc>
        <w:tc>
          <w:tcPr>
            <w:tcW w:w="2261" w:type="dxa"/>
            <w:vAlign w:val="center"/>
          </w:tcPr>
          <w:p>
            <w:pPr>
              <w:pStyle w:val="TableText"/>
              <w:jc w:val="left"/>
            </w:pPr>
            <w:r>
              <w:rPr>
                <w:sz w:val="19"/>
                <w:szCs w:val="19"/>
              </w:rPr>
              <w:t xml:space="preserve">Recommendation, predicted gain</w:t>
            </w:r>
          </w:p>
        </w:tc>
      </w:tr>
      <w:tr>
        <w:trPr>
          <w:cantSplit/>
        </w:trPr>
        <w:tc>
          <w:tcPr>
            <w:tcW w:w="1507" w:type="dxa"/>
            <w:vAlign w:val="center"/>
          </w:tcPr>
          <w:p>
            <w:pPr>
              <w:pStyle w:val="TableText"/>
              <w:jc w:val="left"/>
            </w:pPr>
            <w:r>
              <w:rPr>
                <w:sz w:val="19"/>
                <w:szCs w:val="19"/>
              </w:rPr>
              <w:t xml:space="preserve">benchmark</w:t>
            </w:r>
          </w:p>
        </w:tc>
        <w:tc>
          <w:tcPr>
            <w:tcW w:w="3230" w:type="dxa"/>
            <w:vAlign w:val="center"/>
          </w:tcPr>
          <w:p>
            <w:pPr>
              <w:pStyle w:val="TableText"/>
              <w:jc w:val="left"/>
            </w:pPr>
            <w:r>
              <w:rPr>
                <w:sz w:val="19"/>
                <w:szCs w:val="19"/>
              </w:rPr>
              <w:t xml:space="preserve">Drift injectors, window construction, grading metrics</w:t>
            </w:r>
          </w:p>
        </w:tc>
        <w:tc>
          <w:tcPr>
            <w:tcW w:w="2261" w:type="dxa"/>
            <w:vAlign w:val="center"/>
          </w:tcPr>
          <w:p>
            <w:pPr>
              <w:pStyle w:val="TableText"/>
              <w:jc w:val="left"/>
            </w:pPr>
            <w:r>
              <w:rPr>
                <w:sz w:val="19"/>
                <w:szCs w:val="19"/>
              </w:rPr>
              <w:t xml:space="preserve">Reference data, design, seed</w:t>
            </w:r>
          </w:p>
        </w:tc>
        <w:tc>
          <w:tcPr>
            <w:tcW w:w="2261" w:type="dxa"/>
            <w:vAlign w:val="center"/>
          </w:tcPr>
          <w:p>
            <w:pPr>
              <w:pStyle w:val="TableText"/>
              <w:jc w:val="left"/>
            </w:pPr>
            <w:r>
              <w:rPr>
                <w:sz w:val="19"/>
                <w:szCs w:val="19"/>
              </w:rPr>
              <w:t xml:space="preserve">Graded benchmark windows</w:t>
            </w:r>
          </w:p>
        </w:tc>
      </w:tr>
      <w:tr>
        <w:trPr>
          <w:cantSplit/>
        </w:trPr>
        <w:tc>
          <w:tcPr>
            <w:tcW w:w="1507" w:type="dxa"/>
            <w:vAlign w:val="center"/>
          </w:tcPr>
          <w:p>
            <w:pPr>
              <w:pStyle w:val="TableText"/>
              <w:jc w:val="left"/>
            </w:pPr>
            <w:r>
              <w:rPr>
                <w:sz w:val="19"/>
                <w:szCs w:val="19"/>
              </w:rPr>
              <w:t xml:space="preserve">experiments</w:t>
            </w:r>
          </w:p>
        </w:tc>
        <w:tc>
          <w:tcPr>
            <w:tcW w:w="3230" w:type="dxa"/>
            <w:vAlign w:val="center"/>
          </w:tcPr>
          <w:p>
            <w:pPr>
              <w:pStyle w:val="TableText"/>
              <w:jc w:val="left"/>
            </w:pPr>
            <w:r>
              <w:rPr>
                <w:sz w:val="19"/>
                <w:szCs w:val="19"/>
              </w:rPr>
              <w:t xml:space="preserve">Studies on ACS, gas sensor and CLEAR-10 data</w:t>
            </w:r>
          </w:p>
        </w:tc>
        <w:tc>
          <w:tcPr>
            <w:tcW w:w="2261" w:type="dxa"/>
            <w:vAlign w:val="center"/>
          </w:tcPr>
          <w:p>
            <w:pPr>
              <w:pStyle w:val="TableText"/>
              <w:jc w:val="left"/>
            </w:pPr>
            <w:r>
              <w:rPr>
                <w:sz w:val="19"/>
                <w:szCs w:val="19"/>
              </w:rPr>
              <w:t xml:space="preserve">Data, configuration</w:t>
            </w:r>
          </w:p>
        </w:tc>
        <w:tc>
          <w:tcPr>
            <w:tcW w:w="2261" w:type="dxa"/>
            <w:vAlign w:val="center"/>
          </w:tcPr>
          <w:p>
            <w:pPr>
              <w:pStyle w:val="TableText"/>
              <w:jc w:val="left"/>
            </w:pPr>
            <w:r>
              <w:rPr>
                <w:sz w:val="19"/>
                <w:szCs w:val="19"/>
              </w:rPr>
              <w:t xml:space="preserve">One JSON report per study</w:t>
            </w:r>
          </w:p>
        </w:tc>
      </w:tr>
      <w:tr>
        <w:trPr>
          <w:cantSplit/>
        </w:trPr>
        <w:tc>
          <w:tcPr>
            <w:tcW w:w="1507" w:type="dxa"/>
            <w:vAlign w:val="center"/>
          </w:tcPr>
          <w:p>
            <w:pPr>
              <w:pStyle w:val="TableText"/>
              <w:jc w:val="left"/>
            </w:pPr>
            <w:r>
              <w:rPr>
                <w:sz w:val="19"/>
                <w:szCs w:val="19"/>
              </w:rPr>
              <w:t xml:space="preserve">dashboard</w:t>
            </w:r>
          </w:p>
        </w:tc>
        <w:tc>
          <w:tcPr>
            <w:tcW w:w="3230" w:type="dxa"/>
            <w:vAlign w:val="center"/>
          </w:tcPr>
          <w:p>
            <w:pPr>
              <w:pStyle w:val="TableText"/>
              <w:jc w:val="left"/>
            </w:pPr>
            <w:r>
              <w:rPr>
                <w:sz w:val="19"/>
                <w:szCs w:val="19"/>
              </w:rPr>
              <w:t xml:space="preserve">Streamlit application, charts and generated plain-language notes</w:t>
            </w:r>
          </w:p>
        </w:tc>
        <w:tc>
          <w:tcPr>
            <w:tcW w:w="2261" w:type="dxa"/>
            <w:vAlign w:val="center"/>
          </w:tcPr>
          <w:p>
            <w:pPr>
              <w:pStyle w:val="TableText"/>
              <w:jc w:val="left"/>
            </w:pPr>
            <w:r>
              <w:rPr>
                <w:sz w:val="19"/>
                <w:szCs w:val="19"/>
              </w:rPr>
              <w:t xml:space="preserve">JSON reports</w:t>
            </w:r>
          </w:p>
        </w:tc>
        <w:tc>
          <w:tcPr>
            <w:tcW w:w="2261" w:type="dxa"/>
            <w:vAlign w:val="center"/>
          </w:tcPr>
          <w:p>
            <w:pPr>
              <w:pStyle w:val="TableText"/>
              <w:jc w:val="left"/>
            </w:pPr>
            <w:r>
              <w:rPr>
                <w:sz w:val="19"/>
                <w:szCs w:val="19"/>
              </w:rPr>
              <w:t xml:space="preserve">Interactive pages</w:t>
            </w:r>
          </w:p>
        </w:tc>
      </w:tr>
    </w:tbl>
    <w:p>
      <w:pPr>
        <w:spacing w:before="0" w:after="120" w:line="240" w:lineRule="auto"/>
      </w:pPr>
    </w:p>
    <w:p>
      <w:pPr>
        <w:pStyle w:val="Heading2"/>
      </w:pPr>
      <w:r>
        <w:t xml:space="preserve">4.3 Detailed Design</w:t>
      </w:r>
    </w:p>
    <w:p>
      <w:pPr>
        <w:pStyle w:val="Normal"/>
      </w:pPr>
      <w:r>
        <w:t xml:space="preserve">The detailed design covers the main classes and their relations, the flow of data from the public datasets to the dashboard and this report, the structure of the reports and the statistical design that every decision follows.</w:t>
      </w:r>
    </w:p>
    <w:p>
      <w:pPr>
        <w:pStyle w:val="Heading3"/>
      </w:pPr>
      <w:r>
        <w:t xml:space="preserve">4.3.1 Class Design</w:t>
      </w:r>
    </w:p>
    <w:p>
      <w:pPr>
        <w:pStyle w:val="Normal"/>
      </w:pPr>
      <w:r>
        <w:t xml:space="preserve">Fig. </w:t>
      </w:r>
      <w:r>
        <w:t xml:space="preserve">4.3</w:t>
      </w:r>
      <w:r>
        <w:t xml:space="preserve"> shows the main classes and functions in the notation of a class diagram.</w:t>
      </w:r>
    </w:p>
    <w:p>
      <w:pPr>
        <w:pStyle w:val="FigureBody"/>
      </w:pPr>
      <w:r>
        <w:drawing>
          <wp:inline distT="0" distB="0" distL="0" distR="0">
            <wp:extent cx="5400000" cy="7141506"/>
            <wp:docPr id="1005" name="Figure 4.3" descr="Fig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 name="class_diagram.png"/>
                    <pic:cNvPicPr/>
                  </pic:nvPicPr>
                  <pic:blipFill>
                    <a:blip r:embed="rIdI5"/>
                    <a:stretch>
                      <a:fillRect/>
                    </a:stretch>
                  </pic:blipFill>
                  <pic:spPr>
                    <a:xfrm>
                      <a:off x="0" y="0"/>
                      <a:ext cx="5400000" cy="7141506"/>
                    </a:xfrm>
                    <a:prstGeom prst="rect">
                      <a:avLst/>
                    </a:prstGeom>
                  </pic:spPr>
                </pic:pic>
              </a:graphicData>
            </a:graphic>
          </wp:inline>
        </w:drawing>
      </w:r>
    </w:p>
    <w:p>
      <w:pPr>
        <w:pStyle w:val="FigureCaption"/>
        <w:jc w:val="both"/>
      </w:pPr>
      <w:r>
        <w:rPr>
          <w:b/>
          <w:bCs/>
        </w:rPr>
        <w:t xml:space="preserve">Fig. 4.3: </w:t>
      </w:r>
      <w:r>
        <w:t xml:space="preserve">Main classes and functions. Hollow triangles mark inheritance, diamonds mark composition and dashed arrows mark use or return values</w:t>
      </w:r>
    </w:p>
    <w:p>
      <w:pPr>
        <w:pStyle w:val="Normal"/>
      </w:pPr>
      <w:r>
        <w:rPr>
          <w:rFonts w:ascii="Courier New" w:hAnsi="Courier New" w:cs="Courier New"/>
          <w:sz w:val="21"/>
          <w:szCs w:val="21"/>
        </w:rPr>
        <w:t xml:space="preserve">Dataset</w:t>
      </w:r>
      <w:r>
        <w:t xml:space="preserve"> is the common currency of the package: it holds the features, the optional target, the model’s predictions and probabilities and the list of nominal features. Every detector extends </w:t>
      </w:r>
      <w:r>
        <w:rPr>
          <w:rFonts w:ascii="Courier New" w:hAnsi="Courier New" w:cs="Courier New"/>
          <w:sz w:val="21"/>
          <w:szCs w:val="21"/>
        </w:rPr>
        <w:t xml:space="preserve">BaseDriftDetector</w:t>
      </w:r>
      <w:r>
        <w:t xml:space="preserve">, so each offers </w:t>
      </w:r>
      <w:r>
        <w:rPr>
          <w:rFonts w:ascii="Courier New" w:hAnsi="Courier New" w:cs="Courier New"/>
          <w:sz w:val="21"/>
          <w:szCs w:val="21"/>
        </w:rPr>
        <w:t xml:space="preserve">fit</w:t>
      </w:r>
      <w:r>
        <w:t xml:space="preserve"> on the reference data and </w:t>
      </w:r>
      <w:r>
        <w:rPr>
          <w:rFonts w:ascii="Courier New" w:hAnsi="Courier New" w:cs="Courier New"/>
          <w:sz w:val="21"/>
          <w:szCs w:val="21"/>
        </w:rPr>
        <w:t xml:space="preserve">detect</w:t>
      </w:r>
      <w:r>
        <w:t xml:space="preserve"> on a window and returns a </w:t>
      </w:r>
      <w:r>
        <w:rPr>
          <w:rFonts w:ascii="Courier New" w:hAnsi="Courier New" w:cs="Courier New"/>
          <w:sz w:val="21"/>
          <w:szCs w:val="21"/>
        </w:rPr>
        <w:t xml:space="preserve">DetectionResult</w:t>
      </w:r>
      <w:r>
        <w:t xml:space="preserve"> with its p value and statistic. </w:t>
      </w:r>
      <w:r>
        <w:rPr>
          <w:rFonts w:ascii="Courier New" w:hAnsi="Courier New" w:cs="Courier New"/>
          <w:sz w:val="21"/>
          <w:szCs w:val="21"/>
        </w:rPr>
        <w:t xml:space="preserve">DriftPipeline</w:t>
      </w:r>
      <w:r>
        <w:t xml:space="preserve"> combines a detector with an optional localizer and root cause analyzer and returns a </w:t>
      </w:r>
      <w:r>
        <w:rPr>
          <w:rFonts w:ascii="Courier New" w:hAnsi="Courier New" w:cs="Courier New"/>
          <w:sz w:val="21"/>
          <w:szCs w:val="21"/>
        </w:rPr>
        <w:t xml:space="preserve">PipelineResult</w:t>
      </w:r>
      <w:r>
        <w:t xml:space="preserve">. The diagnosis is written as plain functions rather than classes, because each step is a stateless test: </w:t>
      </w:r>
      <w:r>
        <w:rPr>
          <w:rFonts w:ascii="Courier New" w:hAnsi="Courier New" w:cs="Courier New"/>
          <w:sz w:val="21"/>
          <w:szCs w:val="21"/>
        </w:rPr>
        <w:t xml:space="preserve">label_free_diagnosis</w:t>
      </w:r>
      <w:r>
        <w:t xml:space="preserve"> and </w:t>
      </w:r>
      <w:r>
        <w:rPr>
          <w:rFonts w:ascii="Courier New" w:hAnsi="Courier New" w:cs="Courier New"/>
          <w:sz w:val="21"/>
          <w:szCs w:val="21"/>
        </w:rPr>
        <w:t xml:space="preserve">audit_diagnosis</w:t>
      </w:r>
      <w:r>
        <w:t xml:space="preserve"> return their evidence and </w:t>
      </w:r>
      <w:r>
        <w:rPr>
          <w:rFonts w:ascii="Courier New" w:hAnsi="Courier New" w:cs="Courier New"/>
          <w:sz w:val="21"/>
          <w:szCs w:val="21"/>
        </w:rPr>
        <w:t xml:space="preserve">combine</w:t>
      </w:r>
      <w:r>
        <w:t xml:space="preserve"> turns it into a </w:t>
      </w:r>
      <w:r>
        <w:rPr>
          <w:rFonts w:ascii="Courier New" w:hAnsi="Courier New" w:cs="Courier New"/>
          <w:sz w:val="21"/>
          <w:szCs w:val="21"/>
        </w:rPr>
        <w:t xml:space="preserve">Diagnosis</w:t>
      </w:r>
      <w:r>
        <w:t xml:space="preserve"> with a drift type, the stage that decided it and a rationale. </w:t>
      </w:r>
      <w:r>
        <w:rPr>
          <w:rFonts w:ascii="Courier New" w:hAnsi="Courier New" w:cs="Courier New"/>
          <w:sz w:val="21"/>
          <w:szCs w:val="21"/>
        </w:rPr>
        <w:t xml:space="preserve">ReliabilityAnalyzer</w:t>
      </w:r>
      <w:r>
        <w:t xml:space="preserve"> and </w:t>
      </w:r>
      <w:r>
        <w:rPr>
          <w:rFonts w:ascii="Courier New" w:hAnsi="Courier New" w:cs="Courier New"/>
          <w:sz w:val="21"/>
          <w:szCs w:val="21"/>
        </w:rPr>
        <w:t xml:space="preserve">remediation_triage</w:t>
      </w:r>
      <w:r>
        <w:t xml:space="preserve"> act on single predictions and on the decision to retrain.</w:t>
      </w:r>
    </w:p>
    <w:p>
      <w:pPr>
        <w:pStyle w:val="Heading3"/>
      </w:pPr>
      <w:r>
        <w:t xml:space="preserve">4.3.2 Data Flow</w:t>
      </w:r>
    </w:p>
    <w:p>
      <w:pPr>
        <w:pStyle w:val="Normal"/>
      </w:pPr>
      <w:r>
        <w:t xml:space="preserve">Fig. </w:t>
      </w:r>
      <w:r>
        <w:t xml:space="preserve">4.4</w:t>
      </w:r>
      <w:r>
        <w:t xml:space="preserve"> shows how data move from the public sources to the outputs of the project.</w:t>
      </w:r>
    </w:p>
    <w:p>
      <w:pPr>
        <w:pStyle w:val="FigureBody"/>
      </w:pPr>
      <w:r>
        <w:drawing>
          <wp:inline distT="0" distB="0" distL="0" distR="0">
            <wp:extent cx="3780000" cy="4180759"/>
            <wp:docPr id="1006" name="Figure 4.4" descr="Fig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 name="dataflow.png"/>
                    <pic:cNvPicPr/>
                  </pic:nvPicPr>
                  <pic:blipFill>
                    <a:blip r:embed="rIdI6"/>
                    <a:stretch>
                      <a:fillRect/>
                    </a:stretch>
                  </pic:blipFill>
                  <pic:spPr>
                    <a:xfrm>
                      <a:off x="0" y="0"/>
                      <a:ext cx="3780000" cy="4180759"/>
                    </a:xfrm>
                    <a:prstGeom prst="rect">
                      <a:avLst/>
                    </a:prstGeom>
                  </pic:spPr>
                </pic:pic>
              </a:graphicData>
            </a:graphic>
          </wp:inline>
        </w:drawing>
      </w:r>
    </w:p>
    <w:p>
      <w:pPr>
        <w:pStyle w:val="FigureCaption"/>
      </w:pPr>
      <w:r>
        <w:rPr>
          <w:b/>
          <w:bCs/>
        </w:rPr>
        <w:t xml:space="preserve">Fig. 4.4: </w:t>
      </w:r>
      <w:r>
        <w:t xml:space="preserve">Flow of data from the public datasets to the dashboard, the paper and this report</w:t>
      </w:r>
    </w:p>
    <w:p>
      <w:pPr>
        <w:pStyle w:val="Normal"/>
      </w:pPr>
      <w:r>
        <w:t xml:space="preserve">Loaders download the public datasets once, cache them and give every feature its type. The study scripts and the injection benchmark run the pipeline and write one JSON report per study. The dashboard reads these reports directly. A separate build script turns the same reports into a file of named result values, the tables and the figures that the paper and this report use, so that no number is ever typed by hand. If a study is run again, every number in the documents changes with it.</w:t>
      </w:r>
    </w:p>
    <w:p>
      <w:pPr>
        <w:pStyle w:val="Heading3"/>
      </w:pPr>
      <w:r>
        <w:t xml:space="preserve">4.3.3 Report Structure</w:t>
      </w:r>
    </w:p>
    <w:p>
      <w:pPr>
        <w:pStyle w:val="Normal"/>
      </w:pPr>
      <w:r>
        <w:t xml:space="preserve">Each study report has four parts: the run configuration, a description of the reference data, the fitted reliability model and one record per window. A window record holds the window’s size and accuracy, the result of every detector, the localization and root cause analysis, the accuracy estimates with their errors, the diagnosis with its evidence, a sample of reliability records and the time each stage took. Benchmark reports hold one record per injected window with the true drift type and intensity, so that every method can be graded on the same windows. The full schema is documented with the code in the project repository.</w:t>
      </w:r>
    </w:p>
    <w:p>
      <w:pPr>
        <w:pStyle w:val="Heading3"/>
      </w:pPr>
      <w:r>
        <w:t xml:space="preserve">4.3.4 Statistical Design</w:t>
      </w:r>
    </w:p>
    <w:p>
      <w:pPr>
        <w:pStyle w:val="Normal"/>
      </w:pPr>
      <w:r>
        <w:t xml:space="preserve">Every decision in the system is a hypothesis test at the significance level α = 0.05, with one exception: the population stability index raises an alarm at its conventional threshold of 0.2. Where many tests are made together, for example one per feature, the chance of at least one false alarm is held at α by the Holm procedure </w:t>
      </w:r>
      <w:r>
        <w:t xml:space="preserve">[42]</w:t>
      </w:r>
      <w:r>
        <w:t xml:space="preserve">, its weighted form or the Bonferroni bound. The diagnosis has two stages, each tested at α, so a window without drift receives a drift verdict with probability at most 2α. Fixing these rates before the data are seen is what lets a monitoring team trust an alarm. Chapter </w:t>
      </w:r>
      <w:r>
        <w:t xml:space="preserve">5</w:t>
      </w:r>
      <w:r>
        <w:t xml:space="preserve"> gives the tests themselves.</w:t>
      </w:r>
    </w:p>
    <w:p>
      <w:pPr>
        <w:pStyle w:val="Heading2"/>
      </w:pPr>
      <w:r>
        <w:t xml:space="preserve">4.4 Project Scheduling and Tracking</w:t>
      </w:r>
    </w:p>
    <w:p>
      <w:pPr>
        <w:pStyle w:val="Normal"/>
      </w:pPr>
      <w:r>
        <w:t xml:space="preserve">The project ran over two semesters: Capstone Project I in the spring semester of 2026 and Capstone Project II in the autumn semester. Fig. </w:t>
      </w:r>
      <w:r>
        <w:t xml:space="preserve">4.5</w:t>
      </w:r>
      <w:r>
        <w:t xml:space="preserve"> shows the timeline. The end of each phase is taken from the commit history of the code and paper repositories and its start is the team’s estimate.</w:t>
      </w:r>
    </w:p>
    <w:p>
      <w:pPr>
        <w:pStyle w:val="FigureBody"/>
      </w:pPr>
      <w:r>
        <w:drawing>
          <wp:inline distT="0" distB="0" distL="0" distR="0">
            <wp:extent cx="5760000" cy="3456000"/>
            <wp:docPr id="1007" name="Figure 4.5" descr="Fig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 name="gantt.png"/>
                    <pic:cNvPicPr/>
                  </pic:nvPicPr>
                  <pic:blipFill>
                    <a:blip r:embed="rIdI7"/>
                    <a:stretch>
                      <a:fillRect/>
                    </a:stretch>
                  </pic:blipFill>
                  <pic:spPr>
                    <a:xfrm>
                      <a:off x="0" y="0"/>
                      <a:ext cx="5760000" cy="3456000"/>
                    </a:xfrm>
                    <a:prstGeom prst="rect">
                      <a:avLst/>
                    </a:prstGeom>
                  </pic:spPr>
                </pic:pic>
              </a:graphicData>
            </a:graphic>
          </wp:inline>
        </w:drawing>
      </w:r>
    </w:p>
    <w:p>
      <w:pPr>
        <w:pStyle w:val="FigureCaption"/>
      </w:pPr>
      <w:r>
        <w:rPr>
          <w:b/>
          <w:bCs/>
        </w:rPr>
        <w:t xml:space="preserve">Fig. 4.5: </w:t>
      </w:r>
      <w:r>
        <w:t xml:space="preserve">Timeline of the project. Bars show the phases, dashed lines the main milestones and the gray band the semester break</w:t>
      </w:r>
    </w:p>
    <w:p>
      <w:pPr>
        <w:pStyle w:val="Normal"/>
      </w:pPr>
      <w:r>
        <w:t xml:space="preserve">The first semester produced a working prototype: detection with root cause analysis and a first dashboard, then geographic drift and the image pipeline on CLEAR-10. The second semester turned the prototype into a research system. The dashboard was rebuilt as a step-by-step story with the reliability layer and the injection benchmark was added. In October the diagnosis was redesigned around hypothesis tests with a stated error rate, a second model family, held-out drift mechanisms and the gas sensor data were added and the paper was written. Table </w:t>
      </w:r>
      <w:r>
        <w:t xml:space="preserve">4.2</w:t>
      </w:r>
      <w:r>
        <w:t xml:space="preserve"> compares the milestones with the review schedule.</w:t>
      </w:r>
    </w:p>
    <w:p>
      <w:pPr>
        <w:pStyle w:val="TableCaption"/>
      </w:pPr>
      <w:r>
        <w:rPr>
          <w:b/>
          <w:bCs/>
        </w:rPr>
        <w:t xml:space="preserve">Table 4.2: </w:t>
      </w:r>
      <w:r>
        <w:t xml:space="preserve">Milestones, planned dates and dates achieved</w:t>
      </w:r>
    </w:p>
    <w:tbl>
      <w:tblPr>
        <w:tblW w:w="9259"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30" w:type="dxa"/>
          <w:left w:w="80" w:type="dxa"/>
          <w:bottom w:w="30" w:type="dxa"/>
          <w:right w:w="80" w:type="dxa"/>
        </w:tblCellMar>
        <w:tblLook w:val="0000"/>
      </w:tblPr>
      <w:tblGrid>
        <w:gridCol w:w="3498"/>
        <w:gridCol w:w="1646"/>
        <w:gridCol w:w="1646"/>
        <w:gridCol w:w="2469"/>
      </w:tblGrid>
      <w:tr>
        <w:trPr>
          <w:cantSplit/>
          <w:tblHeader/>
        </w:trPr>
        <w:tc>
          <w:tcPr>
            <w:tcW w:w="3498" w:type="dxa"/>
            <w:shd w:val="clear" w:color="auto" w:fill="D9E2F3"/>
            <w:vAlign w:val="center"/>
          </w:tcPr>
          <w:p>
            <w:pPr>
              <w:pStyle w:val="TableText"/>
              <w:keepNext/>
              <w:jc w:val="center"/>
            </w:pPr>
            <w:r>
              <w:rPr>
                <w:sz w:val="19"/>
                <w:szCs w:val="19"/>
                <w:b/>
                <w:bCs/>
              </w:rPr>
              <w:t xml:space="preserve">Milestone</w:t>
            </w:r>
          </w:p>
        </w:tc>
        <w:tc>
          <w:tcPr>
            <w:tcW w:w="1646" w:type="dxa"/>
            <w:shd w:val="clear" w:color="auto" w:fill="D9E2F3"/>
            <w:vAlign w:val="center"/>
          </w:tcPr>
          <w:p>
            <w:pPr>
              <w:pStyle w:val="TableText"/>
              <w:keepNext/>
              <w:jc w:val="center"/>
            </w:pPr>
            <w:r>
              <w:rPr>
                <w:sz w:val="19"/>
                <w:szCs w:val="19"/>
                <w:b/>
                <w:bCs/>
              </w:rPr>
              <w:t xml:space="preserve">Planned</w:t>
            </w:r>
          </w:p>
        </w:tc>
        <w:tc>
          <w:tcPr>
            <w:tcW w:w="1646" w:type="dxa"/>
            <w:shd w:val="clear" w:color="auto" w:fill="D9E2F3"/>
            <w:vAlign w:val="center"/>
          </w:tcPr>
          <w:p>
            <w:pPr>
              <w:pStyle w:val="TableText"/>
              <w:keepNext/>
              <w:jc w:val="center"/>
            </w:pPr>
            <w:r>
              <w:rPr>
                <w:sz w:val="19"/>
                <w:szCs w:val="19"/>
                <w:b/>
                <w:bCs/>
              </w:rPr>
              <w:t xml:space="preserve">Achieved</w:t>
            </w:r>
          </w:p>
        </w:tc>
        <w:tc>
          <w:tcPr>
            <w:tcW w:w="2469" w:type="dxa"/>
            <w:shd w:val="clear" w:color="auto" w:fill="D9E2F3"/>
            <w:vAlign w:val="center"/>
          </w:tcPr>
          <w:p>
            <w:pPr>
              <w:pStyle w:val="TableText"/>
              <w:keepNext/>
              <w:jc w:val="center"/>
            </w:pPr>
            <w:r>
              <w:rPr>
                <w:sz w:val="19"/>
                <w:szCs w:val="19"/>
                <w:b/>
                <w:bCs/>
              </w:rPr>
              <w:t xml:space="preserve">Evidence</w:t>
            </w:r>
          </w:p>
        </w:tc>
      </w:tr>
      <w:tr>
        <w:trPr>
          <w:cantSplit/>
        </w:trPr>
        <w:tc>
          <w:tcPr>
            <w:tcW w:w="3498" w:type="dxa"/>
            <w:vAlign w:val="center"/>
          </w:tcPr>
          <w:p>
            <w:pPr>
              <w:pStyle w:val="TableText"/>
              <w:keepNext/>
              <w:jc w:val="left"/>
            </w:pPr>
            <w:r>
              <w:rPr>
                <w:sz w:val="19"/>
                <w:szCs w:val="19"/>
              </w:rPr>
              <w:t xml:space="preserve">Problem statement and literature survey approved</w:t>
            </w:r>
          </w:p>
        </w:tc>
        <w:tc>
          <w:tcPr>
            <w:tcW w:w="1646" w:type="dxa"/>
            <w:vAlign w:val="center"/>
          </w:tcPr>
          <w:p>
            <w:pPr>
              <w:pStyle w:val="TableText"/>
              <w:keepNext/>
              <w:jc w:val="left"/>
            </w:pPr>
            <w:r>
              <w:rPr>
                <w:sz w:val="19"/>
                <w:szCs w:val="19"/>
                <w:highlight w:val="yellow"/>
              </w:rPr>
              <w:t xml:space="preserve">review date</w:t>
            </w:r>
          </w:p>
        </w:tc>
        <w:tc>
          <w:tcPr>
            <w:tcW w:w="1646" w:type="dxa"/>
            <w:vAlign w:val="center"/>
          </w:tcPr>
          <w:p>
            <w:pPr>
              <w:pStyle w:val="TableText"/>
              <w:keepNext/>
              <w:jc w:val="left"/>
            </w:pPr>
            <w:r>
              <w:rPr>
                <w:sz w:val="19"/>
                <w:szCs w:val="19"/>
              </w:rPr>
              <w:t xml:space="preserve">February 2026</w:t>
            </w:r>
          </w:p>
        </w:tc>
        <w:tc>
          <w:tcPr>
            <w:tcW w:w="2469" w:type="dxa"/>
            <w:vAlign w:val="center"/>
          </w:tcPr>
          <w:p>
            <w:pPr>
              <w:pStyle w:val="TableText"/>
              <w:keepNext/>
              <w:jc w:val="left"/>
            </w:pPr>
            <w:r>
              <w:rPr>
                <w:sz w:val="19"/>
                <w:szCs w:val="19"/>
              </w:rPr>
              <w:t xml:space="preserve">Synopsis, review sheet 1</w:t>
            </w:r>
          </w:p>
        </w:tc>
      </w:tr>
      <w:tr>
        <w:trPr>
          <w:cantSplit/>
        </w:trPr>
        <w:tc>
          <w:tcPr>
            <w:tcW w:w="3498" w:type="dxa"/>
            <w:vAlign w:val="center"/>
          </w:tcPr>
          <w:p>
            <w:pPr>
              <w:pStyle w:val="TableText"/>
              <w:keepNext/>
              <w:jc w:val="left"/>
            </w:pPr>
            <w:r>
              <w:rPr>
                <w:sz w:val="19"/>
                <w:szCs w:val="19"/>
              </w:rPr>
              <w:t xml:space="preserve">Working prototype with dashboard</w:t>
            </w:r>
          </w:p>
        </w:tc>
        <w:tc>
          <w:tcPr>
            <w:tcW w:w="1646" w:type="dxa"/>
            <w:vAlign w:val="center"/>
          </w:tcPr>
          <w:p>
            <w:pPr>
              <w:pStyle w:val="TableText"/>
              <w:keepNext/>
              <w:jc w:val="left"/>
            </w:pPr>
            <w:r>
              <w:rPr>
                <w:sz w:val="19"/>
                <w:szCs w:val="19"/>
                <w:highlight w:val="yellow"/>
              </w:rPr>
              <w:t xml:space="preserve">review date</w:t>
            </w:r>
          </w:p>
        </w:tc>
        <w:tc>
          <w:tcPr>
            <w:tcW w:w="1646" w:type="dxa"/>
            <w:vAlign w:val="center"/>
          </w:tcPr>
          <w:p>
            <w:pPr>
              <w:pStyle w:val="TableText"/>
              <w:keepNext/>
              <w:jc w:val="left"/>
            </w:pPr>
            <w:r>
              <w:rPr>
                <w:sz w:val="19"/>
                <w:szCs w:val="19"/>
              </w:rPr>
              <w:t xml:space="preserve">20 February 2026</w:t>
            </w:r>
          </w:p>
        </w:tc>
        <w:tc>
          <w:tcPr>
            <w:tcW w:w="2469" w:type="dxa"/>
            <w:vAlign w:val="center"/>
          </w:tcPr>
          <w:p>
            <w:pPr>
              <w:pStyle w:val="TableText"/>
              <w:keepNext/>
              <w:jc w:val="left"/>
            </w:pPr>
            <w:r>
              <w:rPr>
                <w:sz w:val="19"/>
                <w:szCs w:val="19"/>
              </w:rPr>
              <w:t xml:space="preserve">First commit of the code repository</w:t>
            </w:r>
          </w:p>
        </w:tc>
      </w:tr>
      <w:tr>
        <w:trPr>
          <w:cantSplit/>
        </w:trPr>
        <w:tc>
          <w:tcPr>
            <w:tcW w:w="3498" w:type="dxa"/>
            <w:vAlign w:val="center"/>
          </w:tcPr>
          <w:p>
            <w:pPr>
              <w:pStyle w:val="TableText"/>
              <w:jc w:val="left"/>
            </w:pPr>
            <w:r>
              <w:rPr>
                <w:sz w:val="19"/>
                <w:szCs w:val="19"/>
              </w:rPr>
              <w:t xml:space="preserve">Image pipeline (CLEAR-10)</w:t>
            </w:r>
          </w:p>
        </w:tc>
        <w:tc>
          <w:tcPr>
            <w:tcW w:w="1646" w:type="dxa"/>
            <w:vAlign w:val="center"/>
          </w:tcPr>
          <w:p>
            <w:pPr>
              <w:pStyle w:val="TableText"/>
              <w:jc w:val="left"/>
            </w:pPr>
            <w:r>
              <w:rPr>
                <w:sz w:val="19"/>
                <w:szCs w:val="19"/>
                <w:highlight w:val="yellow"/>
              </w:rPr>
              <w:t xml:space="preserve">review date</w:t>
            </w:r>
          </w:p>
        </w:tc>
        <w:tc>
          <w:tcPr>
            <w:tcW w:w="1646" w:type="dxa"/>
            <w:vAlign w:val="center"/>
          </w:tcPr>
          <w:p>
            <w:pPr>
              <w:pStyle w:val="TableText"/>
              <w:jc w:val="left"/>
            </w:pPr>
            <w:r>
              <w:rPr>
                <w:sz w:val="19"/>
                <w:szCs w:val="19"/>
              </w:rPr>
              <w:t xml:space="preserve">25 March 2026</w:t>
            </w:r>
          </w:p>
        </w:tc>
        <w:tc>
          <w:tcPr>
            <w:tcW w:w="2469" w:type="dxa"/>
            <w:vAlign w:val="center"/>
          </w:tcPr>
          <w:p>
            <w:pPr>
              <w:pStyle w:val="TableText"/>
              <w:jc w:val="left"/>
            </w:pPr>
            <w:r>
              <w:rPr>
                <w:sz w:val="19"/>
                <w:szCs w:val="19"/>
              </w:rPr>
              <w:t xml:space="preserve">Commit history</w:t>
            </w:r>
          </w:p>
        </w:tc>
      </w:tr>
      <w:tr>
        <w:trPr>
          <w:cantSplit/>
        </w:trPr>
        <w:tc>
          <w:tcPr>
            <w:tcW w:w="3498" w:type="dxa"/>
            <w:vAlign w:val="center"/>
          </w:tcPr>
          <w:p>
            <w:pPr>
              <w:pStyle w:val="TableText"/>
              <w:jc w:val="left"/>
            </w:pPr>
            <w:r>
              <w:rPr>
                <w:sz w:val="19"/>
                <w:szCs w:val="19"/>
              </w:rPr>
              <w:t xml:space="preserve">Injection benchmark</w:t>
            </w:r>
          </w:p>
        </w:tc>
        <w:tc>
          <w:tcPr>
            <w:tcW w:w="1646" w:type="dxa"/>
            <w:vAlign w:val="center"/>
          </w:tcPr>
          <w:p>
            <w:pPr>
              <w:pStyle w:val="TableText"/>
              <w:jc w:val="left"/>
            </w:pPr>
            <w:r>
              <w:rPr>
                <w:sz w:val="19"/>
                <w:szCs w:val="19"/>
                <w:highlight w:val="yellow"/>
              </w:rPr>
              <w:t xml:space="preserve">review date</w:t>
            </w:r>
          </w:p>
        </w:tc>
        <w:tc>
          <w:tcPr>
            <w:tcW w:w="1646" w:type="dxa"/>
            <w:vAlign w:val="center"/>
          </w:tcPr>
          <w:p>
            <w:pPr>
              <w:pStyle w:val="TableText"/>
              <w:jc w:val="left"/>
            </w:pPr>
            <w:r>
              <w:rPr>
                <w:sz w:val="19"/>
                <w:szCs w:val="19"/>
              </w:rPr>
              <w:t xml:space="preserve">8 September 2026</w:t>
            </w:r>
          </w:p>
        </w:tc>
        <w:tc>
          <w:tcPr>
            <w:tcW w:w="2469" w:type="dxa"/>
            <w:vAlign w:val="center"/>
          </w:tcPr>
          <w:p>
            <w:pPr>
              <w:pStyle w:val="TableText"/>
              <w:jc w:val="left"/>
            </w:pPr>
            <w:r>
              <w:rPr>
                <w:sz w:val="19"/>
                <w:szCs w:val="19"/>
              </w:rPr>
              <w:t xml:space="preserve">Commit history</w:t>
            </w:r>
          </w:p>
        </w:tc>
      </w:tr>
      <w:tr>
        <w:trPr>
          <w:cantSplit/>
        </w:trPr>
        <w:tc>
          <w:tcPr>
            <w:tcW w:w="3498" w:type="dxa"/>
            <w:vAlign w:val="center"/>
          </w:tcPr>
          <w:p>
            <w:pPr>
              <w:pStyle w:val="TableText"/>
              <w:jc w:val="left"/>
            </w:pPr>
            <w:r>
              <w:rPr>
                <w:sz w:val="19"/>
                <w:szCs w:val="19"/>
              </w:rPr>
              <w:t xml:space="preserve">Error-controlled diagnosis, held-out benchmark, final results</w:t>
            </w:r>
          </w:p>
        </w:tc>
        <w:tc>
          <w:tcPr>
            <w:tcW w:w="1646" w:type="dxa"/>
            <w:vAlign w:val="center"/>
          </w:tcPr>
          <w:p>
            <w:pPr>
              <w:pStyle w:val="TableText"/>
              <w:jc w:val="left"/>
            </w:pPr>
            <w:r>
              <w:rPr>
                <w:sz w:val="19"/>
                <w:szCs w:val="19"/>
                <w:highlight w:val="yellow"/>
              </w:rPr>
              <w:t xml:space="preserve">review date</w:t>
            </w:r>
          </w:p>
        </w:tc>
        <w:tc>
          <w:tcPr>
            <w:tcW w:w="1646" w:type="dxa"/>
            <w:vAlign w:val="center"/>
          </w:tcPr>
          <w:p>
            <w:pPr>
              <w:pStyle w:val="TableText"/>
              <w:jc w:val="left"/>
            </w:pPr>
            <w:r>
              <w:rPr>
                <w:sz w:val="19"/>
                <w:szCs w:val="19"/>
              </w:rPr>
              <w:t xml:space="preserve">16 October 2026</w:t>
            </w:r>
          </w:p>
        </w:tc>
        <w:tc>
          <w:tcPr>
            <w:tcW w:w="2469" w:type="dxa"/>
            <w:vAlign w:val="center"/>
          </w:tcPr>
          <w:p>
            <w:pPr>
              <w:pStyle w:val="TableText"/>
              <w:jc w:val="left"/>
            </w:pPr>
            <w:r>
              <w:rPr>
                <w:sz w:val="19"/>
                <w:szCs w:val="19"/>
              </w:rPr>
              <w:t xml:space="preserve">Commit history; results regenerated</w:t>
            </w:r>
          </w:p>
        </w:tc>
      </w:tr>
      <w:tr>
        <w:trPr>
          <w:cantSplit/>
        </w:trPr>
        <w:tc>
          <w:tcPr>
            <w:tcW w:w="3498" w:type="dxa"/>
            <w:vAlign w:val="center"/>
          </w:tcPr>
          <w:p>
            <w:pPr>
              <w:pStyle w:val="TableText"/>
              <w:jc w:val="left"/>
            </w:pPr>
            <w:r>
              <w:rPr>
                <w:sz w:val="19"/>
                <w:szCs w:val="19"/>
              </w:rPr>
              <w:t xml:space="preserve">Research paper submitted</w:t>
            </w:r>
          </w:p>
        </w:tc>
        <w:tc>
          <w:tcPr>
            <w:tcW w:w="1646" w:type="dxa"/>
            <w:vAlign w:val="center"/>
          </w:tcPr>
          <w:p>
            <w:pPr>
              <w:pStyle w:val="TableText"/>
              <w:jc w:val="left"/>
            </w:pPr>
            <w:r>
              <w:rPr>
                <w:sz w:val="19"/>
                <w:szCs w:val="19"/>
                <w:highlight w:val="yellow"/>
              </w:rPr>
              <w:t xml:space="preserve">review date</w:t>
            </w:r>
          </w:p>
        </w:tc>
        <w:tc>
          <w:tcPr>
            <w:tcW w:w="1646" w:type="dxa"/>
            <w:vAlign w:val="center"/>
          </w:tcPr>
          <w:p>
            <w:pPr>
              <w:pStyle w:val="TableText"/>
              <w:jc w:val="left"/>
            </w:pPr>
            <w:r>
              <w:rPr>
                <w:sz w:val="19"/>
                <w:szCs w:val="19"/>
                <w:highlight w:val="yellow"/>
              </w:rPr>
              <w:t xml:space="preserve">submission date</w:t>
            </w:r>
          </w:p>
        </w:tc>
        <w:tc>
          <w:tcPr>
            <w:tcW w:w="2469" w:type="dxa"/>
            <w:vAlign w:val="center"/>
          </w:tcPr>
          <w:p>
            <w:pPr>
              <w:pStyle w:val="TableText"/>
              <w:jc w:val="left"/>
            </w:pPr>
            <w:r>
              <w:rPr>
                <w:sz w:val="19"/>
                <w:szCs w:val="19"/>
              </w:rPr>
              <w:t xml:space="preserve">Submission record (Appendix I)</w:t>
            </w:r>
          </w:p>
        </w:tc>
      </w:tr>
      <w:tr>
        <w:trPr>
          <w:cantSplit/>
        </w:trPr>
        <w:tc>
          <w:tcPr>
            <w:tcW w:w="3498" w:type="dxa"/>
            <w:vAlign w:val="center"/>
          </w:tcPr>
          <w:p>
            <w:pPr>
              <w:pStyle w:val="TableText"/>
              <w:jc w:val="left"/>
            </w:pPr>
            <w:r>
              <w:rPr>
                <w:sz w:val="19"/>
                <w:szCs w:val="19"/>
              </w:rPr>
              <w:t xml:space="preserve">Black book and final presentation</w:t>
            </w:r>
          </w:p>
        </w:tc>
        <w:tc>
          <w:tcPr>
            <w:tcW w:w="1646" w:type="dxa"/>
            <w:vAlign w:val="center"/>
          </w:tcPr>
          <w:p>
            <w:pPr>
              <w:pStyle w:val="TableText"/>
              <w:jc w:val="left"/>
            </w:pPr>
            <w:r>
              <w:rPr>
                <w:sz w:val="19"/>
                <w:szCs w:val="19"/>
                <w:highlight w:val="yellow"/>
              </w:rPr>
              <w:t xml:space="preserve">review date</w:t>
            </w:r>
          </w:p>
        </w:tc>
        <w:tc>
          <w:tcPr>
            <w:tcW w:w="1646" w:type="dxa"/>
            <w:vAlign w:val="center"/>
          </w:tcPr>
          <w:p>
            <w:pPr>
              <w:pStyle w:val="TableText"/>
              <w:jc w:val="left"/>
            </w:pPr>
            <w:r>
              <w:rPr>
                <w:sz w:val="19"/>
                <w:szCs w:val="19"/>
                <w:highlight w:val="yellow"/>
              </w:rPr>
              <w:t xml:space="preserve">final review date</w:t>
            </w:r>
          </w:p>
        </w:tc>
        <w:tc>
          <w:tcPr>
            <w:tcW w:w="2469" w:type="dxa"/>
            <w:vAlign w:val="center"/>
          </w:tcPr>
          <w:p>
            <w:pPr>
              <w:pStyle w:val="TableText"/>
              <w:jc w:val="left"/>
            </w:pPr>
            <w:r>
              <w:rPr>
                <w:sz w:val="19"/>
                <w:szCs w:val="19"/>
              </w:rPr>
              <w:t xml:space="preserve">This report</w:t>
            </w:r>
          </w:p>
        </w:tc>
      </w:tr>
    </w:tbl>
    <w:p>
      <w:pPr>
        <w:spacing w:before="0" w:after="120" w:line="240" w:lineRule="auto"/>
      </w:pPr>
    </w:p>
    <w:p>
      <w:pPr>
        <w:pStyle w:val="Normal"/>
      </w:pPr>
      <w:r>
        <w:t xml:space="preserve">The largest deviation from a steady plan is the gap between March and August, when no commits were made during the semester break and examinations. The October redesign was also not planned at the start: a review of the first diagnosis showed that its false alarm rate was not controlled and fixing it properly took most of the month. A later code review found two further errors, one in the error control of the label-free stage and one in how the audit counted nominal categories. Both were fixed without looking at the results and every result was produced again, which changed the verdict in 115 of the 5,300 benchmark windows.</w:t>
      </w:r>
    </w:p>
    <w:p>
      <w:pPr>
        <w:pStyle w:val="Heading2"/>
      </w:pPr>
      <w:r>
        <w:t xml:space="preserve">4.5 Sustainability-by-Design Decisions</w:t>
      </w:r>
    </w:p>
    <w:p>
      <w:pPr>
        <w:pStyle w:val="Normal"/>
      </w:pPr>
      <w:r>
        <w:t xml:space="preserve">Several decisions in the design reduce computation, labeling effort or risk and so serve the efficiency target of SDG 12 described in Section </w:t>
      </w:r>
      <w:r>
        <w:t xml:space="preserve">1.7</w:t>
      </w:r>
      <w:r>
        <w:t xml:space="preserve">.</w:t>
      </w:r>
    </w:p>
    <w:p>
      <w:pPr>
        <w:pStyle w:val="ListItem"/>
        <w:numPr>
          <w:ilvl w:val="0"/>
          <w:numId w:val="100"/>
        </w:numPr>
        <w:ind w:left="567" w:hanging="340"/>
      </w:pPr>
      <w:r>
        <w:rPr>
          <w:b/>
          <w:bCs/>
        </w:rPr>
        <w:t xml:space="preserve">Labels only where they are needed.</w:t>
      </w:r>
      <w:r>
        <w:t xml:space="preserve"> The label-free stage settles most windows. Labels are asked for only in an audit of 600 rows and only when no label-free test rejects and the audit-size study (Section </w:t>
      </w:r>
      <w:r>
        <w:t xml:space="preserve">7.4</w:t>
      </w:r>
      <w:r>
        <w:t xml:space="preserve">) shows that more labels add little.</w:t>
      </w:r>
    </w:p>
    <w:p>
      <w:pPr>
        <w:pStyle w:val="ListItem"/>
        <w:numPr>
          <w:ilvl w:val="0"/>
          <w:numId w:val="100"/>
        </w:numPr>
        <w:ind w:left="567" w:hanging="340"/>
      </w:pPr>
      <w:r>
        <w:rPr>
          <w:b/>
          <w:bCs/>
        </w:rPr>
        <w:t xml:space="preserve">Advice before retraining.</w:t>
      </w:r>
      <w:r>
        <w:t xml:space="preserve"> The triage predicts whether a cheap retrain will help before any retraining is done, so a team does not spend computation on a retrain that cannot recover the loss.</w:t>
      </w:r>
    </w:p>
    <w:p>
      <w:pPr>
        <w:pStyle w:val="ListItem"/>
        <w:numPr>
          <w:ilvl w:val="0"/>
          <w:numId w:val="100"/>
        </w:numPr>
        <w:ind w:left="567" w:hanging="340"/>
      </w:pPr>
      <w:r>
        <w:rPr>
          <w:b/>
          <w:bCs/>
        </w:rPr>
        <w:t xml:space="preserve">Frozen networks and cached embeddings.</w:t>
      </w:r>
      <w:r>
        <w:t xml:space="preserve"> Images are embedded once by a frozen pretrained network and the embeddings are cached and reused by every test; no network is trained on the image stream.</w:t>
      </w:r>
    </w:p>
    <w:p>
      <w:pPr>
        <w:pStyle w:val="ListItem"/>
        <w:numPr>
          <w:ilvl w:val="0"/>
          <w:numId w:val="100"/>
        </w:numPr>
        <w:ind w:left="567" w:hanging="340"/>
      </w:pPr>
      <w:r>
        <w:rPr>
          <w:b/>
          <w:bCs/>
        </w:rPr>
        <w:t xml:space="preserve">Light models and tests.</w:t>
      </w:r>
      <w:r>
        <w:t xml:space="preserve"> The monitored models are logistic regression and histogram gradient boosting and the tests are classical statistics, so the whole system runs on a desktop processor.</w:t>
      </w:r>
    </w:p>
    <w:p>
      <w:pPr>
        <w:pStyle w:val="ListItem"/>
        <w:numPr>
          <w:ilvl w:val="0"/>
          <w:numId w:val="100"/>
        </w:numPr>
        <w:ind w:left="567" w:hanging="340"/>
      </w:pPr>
      <w:r>
        <w:rPr>
          <w:b/>
          <w:bCs/>
        </w:rPr>
        <w:t xml:space="preserve">Capped parallelism.</w:t>
      </w:r>
      <w:r>
        <w:t xml:space="preserve"> Long runs use a fixed number of workers and one heavy job at a time, which keeps power draw and the risk of a failed run low.</w:t>
      </w:r>
    </w:p>
    <w:p>
      <w:pPr>
        <w:pStyle w:val="ListItem"/>
        <w:numPr>
          <w:ilvl w:val="0"/>
          <w:numId w:val="100"/>
        </w:numPr>
        <w:ind w:left="567" w:hanging="340"/>
      </w:pPr>
      <w:r>
        <w:rPr>
          <w:b/>
          <w:bCs/>
        </w:rPr>
        <w:t xml:space="preserve">Explanations with a cost limit.</w:t>
      </w:r>
      <w:r>
        <w:t xml:space="preserve"> Shapley values are computed for a sample of rows against a small background set and only for the model where they are fast to compute.</w:t>
      </w:r>
    </w:p>
    <w:p>
      <w:pPr>
        <w:pStyle w:val="ListItem"/>
        <w:numPr>
          <w:ilvl w:val="0"/>
          <w:numId w:val="100"/>
        </w:numPr>
        <w:ind w:left="567" w:hanging="340"/>
      </w:pPr>
      <w:r>
        <w:rPr>
          <w:b/>
          <w:bCs/>
        </w:rPr>
        <w:t xml:space="preserve">Results generated once.</w:t>
      </w:r>
      <w:r>
        <w:t xml:space="preserve"> Every number in the paper and this report is generated from the stored study outputs, so documents can be rebuilt without rerunning experiments.</w:t>
      </w:r>
    </w:p>
    <w:p>
      <w:pPr>
        <w:pStyle w:val="ListItem"/>
        <w:numPr>
          <w:ilvl w:val="0"/>
          <w:numId w:val="100"/>
        </w:numPr>
        <w:ind w:left="567" w:hanging="340"/>
      </w:pPr>
      <w:r>
        <w:rPr>
          <w:b/>
          <w:bCs/>
        </w:rPr>
        <w:t xml:space="preserve">Privacy by design.</w:t>
      </w:r>
      <w:r>
        <w:t xml:space="preserve"> All processing is local and uses public data, so no personal data are collected or moved.</w:t>
      </w:r>
    </w:p>
    <w:p>
      <w:pPr>
        <w:pStyle w:val="Heading1"/>
      </w:pPr>
      <w:r>
        <w:t xml:space="preserve">CHAPTER 5: IMPLEMENTATION OF THE PROPOSED SYSTEM</w:t>
      </w:r>
    </w:p>
    <w:p>
      <w:pPr>
        <w:pStyle w:val="Normal"/>
      </w:pPr>
      <w:r>
        <w:t xml:space="preserve">This chapter describes how the design of Chapter </w:t>
      </w:r>
      <w:r>
        <w:t xml:space="preserve">4</w:t>
      </w:r>
      <w:r>
        <w:t xml:space="preserve"> was built. It explains the development method first, then gives the algorithms of each module with their formulas, flowcharts and pseudocode and ends with the datasets: where they come from, how they were prepared and how they were used.</w:t>
      </w:r>
    </w:p>
    <w:p>
      <w:pPr>
        <w:pStyle w:val="Heading2"/>
      </w:pPr>
      <w:r>
        <w:t xml:space="preserve">5.1 Methodology Employed for Development</w:t>
      </w:r>
    </w:p>
    <w:p>
      <w:pPr>
        <w:pStyle w:val="Normal"/>
      </w:pPr>
      <w:r>
        <w:t xml:space="preserve">The system was developed incrementally over the two semesters, one stage of the pipeline at a time. Each stage was first built as a working prototype, shown in the dashboard and discussed at a mentor review, then hardened with tests and rerun on all datasets. This order meant that a complete, if rough, system existed early and every later improvement could be judged on real outputs.</w:t>
      </w:r>
    </w:p>
    <w:p>
      <w:pPr>
        <w:pStyle w:val="Normal"/>
      </w:pPr>
      <w:r>
        <w:t xml:space="preserve">Four practices ran through the whole development.</w:t>
      </w:r>
    </w:p>
    <w:p>
      <w:pPr>
        <w:pStyle w:val="ListItem"/>
        <w:numPr>
          <w:ilvl w:val="0"/>
          <w:numId w:val="100"/>
        </w:numPr>
        <w:ind w:left="567" w:hanging="340"/>
      </w:pPr>
      <w:r>
        <w:rPr>
          <w:b/>
          <w:bCs/>
        </w:rPr>
        <w:t xml:space="preserve">A fixed protocol.</w:t>
      </w:r>
      <w:r>
        <w:t xml:space="preserve"> Every setting of an experiment, from the significance level to the audit size, was fixed before the evaluation that uses it. The diagnosis was frozen before the held-out benchmark design was run for the first time, so that design could not be tuned to it.</w:t>
      </w:r>
    </w:p>
    <w:p>
      <w:pPr>
        <w:pStyle w:val="ListItem"/>
        <w:numPr>
          <w:ilvl w:val="0"/>
          <w:numId w:val="100"/>
        </w:numPr>
        <w:ind w:left="567" w:hanging="340"/>
      </w:pPr>
      <w:r>
        <w:rPr>
          <w:b/>
          <w:bCs/>
        </w:rPr>
        <w:t xml:space="preserve">Generated results.</w:t>
      </w:r>
      <w:r>
        <w:t xml:space="preserve"> Every study writes a JSON report and a build script turns the reports into named result values, tables and figures. Documents cite results only through these names, so a number cannot be mistyped or left stale.</w:t>
      </w:r>
    </w:p>
    <w:p>
      <w:pPr>
        <w:pStyle w:val="ListItem"/>
        <w:numPr>
          <w:ilvl w:val="0"/>
          <w:numId w:val="100"/>
        </w:numPr>
        <w:ind w:left="567" w:hanging="340"/>
      </w:pPr>
      <w:r>
        <w:rPr>
          <w:b/>
          <w:bCs/>
        </w:rPr>
        <w:t xml:space="preserve">Seeded randomness.</w:t>
      </w:r>
      <w:r>
        <w:t xml:space="preserve"> Every random choice (data splits, permutations, injections, samples for explanations) takes a seed, so every result can be repeated exactly.</w:t>
      </w:r>
    </w:p>
    <w:p>
      <w:pPr>
        <w:pStyle w:val="ListItem"/>
        <w:numPr>
          <w:ilvl w:val="0"/>
          <w:numId w:val="100"/>
        </w:numPr>
        <w:ind w:left="567" w:hanging="340"/>
      </w:pPr>
      <w:r>
        <w:rPr>
          <w:b/>
          <w:bCs/>
        </w:rPr>
        <w:t xml:space="preserve">Tests and review.</w:t>
      </w:r>
      <w:r>
        <w:t xml:space="preserve"> Statistical routines were checked against reference implementations and by simulation of their error rates. A code review late in the project found two errors in the diagnosis; both were fixed without looking at the results and every result was produced again.</w:t>
      </w:r>
    </w:p>
    <w:p>
      <w:pPr>
        <w:pStyle w:val="Normal"/>
      </w:pPr>
      <w:r>
        <w:t xml:space="preserve">The code is written in Python 3.14 and organized as the package of Section </w:t>
      </w:r>
      <w:r>
        <w:t xml:space="preserve">4.2</w:t>
      </w:r>
      <w:r>
        <w:t xml:space="preserve">, with two Git repositories: one for the code and one for the paper and this report. Long runs, such as the benchmark, were scheduled one at a time with a capped number of parallel workers.</w:t>
      </w:r>
    </w:p>
    <w:p>
      <w:pPr>
        <w:pStyle w:val="Normal"/>
      </w:pPr>
      <w:r>
        <w:t xml:space="preserve">A key implementation choice concerns the reference data. They are split into three disjoint parts, stratified by class: 60% for training, 20% for calibration and 20% for testing. The model is fitted on the training part alone. The calibration part is the reference window for every detector and fits the accuracy estimator and the test part gives the reference accuracy and doubles as a control window on which no alarm should fire. Two model families are monitored, both untuned: logistic regression (LR) with </w:t>
      </w:r>
      <m:oMath>
        <m:sSub>
          <m:e>
            <m:r>
              <m:t>L</m:t>
            </m:r>
          </m:e>
          <m:sub>
            <m:r>
              <m:t>2</m:t>
            </m:r>
          </m:sub>
        </m:sSub>
      </m:oMath>
      <w:r>
        <w:t xml:space="preserve"> regularization (</w:t>
      </w:r>
      <m:oMath>
        <m:r>
          <m:t>C</m:t>
        </m:r>
        <m:r>
          <m:rPr>
            <m:sty m:val="p"/>
          </m:rPr>
          <m:t>=</m:t>
        </m:r>
        <m:r>
          <m:t>1</m:t>
        </m:r>
      </m:oMath>
      <w:r>
        <w:t xml:space="preserve">) on standardized numeric and one-hot encoded nominal features and histogram gradient boosting (GB) </w:t>
      </w:r>
      <w:r>
        <w:t xml:space="preserve">[43]</w:t>
      </w:r>
      <w:r>
        <w:t xml:space="preserve"> from scikit-learn </w:t>
      </w:r>
      <w:r>
        <w:t xml:space="preserve">[39]</w:t>
      </w:r>
      <w:r>
        <w:t xml:space="preserve"> with default settings and native splits on nominal codes.</w:t>
      </w:r>
    </w:p>
    <w:p>
      <w:pPr>
        <w:pStyle w:val="Heading2"/>
      </w:pPr>
      <w:r>
        <w:t xml:space="preserve">5.2 Algorithms and Flowcharts for Modules Developed</w:t>
      </w:r>
    </w:p>
    <w:p>
      <w:pPr>
        <w:pStyle w:val="Normal"/>
      </w:pPr>
      <w:r>
        <w:t xml:space="preserve">The algorithms follow the stages of the block diagram. Algorithm </w:t>
      </w:r>
      <w:r>
        <w:t xml:space="preserve">5.1</w:t>
      </w:r>
      <w:r>
        <w:t xml:space="preserve"> gives the overall processing of one production window and the subsections below describe each step.</w:t>
      </w:r>
    </w:p>
    <w:p>
      <w:pPr>
        <w:pStyle w:val="AlgCaption"/>
      </w:pPr>
      <w:r>
        <w:rPr>
          <w:b/>
          <w:bCs/>
        </w:rPr>
        <w:t xml:space="preserve">Algorithm 5.1: </w:t>
      </w:r>
      <w:r>
        <w:t xml:space="preserve">Processing of one production window</w:t>
      </w:r>
    </w:p>
    <w:p>
      <w:pPr>
        <w:pStyle w:val="Code"/>
        <w:keepNext/>
        <w:pBdr>
          <w:top w:val="single" w:sz="6" w:space="4" w:color="000000"/>
        </w:pBdr>
        <w:ind w:left="240"/>
      </w:pPr>
      <w:r>
        <w:rPr>
          <w:rFonts w:ascii="Courier New" w:hAnsi="Courier New" w:cs="Courier New"/>
        </w:rPr>
        <w:t xml:space="preserve">Input:  model M, calibration part R, production window W, optional audit (X_a, y_a)</w:t>
      </w:r>
    </w:p>
    <w:p>
      <w:pPr>
        <w:pStyle w:val="Code"/>
        <w:keepNext/>
        <w:ind w:left="240"/>
      </w:pPr>
      <w:r>
        <w:rPr>
          <w:rFonts w:ascii="Courier New" w:hAnsi="Courier New" w:cs="Courier New"/>
        </w:rPr>
        <w:t xml:space="preserve">Output: report for W</w:t>
      </w:r>
    </w:p>
    <w:p>
      <w:pPr>
        <w:pStyle w:val="Code"/>
        <w:keepNext/>
        <w:ind w:left="240"/>
      </w:pPr>
      <w:r>
        <w:rPr>
          <w:rFonts w:ascii="Courier New" w:hAnsi="Courier New" w:cs="Courier New"/>
        </w:rPr>
        <w:t xml:space="preserve">1  validate the schema and feature types of W against R</w:t>
      </w:r>
    </w:p>
    <w:p>
      <w:pPr>
        <w:pStyle w:val="Code"/>
        <w:keepNext/>
        <w:ind w:left="240"/>
      </w:pPr>
      <w:r>
        <w:rPr>
          <w:rFonts w:ascii="Courier New" w:hAnsi="Courier New" w:cs="Courier New"/>
        </w:rPr>
        <w:t xml:space="preserve">2  predict labels and class probabilities of M on W</w:t>
      </w:r>
    </w:p>
    <w:p>
      <w:pPr>
        <w:pStyle w:val="Code"/>
        <w:keepNext/>
        <w:ind w:left="240"/>
      </w:pPr>
      <w:r>
        <w:rPr>
          <w:rFonts w:ascii="Courier New" w:hAnsi="Courier New" w:cs="Courier New"/>
        </w:rPr>
        <w:t xml:space="preserve">3  run the detectors (KS, PSI, MMD, confidence test) of W against R</w:t>
      </w:r>
    </w:p>
    <w:p>
      <w:pPr>
        <w:pStyle w:val="Code"/>
        <w:keepNext/>
        <w:ind w:left="240"/>
      </w:pPr>
      <w:r>
        <w:rPr>
          <w:rFonts w:ascii="Courier New" w:hAnsi="Courier New" w:cs="Courier New"/>
        </w:rPr>
        <w:t xml:space="preserve">4  estimate the accuracy of M on W from its confidences (CBPE)</w:t>
      </w:r>
    </w:p>
    <w:p>
      <w:pPr>
        <w:pStyle w:val="Code"/>
        <w:keepNext/>
        <w:ind w:left="240"/>
      </w:pPr>
      <w:r>
        <w:rPr>
          <w:rFonts w:ascii="Courier New" w:hAnsi="Courier New" w:cs="Courier New"/>
        </w:rPr>
        <w:t xml:space="preserve">5  localize: test every feature, record effect sizes and unseen categories</w:t>
      </w:r>
    </w:p>
    <w:p>
      <w:pPr>
        <w:pStyle w:val="Code"/>
        <w:keepNext/>
        <w:ind w:left="240"/>
      </w:pPr>
      <w:r>
        <w:rPr>
          <w:rFonts w:ascii="Courier New" w:hAnsi="Courier New" w:cs="Courier New"/>
        </w:rPr>
        <w:t xml:space="preserve">6  verdict ← label-free diagnosis (Algorithm </w:t>
      </w:r>
      <w:r>
        <w:rPr>
          <w:rFonts w:ascii="Courier New" w:hAnsi="Courier New" w:cs="Courier New"/>
        </w:rPr>
        <w:t xml:space="preserve">5.2</w:t>
      </w:r>
      <w:r>
        <w:rPr>
          <w:rFonts w:ascii="Courier New" w:hAnsi="Courier New" w:cs="Courier New"/>
        </w:rPr>
        <w:t xml:space="preserve">)</w:t>
      </w:r>
    </w:p>
    <w:p>
      <w:pPr>
        <w:pStyle w:val="Code"/>
        <w:keepNext/>
        <w:ind w:left="240"/>
      </w:pPr>
      <w:r>
        <w:rPr>
          <w:rFonts w:ascii="Courier New" w:hAnsi="Courier New" w:cs="Courier New"/>
        </w:rPr>
        <w:t xml:space="preserve">7  if verdict = no shift and an audit is available then</w:t>
      </w:r>
    </w:p>
    <w:p>
      <w:pPr>
        <w:pStyle w:val="Code"/>
        <w:keepNext/>
        <w:ind w:left="240"/>
      </w:pPr>
      <w:r>
        <w:rPr>
          <w:rFonts w:ascii="Courier New" w:hAnsi="Courier New" w:cs="Courier New"/>
        </w:rPr>
        <w:t xml:space="preserve">8      verdict ← audit diagnosis (Algorithm </w:t>
      </w:r>
      <w:r>
        <w:rPr>
          <w:rFonts w:ascii="Courier New" w:hAnsi="Courier New" w:cs="Courier New"/>
        </w:rPr>
        <w:t xml:space="preserve">5.3</w:t>
      </w:r>
      <w:r>
        <w:rPr>
          <w:rFonts w:ascii="Courier New" w:hAnsi="Courier New" w:cs="Courier New"/>
        </w:rPr>
        <w:t xml:space="preserve">)</w:t>
      </w:r>
    </w:p>
    <w:p>
      <w:pPr>
        <w:pStyle w:val="Code"/>
        <w:keepNext/>
        <w:ind w:left="240"/>
      </w:pPr>
      <w:r>
        <w:rPr>
          <w:rFonts w:ascii="Courier New" w:hAnsi="Courier New" w:cs="Courier New"/>
        </w:rPr>
        <w:t xml:space="preserve">9  explain the change: SHAP for tabular models, CAM for image models</w:t>
      </w:r>
    </w:p>
    <w:p>
      <w:pPr>
        <w:pStyle w:val="Code"/>
        <w:keepNext/>
        <w:ind w:left="240"/>
      </w:pPr>
      <w:r>
        <w:rPr>
          <w:rFonts w:ascii="Courier New" w:hAnsi="Courier New" w:cs="Courier New"/>
        </w:rPr>
        <w:t xml:space="preserve">10 score the risk of error of every prediction</w:t>
      </w:r>
    </w:p>
    <w:p>
      <w:pPr>
        <w:pStyle w:val="Code"/>
        <w:keepNext/>
        <w:ind w:left="240"/>
      </w:pPr>
      <w:r>
        <w:rPr>
          <w:rFonts w:ascii="Courier New" w:hAnsi="Courier New" w:cs="Courier New"/>
        </w:rPr>
        <w:t xml:space="preserve">11 triage: would a cheap retrain help? (Algorithm </w:t>
      </w:r>
      <w:r>
        <w:rPr>
          <w:rFonts w:ascii="Courier New" w:hAnsi="Courier New" w:cs="Courier New"/>
        </w:rPr>
        <w:t xml:space="preserve">5.4</w:t>
      </w:r>
      <w:r>
        <w:rPr>
          <w:rFonts w:ascii="Courier New" w:hAnsi="Courier New" w:cs="Courier New"/>
        </w:rPr>
        <w:t xml:space="preserve">)</w:t>
      </w:r>
    </w:p>
    <w:p>
      <w:pPr>
        <w:pStyle w:val="Code"/>
        <w:pBdr>
          <w:bottom w:val="single" w:sz="6" w:space="4" w:color="000000"/>
        </w:pBdr>
        <w:ind w:left="240"/>
      </w:pPr>
      <w:r>
        <w:rPr>
          <w:rFonts w:ascii="Courier New" w:hAnsi="Courier New" w:cs="Courier New"/>
        </w:rPr>
        <w:t xml:space="preserve">12 write all results, with the time of each stage, to the report</w:t>
      </w:r>
    </w:p>
    <w:p>
      <w:pPr>
        <w:spacing w:before="0" w:after="120" w:line="240" w:lineRule="auto"/>
      </w:pPr>
    </w:p>
    <w:p>
      <w:pPr>
        <w:pStyle w:val="Heading3"/>
      </w:pPr>
      <w:r>
        <w:t xml:space="preserve">5.2.1 Detection and Localization</w:t>
      </w:r>
    </w:p>
    <w:p>
      <w:pPr>
        <w:pStyle w:val="Normal"/>
      </w:pPr>
      <w:r>
        <w:t xml:space="preserve">Detection decides whether a window differs from the calibration part and localization says where the difference sits. Fig. </w:t>
      </w:r>
      <w:r>
        <w:t xml:space="preserve">5.1</w:t>
      </w:r>
      <w:r>
        <w:t xml:space="preserve"> shows the flow.</w:t>
      </w:r>
    </w:p>
    <w:p>
      <w:pPr>
        <w:pStyle w:val="FigureBody"/>
      </w:pPr>
      <w:r>
        <w:drawing>
          <wp:inline distT="0" distB="0" distL="0" distR="0">
            <wp:extent cx="2808000" cy="5057630"/>
            <wp:docPr id="1008" name="Figure 5.1" descr="Fig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 name="flow_detection.png"/>
                    <pic:cNvPicPr/>
                  </pic:nvPicPr>
                  <pic:blipFill>
                    <a:blip r:embed="rIdI8"/>
                    <a:stretch>
                      <a:fillRect/>
                    </a:stretch>
                  </pic:blipFill>
                  <pic:spPr>
                    <a:xfrm>
                      <a:off x="0" y="0"/>
                      <a:ext cx="2808000" cy="5057630"/>
                    </a:xfrm>
                    <a:prstGeom prst="rect">
                      <a:avLst/>
                    </a:prstGeom>
                  </pic:spPr>
                </pic:pic>
              </a:graphicData>
            </a:graphic>
          </wp:inline>
        </w:drawing>
      </w:r>
    </w:p>
    <w:p>
      <w:pPr>
        <w:pStyle w:val="FigureCaption"/>
      </w:pPr>
      <w:r>
        <w:rPr>
          <w:b/>
          <w:bCs/>
        </w:rPr>
        <w:t xml:space="preserve">Fig. 5.1: </w:t>
      </w:r>
      <w:r>
        <w:t xml:space="preserve">Flowchart of detection, accuracy estimation and localization for one window</w:t>
      </w:r>
    </w:p>
    <w:p>
      <w:pPr>
        <w:pStyle w:val="Normal"/>
      </w:pPr>
      <w:r>
        <w:t xml:space="preserve">The window is validated and scored by the model, the detectors and the accuracy estimate are run and if any test is significant after correction the features are localized. The results pass to the diagnosis in either case. Four detectors are used by the diagnosis and two more act as baselines.</w:t>
      </w:r>
    </w:p>
    <w:p>
      <w:pPr>
        <w:pStyle w:val="Normal"/>
      </w:pPr>
      <w:r>
        <w:t xml:space="preserve">The </w:t>
      </w:r>
      <w:r>
        <w:rPr>
          <w:b/>
          <w:bCs/>
        </w:rPr>
        <w:t xml:space="preserve">Kolmogorov–Smirnov (KS) test</w:t>
      </w:r>
      <w:r>
        <w:t xml:space="preserve"> compares each numeric feature. With </w:t>
      </w:r>
      <m:oMath>
        <m:sSub>
          <m:e>
            <m:r>
              <m:t>F</m:t>
            </m:r>
          </m:e>
          <m:sub>
            <m:r>
              <m:t>P</m:t>
            </m:r>
          </m:sub>
        </m:sSub>
      </m:oMath>
      <w:r>
        <w:t xml:space="preserve"> and </w:t>
      </w:r>
      <m:oMath>
        <m:sSub>
          <m:e>
            <m:r>
              <m:t>F</m:t>
            </m:r>
          </m:e>
          <m:sub>
            <m:r>
              <m:t>Q</m:t>
            </m:r>
          </m:sub>
        </m:sSub>
      </m:oMath>
      <w:r>
        <w:t xml:space="preserve"> the empirical distribution functions of the feature in the calibration part and in the window, its statistic is given by</w:t>
      </w:r>
    </w:p>
    <w:p>
      <w:pPr>
        <w:pStyle w:val="Equation"/>
      </w:pPr>
      <w:r>
        <w:tab/>
      </w:r>
      <m:oMath>
        <m:r>
          <m:t>D</m:t>
        </m:r>
        <m:r>
          <m:rPr>
            <m:sty m:val="p"/>
          </m:rPr>
          <m:t>=</m:t>
        </m:r>
        <m:sSub>
          <m:e>
            <m:r>
              <m:rPr>
                <m:sty m:val="p"/>
              </m:rPr>
              <m:t>sup</m:t>
            </m:r>
          </m:e>
          <m:sub>
            <m:r>
              <m:t>x</m:t>
            </m:r>
          </m:sub>
        </m:sSub>
        <m:d>
          <m:dPr>
            <m:begChr m:val="|"/>
            <m:endChr m:val="|"/>
          </m:dPr>
          <m:e>
            <m:sSub>
              <m:e>
                <m:r>
                  <m:t>F</m:t>
                </m:r>
              </m:e>
              <m:sub>
                <m:r>
                  <m:t>P</m:t>
                </m:r>
              </m:sub>
            </m:sSub>
            <m:r>
              <m:rPr>
                <m:sty m:val="p"/>
              </m:rPr>
              <m:t>(</m:t>
            </m:r>
            <m:r>
              <m:t>x</m:t>
            </m:r>
            <m:r>
              <m:rPr>
                <m:sty m:val="p"/>
              </m:rPr>
              <m:t>)</m:t>
            </m:r>
            <m:r>
              <m:rPr>
                <m:sty m:val="p"/>
              </m:rPr>
              <m:t>−</m:t>
            </m:r>
            <m:sSub>
              <m:e>
                <m:r>
                  <m:t>F</m:t>
                </m:r>
              </m:e>
              <m:sub>
                <m:r>
                  <m:t>Q</m:t>
                </m:r>
              </m:sub>
            </m:sSub>
            <m:r>
              <m:rPr>
                <m:sty m:val="p"/>
              </m:rPr>
              <m:t>(</m:t>
            </m:r>
            <m:r>
              <m:t>x</m:t>
            </m:r>
            <m:r>
              <m:rPr>
                <m:sty m:val="p"/>
              </m:rPr>
              <m:t>)</m:t>
            </m:r>
          </m:e>
        </m:d>
      </m:oMath>
      <w:r>
        <w:tab/>
      </w:r>
      <w:r>
        <w:t xml:space="preserve">(5.1)</w:t>
      </w:r>
    </w:p>
    <w:p>
      <w:pPr>
        <w:pStyle w:val="Normal"/>
      </w:pPr>
      <w:r>
        <w:t xml:space="preserve">Eq. (</w:t>
      </w:r>
      <w:r>
        <w:t xml:space="preserve">5.1</w:t>
      </w:r>
      <w:r>
        <w:t xml:space="preserve">) is evaluated for every numeric feature, with a Bonferroni correction over the features that keeps the detector’s error rate at α. The </w:t>
      </w:r>
      <w:r>
        <w:rPr>
          <w:b/>
          <w:bCs/>
        </w:rPr>
        <w:t xml:space="preserve">population stability index (PSI)</w:t>
      </w:r>
      <w:r>
        <w:t xml:space="preserve"> compares the shares </w:t>
      </w:r>
      <m:oMath>
        <m:sSub>
          <m:e>
            <m:r>
              <m:t>p</m:t>
            </m:r>
          </m:e>
          <m:sub>
            <m:r>
              <m:t>b</m:t>
            </m:r>
          </m:sub>
        </m:sSub>
      </m:oMath>
      <w:r>
        <w:t xml:space="preserve"> and </w:t>
      </w:r>
      <m:oMath>
        <m:sSub>
          <m:e>
            <m:r>
              <m:t>q</m:t>
            </m:r>
          </m:e>
          <m:sub>
            <m:r>
              <m:t>b</m:t>
            </m:r>
          </m:sub>
        </m:sSub>
      </m:oMath>
      <w:r>
        <w:t xml:space="preserve"> of the reference and the window in </w:t>
      </w:r>
      <m:oMath>
        <m:r>
          <m:t>B</m:t>
        </m:r>
      </m:oMath>
      <w:r>
        <w:t xml:space="preserve"> bins of each feature. It is given by</w:t>
      </w:r>
    </w:p>
    <w:p>
      <w:pPr>
        <w:pStyle w:val="Equation"/>
      </w:pPr>
      <w:r>
        <w:tab/>
      </w:r>
      <m:oMath>
        <m:r>
          <m:rPr>
            <m:sty m:val="p"/>
          </m:rPr>
          <m:t>PSI</m:t>
        </m:r>
        <m:r>
          <m:rPr>
            <m:sty m:val="p"/>
          </m:rPr>
          <m:t>=</m:t>
        </m:r>
        <m:nary>
          <m:naryPr>
            <m:chr m:val="∑"/>
            <m:limLoc m:val="undOvr"/>
            <m:subHide m:val="off"/>
            <m:supHide m:val="off"/>
          </m:naryPr>
          <m:sub>
            <m:r>
              <m:t>b</m:t>
            </m:r>
            <m:r>
              <m:rPr>
                <m:sty m:val="p"/>
              </m:rPr>
              <m:t>=</m:t>
            </m:r>
            <m:r>
              <m:rPr>
                <m:sty m:val="p"/>
              </m:rPr>
              <m:t>1</m:t>
            </m:r>
          </m:sub>
          <m:sup>
            <m:r>
              <m:t>B</m:t>
            </m:r>
          </m:sup>
          <m:e>
            <m:r>
              <m:rPr>
                <m:sty m:val="p"/>
              </m:rPr>
              <m:t>(</m:t>
            </m:r>
            <m:sSub>
              <m:e>
                <m:r>
                  <m:t>q</m:t>
                </m:r>
              </m:e>
              <m:sub>
                <m:r>
                  <m:t>b</m:t>
                </m:r>
              </m:sub>
            </m:sSub>
            <m:r>
              <m:rPr>
                <m:sty m:val="p"/>
              </m:rPr>
              <m:t>−</m:t>
            </m:r>
            <m:sSub>
              <m:e>
                <m:r>
                  <m:t>p</m:t>
                </m:r>
              </m:e>
              <m:sub>
                <m:r>
                  <m:t>b</m:t>
                </m:r>
              </m:sub>
            </m:sSub>
            <m:r>
              <m:rPr>
                <m:sty m:val="p"/>
              </m:rPr>
              <m:t>)</m:t>
            </m:r>
            <m:r>
              <m:rPr>
                <m:sty m:val="p"/>
              </m:rPr>
              <m:t>ln</m:t>
            </m:r>
            <m:f>
              <m:fPr>
                <m:type m:val="bar"/>
              </m:fPr>
              <m:num>
                <m:sSub>
                  <m:e>
                    <m:r>
                      <m:t>q</m:t>
                    </m:r>
                  </m:e>
                  <m:sub>
                    <m:r>
                      <m:t>b</m:t>
                    </m:r>
                  </m:sub>
                </m:sSub>
              </m:num>
              <m:den>
                <m:sSub>
                  <m:e>
                    <m:r>
                      <m:t>p</m:t>
                    </m:r>
                  </m:e>
                  <m:sub>
                    <m:r>
                      <m:t>b</m:t>
                    </m:r>
                  </m:sub>
                </m:sSub>
              </m:den>
            </m:f>
          </m:e>
        </m:nary>
      </m:oMath>
      <w:r>
        <w:tab/>
      </w:r>
      <w:r>
        <w:t xml:space="preserve">(5.2)</w:t>
      </w:r>
    </w:p>
    <w:p>
      <w:pPr>
        <w:pStyle w:val="Normal"/>
      </w:pPr>
      <w:r>
        <w:t xml:space="preserve">An alarm is raised when the index of Eq. (</w:t>
      </w:r>
      <w:r>
        <w:t xml:space="preserve">5.2</w:t>
      </w:r>
      <w:r>
        <w:t xml:space="preserve">) exceeds its conventional value of 0.2 </w:t>
      </w:r>
      <w:r>
        <w:t xml:space="preserve">[44]</w:t>
      </w:r>
      <w:r>
        <w:t xml:space="preserve">. The </w:t>
      </w:r>
      <w:r>
        <w:rPr>
          <w:b/>
          <w:bCs/>
        </w:rPr>
        <w:t xml:space="preserve">maximum mean discrepancy (MMD)</w:t>
      </w:r>
      <w:r>
        <w:t xml:space="preserve"> test compares all standardized inputs jointly </w:t>
      </w:r>
      <w:r>
        <w:t xml:space="preserve">[9]</w:t>
      </w:r>
      <w:r>
        <w:t xml:space="preserve">. With a Gaussian kernel </w:t>
      </w:r>
      <m:oMath>
        <m:r>
          <m:t>k</m:t>
        </m:r>
        <m:r>
          <m:rPr>
            <m:sty m:val="p"/>
          </m:rPr>
          <m:t>(</m:t>
        </m:r>
        <m:r>
          <m:t>x</m:t>
        </m:r>
        <m:r>
          <m:rPr>
            <m:sty m:val="p"/>
          </m:rPr>
          <m:t>,</m:t>
        </m:r>
        <m:r>
          <m:t>y</m:t>
        </m:r>
        <m:r>
          <m:rPr>
            <m:sty m:val="p"/>
          </m:rPr>
          <m:t>)</m:t>
        </m:r>
        <m:r>
          <m:rPr>
            <m:sty m:val="p"/>
          </m:rPr>
          <m:t>=</m:t>
        </m:r>
        <m:r>
          <m:rPr>
            <m:sty m:val="p"/>
          </m:rPr>
          <m:t>exp</m:t>
        </m:r>
        <m:d>
          <m:dPr>
            <m:begChr m:val="("/>
            <m:endChr m:val=")"/>
          </m:dPr>
          <m:e>
            <m:r>
              <m:rPr>
                <m:sty m:val="p"/>
              </m:rPr>
              <m:t>−</m:t>
            </m:r>
            <m:r>
              <m:rPr>
                <m:sty m:val="p"/>
              </m:rPr>
              <m:t>‖</m:t>
            </m:r>
            <m:r>
              <m:t>x</m:t>
            </m:r>
            <m:r>
              <m:rPr>
                <m:sty m:val="p"/>
              </m:rPr>
              <m:t>−</m:t>
            </m:r>
            <m:r>
              <m:t>y</m:t>
            </m:r>
            <m:sSup>
              <m:e>
                <m:r>
                  <m:rPr>
                    <m:sty m:val="p"/>
                  </m:rPr>
                  <m:t>‖</m:t>
                </m:r>
              </m:e>
              <m:sup>
                <m:r>
                  <m:rPr>
                    <m:sty m:val="p"/>
                  </m:rPr>
                  <m:t>2</m:t>
                </m:r>
              </m:sup>
            </m:sSup>
            <m:r>
              <m:rPr>
                <m:sty m:val="p"/>
              </m:rPr>
              <m:t>/</m:t>
            </m:r>
            <m:r>
              <m:rPr>
                <m:sty m:val="p"/>
              </m:rPr>
              <m:t>2</m:t>
            </m:r>
            <m:sSup>
              <m:e>
                <m:r>
                  <m:t>σ</m:t>
                </m:r>
              </m:e>
              <m:sup>
                <m:r>
                  <m:rPr>
                    <m:sty m:val="p"/>
                  </m:rPr>
                  <m:t>2</m:t>
                </m:r>
              </m:sup>
            </m:sSup>
          </m:e>
        </m:d>
      </m:oMath>
      <w:r>
        <w:t xml:space="preserve">, reference rows </w:t>
      </w:r>
      <m:oMath>
        <m:sSub>
          <m:e>
            <m:r>
              <m:t>x</m:t>
            </m:r>
          </m:e>
          <m:sub>
            <m:r>
              <m:rPr>
                <m:sty m:val="p"/>
              </m:rPr>
              <m:t>1</m:t>
            </m:r>
          </m:sub>
        </m:sSub>
      </m:oMath>
      <w:r>
        <w:t xml:space="preserve"> to </w:t>
      </w:r>
      <m:oMath>
        <m:sSub>
          <m:e>
            <m:r>
              <m:t>x</m:t>
            </m:r>
          </m:e>
          <m:sub>
            <m:r>
              <m:t>m</m:t>
            </m:r>
          </m:sub>
        </m:sSub>
      </m:oMath>
      <w:r>
        <w:t xml:space="preserve"> and window rows </w:t>
      </w:r>
      <m:oMath>
        <m:sSub>
          <m:e>
            <m:r>
              <m:t>y</m:t>
            </m:r>
          </m:e>
          <m:sub>
            <m:r>
              <m:rPr>
                <m:sty m:val="p"/>
              </m:rPr>
              <m:t>1</m:t>
            </m:r>
          </m:sub>
        </m:sSub>
      </m:oMath>
      <w:r>
        <w:t xml:space="preserve"> to </w:t>
      </w:r>
      <m:oMath>
        <m:sSub>
          <m:e>
            <m:r>
              <m:t>y</m:t>
            </m:r>
          </m:e>
          <m:sub>
            <m:r>
              <m:t>n</m:t>
            </m:r>
          </m:sub>
        </m:sSub>
      </m:oMath>
      <w:r>
        <w:t xml:space="preserve">, its statistic is given by</w:t>
      </w:r>
    </w:p>
    <w:p>
      <w:pPr>
        <w:pStyle w:val="Equation"/>
      </w:pPr>
      <w:r>
        <w:tab/>
      </w:r>
      <m:oMath>
        <m:sSup>
          <m:e>
            <m:r>
              <m:rPr>
                <m:sty m:val="p"/>
              </m:rPr>
              <m:t>MMD</m:t>
            </m:r>
          </m:e>
          <m:sup>
            <m:r>
              <m:rPr>
                <m:sty m:val="p"/>
              </m:rPr>
              <m:t>2</m:t>
            </m:r>
          </m:sup>
        </m:sSup>
        <m:r>
          <m:rPr>
            <m:sty m:val="p"/>
          </m:rPr>
          <m:t>=</m:t>
        </m:r>
        <m:f>
          <m:fPr>
            <m:type m:val="bar"/>
          </m:fPr>
          <m:num>
            <m:r>
              <m:rPr>
                <m:sty m:val="p"/>
              </m:rPr>
              <m:t>1</m:t>
            </m:r>
          </m:num>
          <m:den>
            <m:sSup>
              <m:e>
                <m:r>
                  <m:t>m</m:t>
                </m:r>
              </m:e>
              <m:sup>
                <m:r>
                  <m:rPr>
                    <m:sty m:val="p"/>
                  </m:rPr>
                  <m:t>2</m:t>
                </m:r>
              </m:sup>
            </m:sSup>
          </m:den>
        </m:f>
        <m:nary>
          <m:naryPr>
            <m:chr m:val="∑"/>
            <m:limLoc m:val="undOvr"/>
            <m:subHide m:val="off"/>
            <m:supHide m:val="on"/>
          </m:naryPr>
          <m:sub>
            <m:r>
              <m:t>i</m:t>
            </m:r>
            <m:r>
              <m:rPr>
                <m:sty m:val="p"/>
              </m:rPr>
              <m:t>,</m:t>
            </m:r>
            <m:r>
              <m:t>j</m:t>
            </m:r>
          </m:sub>
          <m:sup/>
          <m:e>
            <m:r>
              <m:t>k</m:t>
            </m:r>
          </m:e>
        </m:nary>
        <m:r>
          <m:rPr>
            <m:sty m:val="p"/>
          </m:rPr>
          <m:t>(</m:t>
        </m:r>
        <m:sSub>
          <m:e>
            <m:r>
              <m:t>x</m:t>
            </m:r>
          </m:e>
          <m:sub>
            <m:r>
              <m:t>i</m:t>
            </m:r>
          </m:sub>
        </m:sSub>
        <m:r>
          <m:rPr>
            <m:sty m:val="p"/>
          </m:rPr>
          <m:t>,</m:t>
        </m:r>
        <m:sSub>
          <m:e>
            <m:r>
              <m:t>x</m:t>
            </m:r>
          </m:e>
          <m:sub>
            <m:r>
              <m:t>j</m:t>
            </m:r>
          </m:sub>
        </m:sSub>
        <m:r>
          <m:rPr>
            <m:sty m:val="p"/>
          </m:rPr>
          <m:t>)</m:t>
        </m:r>
        <m:r>
          <m:rPr>
            <m:sty m:val="p"/>
          </m:rPr>
          <m:t>+</m:t>
        </m:r>
        <m:f>
          <m:fPr>
            <m:type m:val="bar"/>
          </m:fPr>
          <m:num>
            <m:r>
              <m:rPr>
                <m:sty m:val="p"/>
              </m:rPr>
              <m:t>1</m:t>
            </m:r>
          </m:num>
          <m:den>
            <m:sSup>
              <m:e>
                <m:r>
                  <m:t>n</m:t>
                </m:r>
              </m:e>
              <m:sup>
                <m:r>
                  <m:rPr>
                    <m:sty m:val="p"/>
                  </m:rPr>
                  <m:t>2</m:t>
                </m:r>
              </m:sup>
            </m:sSup>
          </m:den>
        </m:f>
        <m:nary>
          <m:naryPr>
            <m:chr m:val="∑"/>
            <m:limLoc m:val="undOvr"/>
            <m:subHide m:val="off"/>
            <m:supHide m:val="on"/>
          </m:naryPr>
          <m:sub>
            <m:r>
              <m:t>i</m:t>
            </m:r>
            <m:r>
              <m:rPr>
                <m:sty m:val="p"/>
              </m:rPr>
              <m:t>,</m:t>
            </m:r>
            <m:r>
              <m:t>j</m:t>
            </m:r>
          </m:sub>
          <m:sup/>
          <m:e>
            <m:r>
              <m:t>k</m:t>
            </m:r>
          </m:e>
        </m:nary>
        <m:r>
          <m:rPr>
            <m:sty m:val="p"/>
          </m:rPr>
          <m:t>(</m:t>
        </m:r>
        <m:sSub>
          <m:e>
            <m:r>
              <m:t>y</m:t>
            </m:r>
          </m:e>
          <m:sub>
            <m:r>
              <m:t>i</m:t>
            </m:r>
          </m:sub>
        </m:sSub>
        <m:r>
          <m:rPr>
            <m:sty m:val="p"/>
          </m:rPr>
          <m:t>,</m:t>
        </m:r>
        <m:sSub>
          <m:e>
            <m:r>
              <m:t>y</m:t>
            </m:r>
          </m:e>
          <m:sub>
            <m:r>
              <m:t>j</m:t>
            </m:r>
          </m:sub>
        </m:sSub>
        <m:r>
          <m:rPr>
            <m:sty m:val="p"/>
          </m:rPr>
          <m:t>)</m:t>
        </m:r>
        <m:r>
          <m:rPr>
            <m:sty m:val="p"/>
          </m:rPr>
          <m:t>−</m:t>
        </m:r>
        <m:f>
          <m:fPr>
            <m:type m:val="bar"/>
          </m:fPr>
          <m:num>
            <m:r>
              <m:rPr>
                <m:sty m:val="p"/>
              </m:rPr>
              <m:t>2</m:t>
            </m:r>
          </m:num>
          <m:den>
            <m:r>
              <m:t>m</m:t>
            </m:r>
            <m:r>
              <m:t>n</m:t>
            </m:r>
          </m:den>
        </m:f>
        <m:nary>
          <m:naryPr>
            <m:chr m:val="∑"/>
            <m:limLoc m:val="undOvr"/>
            <m:subHide m:val="off"/>
            <m:supHide m:val="on"/>
          </m:naryPr>
          <m:sub>
            <m:r>
              <m:t>i</m:t>
            </m:r>
            <m:r>
              <m:rPr>
                <m:sty m:val="p"/>
              </m:rPr>
              <m:t>,</m:t>
            </m:r>
            <m:r>
              <m:t>j</m:t>
            </m:r>
          </m:sub>
          <m:sup/>
          <m:e>
            <m:r>
              <m:t>k</m:t>
            </m:r>
          </m:e>
        </m:nary>
        <m:r>
          <m:rPr>
            <m:sty m:val="p"/>
          </m:rPr>
          <m:t>(</m:t>
        </m:r>
        <m:sSub>
          <m:e>
            <m:r>
              <m:t>x</m:t>
            </m:r>
          </m:e>
          <m:sub>
            <m:r>
              <m:t>i</m:t>
            </m:r>
          </m:sub>
        </m:sSub>
        <m:r>
          <m:rPr>
            <m:sty m:val="p"/>
          </m:rPr>
          <m:t>,</m:t>
        </m:r>
        <m:sSub>
          <m:e>
            <m:r>
              <m:t>y</m:t>
            </m:r>
          </m:e>
          <m:sub>
            <m:r>
              <m:t>j</m:t>
            </m:r>
          </m:sub>
        </m:sSub>
        <m:r>
          <m:rPr>
            <m:sty m:val="p"/>
          </m:rPr>
          <m:t>)</m:t>
        </m:r>
      </m:oMath>
      <w:r>
        <w:tab/>
      </w:r>
      <w:r>
        <w:t xml:space="preserve">(5.3)</w:t>
      </w:r>
    </w:p>
    <w:p>
      <w:pPr>
        <w:pStyle w:val="Normal"/>
      </w:pPr>
      <w:r>
        <w:t xml:space="preserve">The p value of Eq. (</w:t>
      </w:r>
      <w:r>
        <w:t xml:space="preserve">5.3</w:t>
      </w:r>
      <w:r>
        <w:t xml:space="preserve">) comes from 200 random permutations of the pooled rows. A permutation p value is given by </w:t>
      </w:r>
      <m:oMath>
        <m:r>
          <m:rPr>
            <m:sty m:val="p"/>
          </m:rPr>
          <m:t>(</m:t>
        </m:r>
        <m:r>
          <m:t>1</m:t>
        </m:r>
        <m:r>
          <m:rPr>
            <m:sty m:val="p"/>
          </m:rPr>
          <m:t>+</m:t>
        </m:r>
        <m:r>
          <m:t>b</m:t>
        </m:r>
        <m:r>
          <m:rPr>
            <m:sty m:val="p"/>
          </m:rPr>
          <m:t>)</m:t>
        </m:r>
        <m:r>
          <m:rPr>
            <m:sty m:val="p"/>
          </m:rPr>
          <m:t>/</m:t>
        </m:r>
        <m:r>
          <m:rPr>
            <m:sty m:val="p"/>
          </m:rPr>
          <m:t>(</m:t>
        </m:r>
        <m:r>
          <m:t>1</m:t>
        </m:r>
        <m:r>
          <m:rPr>
            <m:sty m:val="p"/>
          </m:rPr>
          <m:t>+</m:t>
        </m:r>
        <m:r>
          <m:t>B</m:t>
        </m:r>
        <m:r>
          <m:rPr>
            <m:sty m:val="p"/>
          </m:rPr>
          <m:t>)</m:t>
        </m:r>
      </m:oMath>
      <w:r>
        <w:t xml:space="preserve">, where </w:t>
      </w:r>
      <m:oMath>
        <m:r>
          <m:t>b</m:t>
        </m:r>
      </m:oMath>
      <w:r>
        <w:t xml:space="preserve"> of the </w:t>
      </w:r>
      <m:oMath>
        <m:r>
          <m:t>B</m:t>
        </m:r>
      </m:oMath>
      <w:r>
        <w:t xml:space="preserve"> permutations reach the observed statistic </w:t>
      </w:r>
      <w:r>
        <w:t xml:space="preserve">[45]</w:t>
      </w:r>
      <w:r>
        <w:t xml:space="preserve">. The </w:t>
      </w:r>
      <w:r>
        <w:rPr>
          <w:b/>
          <w:bCs/>
        </w:rPr>
        <w:t xml:space="preserve">confidence test</w:t>
      </w:r>
      <w:r>
        <w:t xml:space="preserve"> compares histograms of the model’s top-class confidence </w:t>
      </w:r>
      <m:oMath>
        <m:r>
          <m:t>c</m:t>
        </m:r>
      </m:oMath>
      <w:r>
        <w:t xml:space="preserve"> in the two samples with the chi-square test of homogeneity, whose statistic over cells with observed counts </w:t>
      </w:r>
      <m:oMath>
        <m:sSub>
          <m:e>
            <m:r>
              <m:t>O</m:t>
            </m:r>
          </m:e>
          <m:sub>
            <m:r>
              <m:t>k</m:t>
            </m:r>
          </m:sub>
        </m:sSub>
      </m:oMath>
      <w:r>
        <w:t xml:space="preserve"> and expected counts </w:t>
      </w:r>
      <m:oMath>
        <m:sSub>
          <m:e>
            <m:r>
              <m:t>E</m:t>
            </m:r>
          </m:e>
          <m:sub>
            <m:r>
              <m:t>k</m:t>
            </m:r>
          </m:sub>
        </m:sSub>
      </m:oMath>
      <w:r>
        <w:t xml:space="preserve"> is given by</w:t>
      </w:r>
    </w:p>
    <w:p>
      <w:pPr>
        <w:pStyle w:val="Equation"/>
      </w:pPr>
      <w:r>
        <w:tab/>
      </w:r>
      <m:oMath>
        <m:sSup>
          <m:e>
            <m:r>
              <m:t>χ</m:t>
            </m:r>
          </m:e>
          <m:sup>
            <m:r>
              <m:rPr>
                <m:sty m:val="p"/>
              </m:rPr>
              <m:t>2</m:t>
            </m:r>
          </m:sup>
        </m:sSup>
        <m:r>
          <m:rPr>
            <m:sty m:val="p"/>
          </m:rPr>
          <m:t>=</m:t>
        </m:r>
        <m:nary>
          <m:naryPr>
            <m:chr m:val="∑"/>
            <m:limLoc m:val="undOvr"/>
            <m:subHide m:val="off"/>
            <m:supHide m:val="on"/>
          </m:naryPr>
          <m:sub>
            <m:r>
              <m:t>k</m:t>
            </m:r>
          </m:sub>
          <m:sup/>
          <m:e>
            <m:f>
              <m:fPr>
                <m:type m:val="bar"/>
              </m:fPr>
              <m:num>
                <m:r>
                  <m:rPr>
                    <m:sty m:val="p"/>
                  </m:rPr>
                  <m:t>(</m:t>
                </m:r>
                <m:sSub>
                  <m:e>
                    <m:r>
                      <m:t>O</m:t>
                    </m:r>
                  </m:e>
                  <m:sub>
                    <m:r>
                      <m:t>k</m:t>
                    </m:r>
                  </m:sub>
                </m:sSub>
                <m:r>
                  <m:rPr>
                    <m:sty m:val="p"/>
                  </m:rPr>
                  <m:t>−</m:t>
                </m:r>
                <m:sSub>
                  <m:e>
                    <m:r>
                      <m:t>E</m:t>
                    </m:r>
                  </m:e>
                  <m:sub>
                    <m:r>
                      <m:t>k</m:t>
                    </m:r>
                  </m:sub>
                </m:sSub>
                <m:sSup>
                  <m:e>
                    <m:r>
                      <m:rPr>
                        <m:sty m:val="p"/>
                      </m:rPr>
                      <m:t>)</m:t>
                    </m:r>
                  </m:e>
                  <m:sup>
                    <m:r>
                      <m:rPr>
                        <m:sty m:val="p"/>
                      </m:rPr>
                      <m:t>2</m:t>
                    </m:r>
                  </m:sup>
                </m:sSup>
              </m:num>
              <m:den>
                <m:sSub>
                  <m:e>
                    <m:r>
                      <m:t>E</m:t>
                    </m:r>
                  </m:e>
                  <m:sub>
                    <m:r>
                      <m:t>k</m:t>
                    </m:r>
                  </m:sub>
                </m:sSub>
              </m:den>
            </m:f>
          </m:e>
        </m:nary>
      </m:oMath>
      <w:r>
        <w:tab/>
      </w:r>
      <w:r>
        <w:t xml:space="preserve">(5.4)</w:t>
      </w:r>
    </w:p>
    <w:p>
      <w:pPr>
        <w:pStyle w:val="Normal"/>
      </w:pPr>
      <w:r>
        <w:t xml:space="preserve">Before Eq. (</w:t>
      </w:r>
      <w:r>
        <w:t xml:space="preserve">5.4</w:t>
      </w:r>
      <w:r>
        <w:t xml:space="preserve">) is evaluated, sparse cells are pooled until every expected count reaches 5 </w:t>
      </w:r>
      <w:r>
        <w:t xml:space="preserve">[46]</w:t>
      </w:r>
      <w:r>
        <w:t xml:space="preserve">. Two baselines from Rabanser et al. </w:t>
      </w:r>
      <w:r>
        <w:t xml:space="preserve">[3]</w:t>
      </w:r>
      <w:r>
        <w:t xml:space="preserve"> complete the set: black-box shift detection (BBSD), which applies a KS test to each class probability. The other is a domain classifier, which trains gradient boosted trees to tell 3,000 reference rows from as many window rows and compares its held-out accuracy with </w:t>
      </w:r>
      <m:oMath>
        <m:r>
          <m:t>1</m:t>
        </m:r>
        <m:r>
          <m:rPr>
            <m:sty m:val="p"/>
          </m:rPr>
          <m:t>/</m:t>
        </m:r>
        <m:r>
          <m:t>2</m:t>
        </m:r>
      </m:oMath>
      <w:r>
        <w:t xml:space="preserve"> by an exact binomial test </w:t>
      </w:r>
      <w:r>
        <w:t xml:space="preserve">[10]</w:t>
      </w:r>
      <w:r>
        <w:t xml:space="preserve">.</w:t>
      </w:r>
    </w:p>
    <w:p>
      <w:pPr>
        <w:pStyle w:val="Normal"/>
      </w:pPr>
      <w:r>
        <w:rPr>
          <w:b/>
          <w:bCs/>
        </w:rPr>
        <w:t xml:space="preserve">Localization</w:t>
      </w:r>
      <w:r>
        <w:t xml:space="preserve"> tests every feature on its own, with KS for numeric features and the chi-square test for nominal ones, under Holm correction </w:t>
      </w:r>
      <w:r>
        <w:t xml:space="preserve">[42]</w:t>
      </w:r>
      <w:r>
        <w:t xml:space="preserve">. Holm’s procedure orders the </w:t>
      </w:r>
      <m:oMath>
        <m:r>
          <m:t>m</m:t>
        </m:r>
      </m:oMath>
      <w:r>
        <w:t xml:space="preserve"> p values from smallest to largest and rejects them one by one while the </w:t>
      </w:r>
      <m:oMath>
        <m:r>
          <m:t>i</m:t>
        </m:r>
      </m:oMath>
      <w:r>
        <w:t xml:space="preserve">-th smallest is at most </w:t>
      </w:r>
      <m:oMath>
        <m:r>
          <m:t>α</m:t>
        </m:r>
        <m:r>
          <m:rPr>
            <m:sty m:val="p"/>
          </m:rPr>
          <m:t>/</m:t>
        </m:r>
        <m:r>
          <m:rPr>
            <m:sty m:val="p"/>
          </m:rPr>
          <m:t>(</m:t>
        </m:r>
        <m:r>
          <m:t>m</m:t>
        </m:r>
        <m:r>
          <m:rPr>
            <m:sty m:val="p"/>
          </m:rPr>
          <m:t>−</m:t>
        </m:r>
        <m:r>
          <m:t>i</m:t>
        </m:r>
        <m:r>
          <m:rPr>
            <m:sty m:val="p"/>
          </m:rPr>
          <m:t>+</m:t>
        </m:r>
        <m:r>
          <m:rPr>
            <m:sty m:val="p"/>
          </m:rPr>
          <m:t>1</m:t>
        </m:r>
        <m:r>
          <m:rPr>
            <m:sty m:val="p"/>
          </m:rPr>
          <m:t>)</m:t>
        </m:r>
      </m:oMath>
      <w:r>
        <w:t xml:space="preserve">, which holds the chance of any false rejection at α. Each feature also gets an effect size between 0 and 1: the KS statistic </w:t>
      </w:r>
      <m:oMath>
        <m:r>
          <m:t>D</m:t>
        </m:r>
      </m:oMath>
      <w:r>
        <w:t xml:space="preserve"> or Cramér’s </w:t>
      </w:r>
      <m:oMath>
        <m:r>
          <m:t>V</m:t>
        </m:r>
      </m:oMath>
      <w:r>
        <w:t xml:space="preserve">, given by</w:t>
      </w:r>
    </w:p>
    <w:p>
      <w:pPr>
        <w:pStyle w:val="Equation"/>
      </w:pPr>
      <w:r>
        <w:tab/>
      </w:r>
      <m:oMath>
        <m:r>
          <m:t>V</m:t>
        </m:r>
        <m:r>
          <m:rPr>
            <m:sty m:val="p"/>
          </m:rPr>
          <m:t>=</m:t>
        </m:r>
        <m:rad>
          <m:radPr>
            <m:degHide m:val="on"/>
          </m:radPr>
          <m:deg/>
          <m:e>
            <m:f>
              <m:fPr>
                <m:type m:val="bar"/>
              </m:fPr>
              <m:num>
                <m:sSup>
                  <m:e>
                    <m:r>
                      <m:t>χ</m:t>
                    </m:r>
                  </m:e>
                  <m:sup>
                    <m:r>
                      <m:rPr>
                        <m:sty m:val="p"/>
                      </m:rPr>
                      <m:t>2</m:t>
                    </m:r>
                  </m:sup>
                </m:sSup>
              </m:num>
              <m:den>
                <m:r>
                  <m:t>n</m:t>
                </m:r>
                <m:r>
                  <m:rPr>
                    <m:sty m:val="p"/>
                  </m:rPr>
                  <m:t> </m:t>
                </m:r>
                <m:r>
                  <m:rPr>
                    <m:sty m:val="p"/>
                  </m:rPr>
                  <m:t>(</m:t>
                </m:r>
                <m:r>
                  <m:t>k</m:t>
                </m:r>
                <m:r>
                  <m:rPr>
                    <m:sty m:val="p"/>
                  </m:rPr>
                  <m:t>−</m:t>
                </m:r>
                <m:r>
                  <m:rPr>
                    <m:sty m:val="p"/>
                  </m:rPr>
                  <m:t>1</m:t>
                </m:r>
                <m:r>
                  <m:rPr>
                    <m:sty m:val="p"/>
                  </m:rPr>
                  <m:t>)</m:t>
                </m:r>
              </m:den>
            </m:f>
          </m:e>
        </m:rad>
      </m:oMath>
      <w:r>
        <w:tab/>
      </w:r>
      <w:r>
        <w:t xml:space="preserve">(5.5)</w:t>
      </w:r>
    </w:p>
    <w:p>
      <w:pPr>
        <w:pStyle w:val="Normal"/>
      </w:pPr>
      <w:r>
        <w:t xml:space="preserve">where </w:t>
      </w:r>
      <m:oMath>
        <m:r>
          <m:t>n</m:t>
        </m:r>
      </m:oMath>
      <w:r>
        <w:t xml:space="preserve"> is the number of rows and </w:t>
      </w:r>
      <m:oMath>
        <m:r>
          <m:t>k</m:t>
        </m:r>
      </m:oMath>
      <w:r>
        <w:t xml:space="preserve"> the number of categories, so that Eq. (</w:t>
      </w:r>
      <w:r>
        <w:t xml:space="preserve">5.5</w:t>
      </w:r>
      <w:r>
        <w:t xml:space="preserve">) is 0 when the category shares agree and grows towards 1 as they separate. For nominal features the share of window rows whose category never occurs in the reference is reported as well, which is how new occupation codes show up.</w:t>
      </w:r>
    </w:p>
    <w:p>
      <w:pPr>
        <w:pStyle w:val="Heading3"/>
      </w:pPr>
      <w:r>
        <w:t xml:space="preserve">5.2.2 Accuracy Estimation</w:t>
      </w:r>
    </w:p>
    <w:p>
      <w:pPr>
        <w:pStyle w:val="Normal"/>
      </w:pPr>
      <w:r>
        <w:t xml:space="preserve">Labels arrive late, so the accuracy is first estimated from the model’s own confidence with confidence-based performance estimation (CBPE) </w:t>
      </w:r>
      <w:r>
        <w:t xml:space="preserve">[12]</w:t>
      </w:r>
      <w:r>
        <w:t xml:space="preserve">. A map </w:t>
      </w:r>
      <m:oMath>
        <m:r>
          <m:t>a</m:t>
        </m:r>
        <m:r>
          <m:rPr>
            <m:sty m:val="p"/>
          </m:rPr>
          <m:t>(</m:t>
        </m:r>
        <m:r>
          <m:rPr>
            <m:sty m:val="p"/>
          </m:rPr>
          <m:t>⋅</m:t>
        </m:r>
        <m:r>
          <m:rPr>
            <m:sty m:val="p"/>
          </m:rPr>
          <m:t>)</m:t>
        </m:r>
      </m:oMath>
      <w:r>
        <w:t xml:space="preserve"> from confidence to the probability of a correct prediction is fitted by histogram binning on the calibration part. For a window with confidences </w:t>
      </w:r>
      <m:oMath>
        <m:sSub>
          <m:e>
            <m:r>
              <m:t>c</m:t>
            </m:r>
          </m:e>
          <m:sub>
            <m:r>
              <m:t>1</m:t>
            </m:r>
          </m:sub>
        </m:sSub>
      </m:oMath>
      <w:r>
        <w:t xml:space="preserve"> to </w:t>
      </w:r>
      <m:oMath>
        <m:sSub>
          <m:e>
            <m:r>
              <m:t>c</m:t>
            </m:r>
          </m:e>
          <m:sub>
            <m:r>
              <m:t>n</m:t>
            </m:r>
          </m:sub>
        </m:sSub>
      </m:oMath>
      <w:r>
        <w:t xml:space="preserve">, the estimate </w:t>
      </w:r>
      <m:oMath>
        <m:acc>
          <m:accPr>
            <m:chr m:val="̂"/>
          </m:accPr>
          <m:e>
            <m:r>
              <m:t>A</m:t>
            </m:r>
          </m:e>
        </m:acc>
      </m:oMath>
      <w:r>
        <w:t xml:space="preserve"> is given by</w:t>
      </w:r>
    </w:p>
    <w:p>
      <w:pPr>
        <w:pStyle w:val="Equation"/>
      </w:pPr>
      <w:r>
        <w:tab/>
      </w:r>
      <m:oMath>
        <m:acc>
          <m:accPr>
            <m:chr m:val="̂"/>
          </m:accPr>
          <m:e>
            <m:r>
              <m:t>A</m:t>
            </m:r>
          </m:e>
        </m:acc>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r>
              <m:t>a</m:t>
            </m:r>
          </m:e>
        </m:nary>
        <m:r>
          <m:rPr>
            <m:sty m:val="p"/>
          </m:rPr>
          <m:t>(</m:t>
        </m:r>
        <m:sSub>
          <m:e>
            <m:r>
              <m:t>c</m:t>
            </m:r>
          </m:e>
          <m:sub>
            <m:r>
              <m:t>i</m:t>
            </m:r>
          </m:sub>
        </m:sSub>
        <m:r>
          <m:rPr>
            <m:sty m:val="p"/>
          </m:rPr>
          <m:t>)</m:t>
        </m:r>
      </m:oMath>
      <w:r>
        <w:t xml:space="preserve">.</w:t>
      </w:r>
      <w:r>
        <w:tab/>
      </w:r>
      <w:r>
        <w:t xml:space="preserve">(5.6)</w:t>
      </w:r>
    </w:p>
    <w:p>
      <w:pPr>
        <w:pStyle w:val="Normal"/>
      </w:pPr>
      <w:r>
        <w:t xml:space="preserve">Three alternatives to Eq. (</w:t>
      </w:r>
      <w:r>
        <w:t xml:space="preserve">5.6</w:t>
      </w:r>
      <w:r>
        <w:t xml:space="preserve">) are fitted on the same calibration part for comparison: average confidence (AC) </w:t>
      </w:r>
      <w:r>
        <w:t xml:space="preserve">[22]</w:t>
      </w:r>
      <w:r>
        <w:t xml:space="preserve">, difference of confidences (DoC) </w:t>
      </w:r>
      <w:r>
        <w:t xml:space="preserve">[23]</w:t>
      </w:r>
      <w:r>
        <w:t xml:space="preserve"> and average thresholded confidence (ATC) with the negative entropy score </w:t>
      </w:r>
      <w:r>
        <w:t xml:space="preserve">[24]</w:t>
      </w:r>
      <w:r>
        <w:t xml:space="preserve">. All four assume that the link between confidence and accuracy survives the shift, so the estimate is read as an upper bound when that assumption fails.</w:t>
      </w:r>
    </w:p>
    <w:p>
      <w:pPr>
        <w:pStyle w:val="Heading3"/>
      </w:pPr>
      <w:r>
        <w:t xml:space="preserve">5.2.3 Drift Type Diagnosis</w:t>
      </w:r>
    </w:p>
    <w:p>
      <w:pPr>
        <w:pStyle w:val="Normal"/>
      </w:pPr>
      <w:r>
        <w:t xml:space="preserve">The diagnosis turns an alarm into one of the four drift types and thereby into a response. Fig. </w:t>
      </w:r>
      <w:r>
        <w:t xml:space="preserve">5.2</w:t>
      </w:r>
      <w:r>
        <w:t xml:space="preserve"> shows its decision path.</w:t>
      </w:r>
    </w:p>
    <w:p>
      <w:pPr>
        <w:pStyle w:val="FigureBody"/>
      </w:pPr>
      <w:r>
        <w:drawing>
          <wp:inline distT="0" distB="0" distL="0" distR="0">
            <wp:extent cx="4500000" cy="2481500"/>
            <wp:docPr id="1009" name="Figure 5.2" descr="Fig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 name="decision_path.png"/>
                    <pic:cNvPicPr/>
                  </pic:nvPicPr>
                  <pic:blipFill>
                    <a:blip r:embed="rIdI9"/>
                    <a:stretch>
                      <a:fillRect/>
                    </a:stretch>
                  </pic:blipFill>
                  <pic:spPr>
                    <a:xfrm>
                      <a:off x="0" y="0"/>
                      <a:ext cx="4500000" cy="2481500"/>
                    </a:xfrm>
                    <a:prstGeom prst="rect">
                      <a:avLst/>
                    </a:prstGeom>
                  </pic:spPr>
                </pic:pic>
              </a:graphicData>
            </a:graphic>
          </wp:inline>
        </w:drawing>
      </w:r>
    </w:p>
    <w:p>
      <w:pPr>
        <w:pStyle w:val="FigureCaption"/>
        <w:jc w:val="both"/>
      </w:pPr>
      <w:r>
        <w:rPr>
          <w:b/>
          <w:bCs/>
        </w:rPr>
        <w:t xml:space="preserve">Fig. 5.2: </w:t>
      </w:r>
      <w:r>
        <w:t xml:space="preserve">Decision path that names the drift type. Questions are shown in white boxes and verdicts in gray boxes; the upper row needs no labels and the lower row uses the audit</w:t>
      </w:r>
    </w:p>
    <w:p>
      <w:pPr>
        <w:pStyle w:val="Normal"/>
      </w:pPr>
      <w:r>
        <w:t xml:space="preserve">The questions in the upper row use no labels and separate covariate shift from prior shift. The lower row separates concept drift from label noise and runs only when no label-free test rejects and an audit is available. Each stage is tested at level α, so a window without drift receives a drift verdict with probability at most 2α.</w:t>
      </w:r>
    </w:p>
    <w:p>
      <w:pPr>
        <w:pStyle w:val="Normal"/>
      </w:pPr>
      <w:r>
        <w:rPr>
          <w:b/>
          <w:bCs/>
        </w:rPr>
        <w:t xml:space="preserve">Label-free stage.</w:t>
      </w:r>
      <w:r>
        <w:t xml:space="preserve"> The first question is whether anything has moved at all. Three blocks of tests answer it: the feature tests, a chi-square test on the predicted labels and the MMD test. They form one family tested at level α with a weighted Holm procedure. The weight starts out split evenly, one third per block and inside the feature block it is divided again among the individual features. A test that rejects hands its weight on to the tests still waiting, which is how the family-wise error rate survives every label-free decision. Pooling in this way matters because a permutation test cannot return a p value below </w:t>
      </w:r>
      <m:oMath>
        <m:r>
          <m:t>1</m:t>
        </m:r>
        <m:r>
          <m:rPr>
            <m:sty m:val="p"/>
          </m:rPr>
          <m:t>/</m:t>
        </m:r>
        <m:r>
          <m:rPr>
            <m:sty m:val="p"/>
          </m:rPr>
          <m:t>(</m:t>
        </m:r>
        <m:r>
          <m:t>B</m:t>
        </m:r>
        <m:r>
          <m:rPr>
            <m:sty m:val="p"/>
          </m:rPr>
          <m:t>+</m:t>
        </m:r>
        <m:r>
          <m:t>1</m:t>
        </m:r>
        <m:r>
          <m:rPr>
            <m:sty m:val="p"/>
          </m:rPr>
          <m:t>)</m:t>
        </m:r>
      </m:oMath>
      <w:r>
        <w:t xml:space="preserve">; without pooling, the MMD test would have little chance against dozens of feature tests.</w:t>
      </w:r>
    </w:p>
    <w:p>
      <w:pPr>
        <w:pStyle w:val="Normal"/>
      </w:pPr>
      <w:r>
        <w:t xml:space="preserve">A rejection raises the next question: could a change in the class balance alone produce what we see? Black-box shift estimation (BBSE) </w:t>
      </w:r>
      <w:r>
        <w:t xml:space="preserve">[11]</w:t>
      </w:r>
      <w:r>
        <w:t xml:space="preserve"> first estimates the new class prior. Let </w:t>
      </w:r>
      <m:oMath>
        <m:sSub>
          <m:e>
            <m:r>
              <m:t>C</m:t>
            </m:r>
          </m:e>
          <m:sub>
            <m:r>
              <m:t>j</m:t>
            </m:r>
            <m:r>
              <m:t>k</m:t>
            </m:r>
          </m:sub>
        </m:sSub>
        <m:r>
          <m:rPr>
            <m:sty m:val="p"/>
          </m:rPr>
          <m:t>=</m:t>
        </m:r>
        <m:r>
          <m:t>P</m:t>
        </m:r>
        <m:r>
          <m:rPr>
            <m:sty m:val="p"/>
          </m:rPr>
          <m:t>(</m:t>
        </m:r>
        <m:acc>
          <m:accPr>
            <m:chr m:val="̂"/>
          </m:accPr>
          <m:e>
            <m:r>
              <m:t>y</m:t>
            </m:r>
          </m:e>
        </m:acc>
        <m:r>
          <m:rPr>
            <m:sty m:val="p"/>
          </m:rPr>
          <m:t>=</m:t>
        </m:r>
        <m:r>
          <m:t>j</m:t>
        </m:r>
        <m:r>
          <m:rPr>
            <m:sty m:val="p"/>
          </m:rPr>
          <m:t>,</m:t>
        </m:r>
        <m:r>
          <m:t>y</m:t>
        </m:r>
        <m:r>
          <m:rPr>
            <m:sty m:val="p"/>
          </m:rPr>
          <m:t>=</m:t>
        </m:r>
        <m:r>
          <m:t>k</m:t>
        </m:r>
        <m:r>
          <m:rPr>
            <m:sty m:val="p"/>
          </m:rPr>
          <m:t>)</m:t>
        </m:r>
      </m:oMath>
      <w:r>
        <w:t xml:space="preserve"> on the calibration part and let </w:t>
      </w:r>
      <m:oMath>
        <m:sSub>
          <m:e>
            <m:r>
              <m:t>μ</m:t>
            </m:r>
          </m:e>
          <m:sub>
            <m:r>
              <m:t>j</m:t>
            </m:r>
          </m:sub>
        </m:sSub>
      </m:oMath>
      <w:r>
        <w:t xml:space="preserve"> be the share of window predictions that fall in class </w:t>
      </w:r>
      <m:oMath>
        <m:r>
          <m:t>j</m:t>
        </m:r>
      </m:oMath>
      <w:r>
        <w:t xml:space="preserve">. The class weights </w:t>
      </w:r>
      <m:oMath>
        <m:sSub>
          <m:e>
            <m:r>
              <m:t>w</m:t>
            </m:r>
          </m:e>
          <m:sub>
            <m:r>
              <m:t>k</m:t>
            </m:r>
          </m:sub>
        </m:sSub>
        <m:r>
          <m:rPr>
            <m:sty m:val="p"/>
          </m:rPr>
          <m:t>=</m:t>
        </m:r>
        <m:r>
          <m:t>Q</m:t>
        </m:r>
        <m:r>
          <m:rPr>
            <m:sty m:val="p"/>
          </m:rPr>
          <m:t>(</m:t>
        </m:r>
        <m:r>
          <m:t>Y</m:t>
        </m:r>
        <m:r>
          <m:rPr>
            <m:sty m:val="p"/>
          </m:rPr>
          <m:t>=</m:t>
        </m:r>
        <m:r>
          <m:t>k</m:t>
        </m:r>
        <m:r>
          <m:rPr>
            <m:sty m:val="p"/>
          </m:rPr>
          <m:t>)</m:t>
        </m:r>
        <m:r>
          <m:rPr>
            <m:sty m:val="p"/>
          </m:rPr>
          <m:t>/</m:t>
        </m:r>
        <m:r>
          <m:t>P</m:t>
        </m:r>
        <m:r>
          <m:rPr>
            <m:sty m:val="p"/>
          </m:rPr>
          <m:t>(</m:t>
        </m:r>
        <m:r>
          <m:t>Y</m:t>
        </m:r>
        <m:r>
          <m:rPr>
            <m:sty m:val="p"/>
          </m:rPr>
          <m:t>=</m:t>
        </m:r>
        <m:r>
          <m:t>k</m:t>
        </m:r>
        <m:r>
          <m:rPr>
            <m:sty m:val="p"/>
          </m:rPr>
          <m:t>)</m:t>
        </m:r>
      </m:oMath>
      <w:r>
        <w:t xml:space="preserve"> are given by the solution of</w:t>
      </w:r>
    </w:p>
    <w:p>
      <w:pPr>
        <w:pStyle w:val="Equation"/>
      </w:pPr>
      <w:r>
        <w:tab/>
      </w:r>
      <m:oMath>
        <m:r>
          <m:t>C</m:t>
        </m:r>
        <m:r>
          <m:t> </m:t>
        </m:r>
        <m:r>
          <m:t>w</m:t>
        </m:r>
        <m:r>
          <m:rPr>
            <m:sty m:val="p"/>
          </m:rPr>
          <m:t>=</m:t>
        </m:r>
        <m:r>
          <m:t>μ</m:t>
        </m:r>
      </m:oMath>
      <w:r>
        <w:t xml:space="preserve">.</w:t>
      </w:r>
      <w:r>
        <w:tab/>
      </w:r>
      <w:r>
        <w:t xml:space="preserve">(5.7)</w:t>
      </w:r>
    </w:p>
    <w:p>
      <w:pPr>
        <w:pStyle w:val="Normal"/>
      </w:pPr>
      <w:r>
        <w:t xml:space="preserve">If the shift really is a pure prior shift, each class keeps its own input distribution and reweighting every reference row by the weight of its class, as given by Eq. (</w:t>
      </w:r>
      <w:r>
        <w:t xml:space="preserve">5.7</w:t>
      </w:r>
      <w:r>
        <w:t xml:space="preserve">), ought to reproduce the window’s inputs. The label shift consistency test checks this, borrowing the prevalence adjustment idea of Roschewitz et al. </w:t>
      </w:r>
      <w:r>
        <w:t xml:space="preserve">[21]</w:t>
      </w:r>
      <w:r>
        <w:t xml:space="preserve">: the feature tests are repeated against the weighted reference, using Kish’s effective sample size </w:t>
      </w:r>
      <w:r>
        <w:t xml:space="preserve">[47]</w:t>
      </w:r>
      <w:r>
        <w:t xml:space="preserve"> and Holm correction. A feature that still differs carries a covariate shift. If no feature differs and the predicted labels have moved, the shift is a prior shift. Algorithm </w:t>
      </w:r>
      <w:r>
        <w:t xml:space="preserve">5.2</w:t>
      </w:r>
      <w:r>
        <w:t xml:space="preserve"> gives the stage in full.</w:t>
      </w:r>
    </w:p>
    <w:p>
      <w:pPr>
        <w:pStyle w:val="AlgCaption"/>
      </w:pPr>
      <w:r>
        <w:rPr>
          <w:b/>
          <w:bCs/>
        </w:rPr>
        <w:t xml:space="preserve">Algorithm 5.2: </w:t>
      </w:r>
      <w:r>
        <w:t xml:space="preserve">Label-free diagnosis</w:t>
      </w:r>
    </w:p>
    <w:p>
      <w:pPr>
        <w:pStyle w:val="Code"/>
        <w:keepNext/>
        <w:pBdr>
          <w:top w:val="single" w:sz="6" w:space="4" w:color="000000"/>
        </w:pBdr>
        <w:ind w:left="240"/>
      </w:pPr>
      <w:r>
        <w:rPr>
          <w:rFonts w:ascii="Courier New" w:hAnsi="Courier New" w:cs="Courier New"/>
        </w:rPr>
        <w:t xml:space="preserve">Input:  calibration part R (with labels and predictions), window W (predictions only), level alpha</w:t>
      </w:r>
    </w:p>
    <w:p>
      <w:pPr>
        <w:pStyle w:val="Code"/>
        <w:keepNext/>
        <w:ind w:left="240"/>
      </w:pPr>
      <w:r>
        <w:rPr>
          <w:rFonts w:ascii="Courier New" w:hAnsi="Courier New" w:cs="Courier New"/>
        </w:rPr>
        <w:t xml:space="preserve">Output: verdict in {no shift, covariate, prior}, shifted features</w:t>
      </w:r>
    </w:p>
    <w:p>
      <w:pPr>
        <w:pStyle w:val="Code"/>
        <w:keepNext/>
        <w:ind w:left="240"/>
      </w:pPr>
      <w:r>
        <w:rPr>
          <w:rFonts w:ascii="Courier New" w:hAnsi="Courier New" w:cs="Courier New"/>
        </w:rPr>
        <w:t xml:space="preserve">1  p_f ← per-feature tests of W against R (KS or chi-square)</w:t>
      </w:r>
    </w:p>
    <w:p>
      <w:pPr>
        <w:pStyle w:val="Code"/>
        <w:keepNext/>
        <w:ind w:left="240"/>
      </w:pPr>
      <w:r>
        <w:rPr>
          <w:rFonts w:ascii="Courier New" w:hAnsi="Courier New" w:cs="Courier New"/>
        </w:rPr>
        <w:t xml:space="preserve">2  p_y ← chi-square test of the predicted labels</w:t>
      </w:r>
    </w:p>
    <w:p>
      <w:pPr>
        <w:pStyle w:val="Code"/>
        <w:keepNext/>
        <w:ind w:left="240"/>
      </w:pPr>
      <w:r>
        <w:rPr>
          <w:rFonts w:ascii="Courier New" w:hAnsi="Courier New" w:cs="Courier New"/>
        </w:rPr>
        <w:t xml:space="preserve">3  p_m ← MMD permutation test</w:t>
      </w:r>
    </w:p>
    <w:p>
      <w:pPr>
        <w:pStyle w:val="Code"/>
        <w:keepNext/>
        <w:ind w:left="240"/>
      </w:pPr>
      <w:r>
        <w:rPr>
          <w:rFonts w:ascii="Courier New" w:hAnsi="Courier New" w:cs="Courier New"/>
        </w:rPr>
        <w:t xml:space="preserve">4  weights: 1/3 per block, the feature block’s third split evenly over features</w:t>
      </w:r>
    </w:p>
    <w:p>
      <w:pPr>
        <w:pStyle w:val="Code"/>
        <w:keepNext/>
        <w:ind w:left="240"/>
      </w:pPr>
      <w:r>
        <w:rPr>
          <w:rFonts w:ascii="Courier New" w:hAnsi="Courier New" w:cs="Courier New"/>
        </w:rPr>
        <w:t xml:space="preserve">5  rejected ← weighted Holm(p_f, p_y, p_m, weights, alpha)</w:t>
      </w:r>
    </w:p>
    <w:p>
      <w:pPr>
        <w:pStyle w:val="Code"/>
        <w:keepNext/>
        <w:ind w:left="240"/>
      </w:pPr>
      <w:r>
        <w:rPr>
          <w:rFonts w:ascii="Courier New" w:hAnsi="Courier New" w:cs="Courier New"/>
        </w:rPr>
        <w:t xml:space="preserve">6  if nothing is rejected then return no shift</w:t>
      </w:r>
    </w:p>
    <w:p>
      <w:pPr>
        <w:pStyle w:val="Code"/>
        <w:keepNext/>
        <w:ind w:left="240"/>
      </w:pPr>
      <w:r>
        <w:rPr>
          <w:rFonts w:ascii="Courier New" w:hAnsi="Courier New" w:cs="Courier New"/>
        </w:rPr>
        <w:t xml:space="preserve">7  w ← BBSE class weights: solve C w = mu</w:t>
      </w:r>
    </w:p>
    <w:p>
      <w:pPr>
        <w:pStyle w:val="Code"/>
        <w:keepNext/>
        <w:ind w:left="240"/>
      </w:pPr>
      <w:r>
        <w:rPr>
          <w:rFonts w:ascii="Courier New" w:hAnsi="Courier New" w:cs="Courier New"/>
        </w:rPr>
        <w:t xml:space="preserve">8  p_r ← per-feature tests of W against R weighted by w (Kish sample size)</w:t>
      </w:r>
    </w:p>
    <w:p>
      <w:pPr>
        <w:pStyle w:val="Code"/>
        <w:keepNext/>
        <w:ind w:left="240"/>
      </w:pPr>
      <w:r>
        <w:rPr>
          <w:rFonts w:ascii="Courier New" w:hAnsi="Courier New" w:cs="Courier New"/>
        </w:rPr>
        <w:t xml:space="preserve">9  residual ← features rejected by Holm(p_r, alpha)</w:t>
      </w:r>
    </w:p>
    <w:p>
      <w:pPr>
        <w:pStyle w:val="Code"/>
        <w:keepNext/>
        <w:ind w:left="240"/>
      </w:pPr>
      <w:r>
        <w:rPr>
          <w:rFonts w:ascii="Courier New" w:hAnsi="Courier New" w:cs="Courier New"/>
        </w:rPr>
        <w:t xml:space="preserve">10 if residual is not empty then return covariate, residual features</w:t>
      </w:r>
    </w:p>
    <w:p>
      <w:pPr>
        <w:pStyle w:val="Code"/>
        <w:keepNext/>
        <w:ind w:left="240"/>
      </w:pPr>
      <w:r>
        <w:rPr>
          <w:rFonts w:ascii="Courier New" w:hAnsi="Courier New" w:cs="Courier New"/>
        </w:rPr>
        <w:t xml:space="preserve">11 if the predicted labels moved then return prior</w:t>
      </w:r>
    </w:p>
    <w:p>
      <w:pPr>
        <w:pStyle w:val="Code"/>
        <w:pBdr>
          <w:bottom w:val="single" w:sz="6" w:space="4" w:color="000000"/>
        </w:pBdr>
        <w:ind w:left="240"/>
      </w:pPr>
      <w:r>
        <w:rPr>
          <w:rFonts w:ascii="Courier New" w:hAnsi="Courier New" w:cs="Courier New"/>
        </w:rPr>
        <w:t xml:space="preserve">12 return covariate (joint shift seen by MMD only)</w:t>
      </w:r>
    </w:p>
    <w:p>
      <w:pPr>
        <w:spacing w:before="0" w:after="120" w:line="240" w:lineRule="auto"/>
      </w:pPr>
    </w:p>
    <w:p>
      <w:pPr>
        <w:pStyle w:val="Normal"/>
      </w:pPr>
      <w:r>
        <w:rPr>
          <w:b/>
          <w:bCs/>
        </w:rPr>
        <w:t xml:space="preserve">Audit stage.</w:t>
      </w:r>
      <w:r>
        <w:t xml:space="preserve"> Concept drift and label noise do not touch the inputs or the model outputs, so only labels can reveal them. The audit draws </w:t>
      </w:r>
      <m:oMath>
        <m:r>
          <m:t>m</m:t>
        </m:r>
      </m:oMath>
      <w:r>
        <w:t xml:space="preserve"> late labels (here 600) and first checks, with a one-sided two-proportion test, whether accuracy has dropped against the calibration part. If it has, the next question is whether the change in errors depends on a feature. A logistic model of whether a prediction is correct is fitted on the calibration rows and the audit rows together. Its null form holds 5 confidence bins at reference quantiles, bins of a feature </w:t>
      </w:r>
      <m:oMath>
        <m:r>
          <m:t>f</m:t>
        </m:r>
      </m:oMath>
      <w:r>
        <w:t xml:space="preserve">, an audit indicator and the interaction of that indicator with the confidence bins. The alternative adds the interaction of the indicator with the bins of </w:t>
      </w:r>
      <m:oMath>
        <m:r>
          <m:t>f</m:t>
        </m:r>
      </m:oMath>
      <w:r>
        <w:t xml:space="preserve">. A likelihood ratio test compares the two for each feature, with Holm correction across features.</w:t>
      </w:r>
    </w:p>
    <w:p>
      <w:pPr>
        <w:pStyle w:val="Normal"/>
      </w:pPr>
      <w:r>
        <w:t xml:space="preserve">The confidence term is what separates the two types. In a binary task, uniform label noise at rate </w:t>
      </w:r>
      <m:oMath>
        <m:r>
          <m:t>r</m:t>
        </m:r>
      </m:oMath>
      <w:r>
        <w:t xml:space="preserve"> makes the probability of a correct prediction equal to</w:t>
      </w:r>
    </w:p>
    <w:p>
      <w:pPr>
        <w:pStyle w:val="Equation"/>
      </w:pPr>
      <w:r>
        <w:tab/>
      </w:r>
      <m:oMath>
        <m:r>
          <m:t>P</m:t>
        </m:r>
        <m:r>
          <m:rPr>
            <m:sty m:val="p"/>
          </m:rPr>
          <m:t>(</m:t>
        </m:r>
        <m:r>
          <m:rPr>
            <m:sty m:val="p"/>
          </m:rPr>
          <m:t>correct</m:t>
        </m:r>
        <m:r>
          <m:rPr>
            <m:sty m:val="p"/>
          </m:rPr>
          <m:t>∣</m:t>
        </m:r>
        <m:r>
          <m:t>x</m:t>
        </m:r>
        <m:r>
          <m:rPr>
            <m:sty m:val="p"/>
          </m:rPr>
          <m:t>)</m:t>
        </m:r>
        <m:r>
          <m:rPr>
            <m:sty m:val="p"/>
          </m:rPr>
          <m:t>=</m:t>
        </m:r>
        <m:r>
          <m:t>r</m:t>
        </m:r>
        <m:r>
          <m:rPr>
            <m:sty m:val="p"/>
          </m:rPr>
          <m:t>+</m:t>
        </m:r>
        <m:r>
          <m:rPr>
            <m:sty m:val="p"/>
          </m:rPr>
          <m:t>(</m:t>
        </m:r>
        <m:r>
          <m:rPr>
            <m:sty m:val="p"/>
          </m:rPr>
          <m:t>1</m:t>
        </m:r>
        <m:r>
          <m:rPr>
            <m:sty m:val="p"/>
          </m:rPr>
          <m:t>−</m:t>
        </m:r>
        <m:r>
          <m:rPr>
            <m:sty m:val="p"/>
          </m:rPr>
          <m:t>2</m:t>
        </m:r>
        <m:r>
          <m:t>r</m:t>
        </m:r>
        <m:r>
          <m:rPr>
            <m:sty m:val="p"/>
          </m:rPr>
          <m:t>)</m:t>
        </m:r>
        <m:r>
          <m:rPr>
            <m:sty m:val="p"/>
          </m:rPr>
          <m:t> </m:t>
        </m:r>
        <m:r>
          <m:t>q</m:t>
        </m:r>
        <m:r>
          <m:rPr>
            <m:sty m:val="p"/>
          </m:rPr>
          <m:t>(</m:t>
        </m:r>
        <m:r>
          <m:t>x</m:t>
        </m:r>
        <m:r>
          <m:rPr>
            <m:sty m:val="p"/>
          </m:rPr>
          <m:t>)</m:t>
        </m:r>
      </m:oMath>
      <w:r>
        <w:tab/>
      </w:r>
      <w:r>
        <w:t xml:space="preserve">(5.8)</w:t>
      </w:r>
    </w:p>
    <w:p>
      <w:pPr>
        <w:pStyle w:val="Normal"/>
      </w:pPr>
      <w:r>
        <w:t xml:space="preserve">where </w:t>
      </w:r>
      <m:oMath>
        <m:r>
          <m:t>q</m:t>
        </m:r>
        <m:r>
          <m:rPr>
            <m:sty m:val="p"/>
          </m:rPr>
          <m:t>(</m:t>
        </m:r>
        <m:r>
          <m:t>x</m:t>
        </m:r>
        <m:r>
          <m:rPr>
            <m:sty m:val="p"/>
          </m:rPr>
          <m:t>)</m:t>
        </m:r>
      </m:oMath>
      <w:r>
        <w:t xml:space="preserve"> is the model’s own probability of being right at </w:t>
      </w:r>
      <m:oMath>
        <m:r>
          <m:t>x</m:t>
        </m:r>
      </m:oMath>
      <w:r>
        <w:t xml:space="preserve">. Under label noise the change in errors therefore depends on </w:t>
      </w:r>
      <m:oMath>
        <m:r>
          <m:t>x</m:t>
        </m:r>
      </m:oMath>
      <w:r>
        <w:t xml:space="preserve"> only through </w:t>
      </w:r>
      <m:oMath>
        <m:r>
          <m:t>q</m:t>
        </m:r>
        <m:r>
          <m:rPr>
            <m:sty m:val="p"/>
          </m:rPr>
          <m:t>(</m:t>
        </m:r>
        <m:r>
          <m:t>x</m:t>
        </m:r>
        <m:r>
          <m:rPr>
            <m:sty m:val="p"/>
          </m:rPr>
          <m:t>)</m:t>
        </m:r>
      </m:oMath>
      <w:r>
        <w:t xml:space="preserve">, which the confidence bins of the null absorb. Concept drift, by contrast, moves the errors inside a region of some feature, so a feature that stays significant after correction points to concept drift. If no feature is significant, the verdict is label noise, as Eq. (</w:t>
      </w:r>
      <w:r>
        <w:t xml:space="preserve">5.8</w:t>
      </w:r>
      <w:r>
        <w:t xml:space="preserve">) predicts. Algorithm </w:t>
      </w:r>
      <w:r>
        <w:t xml:space="preserve">5.3</w:t>
      </w:r>
      <w:r>
        <w:t xml:space="preserve"> gives the stage.</w:t>
      </w:r>
    </w:p>
    <w:p>
      <w:pPr>
        <w:pStyle w:val="AlgCaption"/>
      </w:pPr>
      <w:r>
        <w:rPr>
          <w:b/>
          <w:bCs/>
        </w:rPr>
        <w:t xml:space="preserve">Algorithm 5.3: </w:t>
      </w:r>
      <w:r>
        <w:t xml:space="preserve">Audit diagnosis</w:t>
      </w:r>
    </w:p>
    <w:p>
      <w:pPr>
        <w:pStyle w:val="Code"/>
        <w:keepNext/>
        <w:pBdr>
          <w:top w:val="single" w:sz="6" w:space="4" w:color="000000"/>
        </w:pBdr>
        <w:ind w:left="240"/>
      </w:pPr>
      <w:r>
        <w:rPr>
          <w:rFonts w:ascii="Courier New" w:hAnsi="Courier New" w:cs="Courier New"/>
        </w:rPr>
        <w:t xml:space="preserve">Input:  model M, calibration part R with labels, audit sample (X_a, y_a), level alpha</w:t>
      </w:r>
    </w:p>
    <w:p>
      <w:pPr>
        <w:pStyle w:val="Code"/>
        <w:keepNext/>
        <w:ind w:left="240"/>
      </w:pPr>
      <w:r>
        <w:rPr>
          <w:rFonts w:ascii="Courier New" w:hAnsi="Courier New" w:cs="Courier New"/>
        </w:rPr>
        <w:t xml:space="preserve">Output: verdict in {no drift, concept, label noise}</w:t>
      </w:r>
    </w:p>
    <w:p>
      <w:pPr>
        <w:pStyle w:val="Code"/>
        <w:keepNext/>
        <w:ind w:left="240"/>
      </w:pPr>
      <w:r>
        <w:rPr>
          <w:rFonts w:ascii="Courier New" w:hAnsi="Courier New" w:cs="Courier New"/>
        </w:rPr>
        <w:t xml:space="preserve">1  correct_R, correct_a ← whether M is right on R and on the audit</w:t>
      </w:r>
    </w:p>
    <w:p>
      <w:pPr>
        <w:pStyle w:val="Code"/>
        <w:keepNext/>
        <w:ind w:left="240"/>
      </w:pPr>
      <w:r>
        <w:rPr>
          <w:rFonts w:ascii="Courier New" w:hAnsi="Courier New" w:cs="Courier New"/>
        </w:rPr>
        <w:t xml:space="preserve">2  if the one-sided two-proportion test finds no drop in accuracy then</w:t>
      </w:r>
    </w:p>
    <w:p>
      <w:pPr>
        <w:pStyle w:val="Code"/>
        <w:keepNext/>
        <w:ind w:left="240"/>
      </w:pPr>
      <w:r>
        <w:rPr>
          <w:rFonts w:ascii="Courier New" w:hAnsi="Courier New" w:cs="Courier New"/>
        </w:rPr>
        <w:t xml:space="preserve">3      return no drift</w:t>
      </w:r>
    </w:p>
    <w:p>
      <w:pPr>
        <w:pStyle w:val="Code"/>
        <w:keepNext/>
        <w:ind w:left="240"/>
      </w:pPr>
      <w:r>
        <w:rPr>
          <w:rFonts w:ascii="Courier New" w:hAnsi="Courier New" w:cs="Courier New"/>
        </w:rPr>
        <w:t xml:space="preserve">4  for each feature f do</w:t>
      </w:r>
    </w:p>
    <w:p>
      <w:pPr>
        <w:pStyle w:val="Code"/>
        <w:keepNext/>
        <w:ind w:left="240"/>
      </w:pPr>
      <w:r>
        <w:rPr>
          <w:rFonts w:ascii="Courier New" w:hAnsi="Courier New" w:cs="Courier New"/>
        </w:rPr>
        <w:t xml:space="preserve">5      null: logit P(correct) = confidence bins + bins(f) + audit + audit:confidence bins</w:t>
      </w:r>
    </w:p>
    <w:p>
      <w:pPr>
        <w:pStyle w:val="Code"/>
        <w:keepNext/>
        <w:ind w:left="240"/>
      </w:pPr>
      <w:r>
        <w:rPr>
          <w:rFonts w:ascii="Courier New" w:hAnsi="Courier New" w:cs="Courier New"/>
        </w:rPr>
        <w:t xml:space="preserve">6      alternative: null + audit:bins(f)</w:t>
      </w:r>
    </w:p>
    <w:p>
      <w:pPr>
        <w:pStyle w:val="Code"/>
        <w:keepNext/>
        <w:ind w:left="240"/>
      </w:pPr>
      <w:r>
        <w:rPr>
          <w:rFonts w:ascii="Courier New" w:hAnsi="Courier New" w:cs="Courier New"/>
        </w:rPr>
        <w:t xml:space="preserve">7      p_f ← likelihood ratio test of alternative against null</w:t>
      </w:r>
    </w:p>
    <w:p>
      <w:pPr>
        <w:pStyle w:val="Code"/>
        <w:keepNext/>
        <w:ind w:left="240"/>
      </w:pPr>
      <w:r>
        <w:rPr>
          <w:rFonts w:ascii="Courier New" w:hAnsi="Courier New" w:cs="Courier New"/>
        </w:rPr>
        <w:t xml:space="preserve">8  structured ← features rejected by Holm(p_f, alpha)</w:t>
      </w:r>
    </w:p>
    <w:p>
      <w:pPr>
        <w:pStyle w:val="Code"/>
        <w:keepNext/>
        <w:ind w:left="240"/>
      </w:pPr>
      <w:r>
        <w:rPr>
          <w:rFonts w:ascii="Courier New" w:hAnsi="Courier New" w:cs="Courier New"/>
        </w:rPr>
        <w:t xml:space="preserve">9  if structured is not empty then return concept, first structured feature</w:t>
      </w:r>
    </w:p>
    <w:p>
      <w:pPr>
        <w:pStyle w:val="Code"/>
        <w:pBdr>
          <w:bottom w:val="single" w:sz="6" w:space="4" w:color="000000"/>
        </w:pBdr>
        <w:ind w:left="240"/>
      </w:pPr>
      <w:r>
        <w:rPr>
          <w:rFonts w:ascii="Courier New" w:hAnsi="Courier New" w:cs="Courier New"/>
        </w:rPr>
        <w:t xml:space="preserve">10 return label noise</w:t>
      </w:r>
    </w:p>
    <w:p>
      <w:pPr>
        <w:spacing w:before="0" w:after="120" w:line="240" w:lineRule="auto"/>
      </w:pPr>
    </w:p>
    <w:p>
      <w:pPr>
        <w:pStyle w:val="Heading3"/>
      </w:pPr>
      <w:r>
        <w:t xml:space="preserve">5.2.4 Root Cause Analysis</w:t>
      </w:r>
    </w:p>
    <w:p>
      <w:pPr>
        <w:pStyle w:val="Normal"/>
      </w:pPr>
      <w:r>
        <w:t xml:space="preserve">The drift type suggests what kind of fix to consider but not where the trouble started. Root cause analysis asks which inputs the model now leans on more or less than before. For tabular models we compute Shapley additive explanations (SHAP) </w:t>
      </w:r>
      <w:r>
        <w:t xml:space="preserve">[25]</w:t>
      </w:r>
      <w:r>
        <w:t xml:space="preserve"> of the deployed model with its preprocessing on 1,000 rows per side against 100 background rows and compare the mean absolute attribution of every feature on reference and window rows. Each change gets a percentile bootstrap interval, Bonferroni adjusted over the features, so that only clear changes are reported. For image models, class activation maps (CAM) </w:t>
      </w:r>
      <w:r>
        <w:t xml:space="preserve">[28]</w:t>
      </w:r>
      <w:r>
        <w:t xml:space="preserve"> highlight the image regions behind the prediction of the linear head on the frozen network. Fig. </w:t>
      </w:r>
      <w:r>
        <w:t xml:space="preserve">5.3</w:t>
      </w:r>
      <w:r>
        <w:t xml:space="preserve"> shows examples from the CLEAR-10 stream.</w:t>
      </w:r>
    </w:p>
    <w:p>
      <w:pPr>
        <w:pStyle w:val="FigureBody"/>
      </w:pPr>
      <w:r>
        <w:drawing>
          <wp:inline distT="0" distB="0" distL="0" distR="0">
            <wp:extent cx="5400000" cy="2777142"/>
            <wp:docPr id="1010" name="Figure 5.3" descr="Fig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 name="gen_cam.png"/>
                    <pic:cNvPicPr/>
                  </pic:nvPicPr>
                  <pic:blipFill>
                    <a:blip r:embed="rIdI10"/>
                    <a:stretch>
                      <a:fillRect/>
                    </a:stretch>
                  </pic:blipFill>
                  <pic:spPr>
                    <a:xfrm>
                      <a:off x="0" y="0"/>
                      <a:ext cx="5400000" cy="2777142"/>
                    </a:xfrm>
                    <a:prstGeom prst="rect">
                      <a:avLst/>
                    </a:prstGeom>
                  </pic:spPr>
                </pic:pic>
              </a:graphicData>
            </a:graphic>
          </wp:inline>
        </w:drawing>
      </w:r>
    </w:p>
    <w:p>
      <w:pPr>
        <w:pStyle w:val="FigureCaption"/>
        <w:jc w:val="both"/>
      </w:pPr>
      <w:r>
        <w:rPr>
          <w:b/>
          <w:bCs/>
        </w:rPr>
        <w:t xml:space="preserve">Fig. 5.3: </w:t>
      </w:r>
      <w:r>
        <w:t xml:space="preserve">Class activation maps for the 4 images of CLEAR-10 bucket 10 with the highest out-of-distribution scores. The top row gives each image with its predicted and true class, the bottom row the map of evidence for the predicted class (red is most evidence)</w:t>
      </w:r>
    </w:p>
    <w:p>
      <w:pPr>
        <w:pStyle w:val="Normal"/>
      </w:pPr>
      <w:r>
        <w:t xml:space="preserve">The images were chosen as the most unusual of the bucket, because unusual images are where a change in content shows first. The model predicts all four correctly and the maps show which regions carry the evidence for each prediction; for the laptop it is the keyboard. Root cause analysis narrows the search for a cause without proving one, which is why its findings are always shown next to the localization and the drift type.</w:t>
      </w:r>
    </w:p>
    <w:p>
      <w:pPr>
        <w:pStyle w:val="Heading3"/>
      </w:pPr>
      <w:r>
        <w:t xml:space="preserve">5.2.5 Reliability Scoring and Remediation Triage</w:t>
      </w:r>
    </w:p>
    <w:p>
      <w:pPr>
        <w:pStyle w:val="Normal"/>
      </w:pPr>
      <w:r>
        <w:t xml:space="preserve">The last two stages act on single predictions and on the decision to retrain. Fig. </w:t>
      </w:r>
      <w:r>
        <w:t xml:space="preserve">5.4</w:t>
      </w:r>
      <w:r>
        <w:t xml:space="preserve"> shows both.</w:t>
      </w:r>
    </w:p>
    <w:p>
      <w:pPr>
        <w:pStyle w:val="FigureBody"/>
      </w:pPr>
      <w:r>
        <w:drawing>
          <wp:inline distT="0" distB="0" distL="0" distR="0">
            <wp:extent cx="5400000" cy="3117768"/>
            <wp:docPr id="1011" name="Figure 5.4" descr="Fig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 name="flow_triage.png"/>
                    <pic:cNvPicPr/>
                  </pic:nvPicPr>
                  <pic:blipFill>
                    <a:blip r:embed="rIdI11"/>
                    <a:stretch>
                      <a:fillRect/>
                    </a:stretch>
                  </pic:blipFill>
                  <pic:spPr>
                    <a:xfrm>
                      <a:off x="0" y="0"/>
                      <a:ext cx="5400000" cy="3117768"/>
                    </a:xfrm>
                    <a:prstGeom prst="rect">
                      <a:avLst/>
                    </a:prstGeom>
                  </pic:spPr>
                </pic:pic>
              </a:graphicData>
            </a:graphic>
          </wp:inline>
        </w:drawing>
      </w:r>
    </w:p>
    <w:p>
      <w:pPr>
        <w:pStyle w:val="FigureCaption"/>
      </w:pPr>
      <w:r>
        <w:rPr>
          <w:b/>
          <w:bCs/>
        </w:rPr>
        <w:t xml:space="preserve">Fig. 5.4: </w:t>
      </w:r>
      <w:r>
        <w:t xml:space="preserve">Flowcharts of (a) the reliability score of each prediction and (b) the remediation triage</w:t>
      </w:r>
    </w:p>
    <w:p>
      <w:pPr>
        <w:pStyle w:val="Normal"/>
      </w:pPr>
      <w:r>
        <w:t xml:space="preserve">For single predictions three signals are combined, each scaled between 0 and 1: the confidence risk </w:t>
      </w:r>
      <m:oMath>
        <m:r>
          <m:t>1</m:t>
        </m:r>
        <m:r>
          <m:rPr>
            <m:sty m:val="p"/>
          </m:rPr>
          <m:t>−</m:t>
        </m:r>
        <m:r>
          <m:t>c</m:t>
        </m:r>
      </m:oMath>
      <w:r>
        <w:t xml:space="preserve">, the instability of the prediction under small perturbations of the input and an out-of-distribution (OOD) score that blends an Isolation Forest </w:t>
      </w:r>
      <w:r>
        <w:t xml:space="preserve">[29]</w:t>
      </w:r>
      <w:r>
        <w:t xml:space="preserve"> with a standardized distance. A logistic regression on the calibration part maps the three signals to a probability of error. It is fitted only if the calibration part holds at least ten wrong predictions per signal </w:t>
      </w:r>
      <w:r>
        <w:t xml:space="preserve">[48]</w:t>
      </w:r>
      <w:r>
        <w:t xml:space="preserve">; with fewer, the risk falls back to </w:t>
      </w:r>
      <m:oMath>
        <m:r>
          <m:t>1</m:t>
        </m:r>
        <m:r>
          <m:rPr>
            <m:sty m:val="p"/>
          </m:rPr>
          <m:t>−</m:t>
        </m:r>
        <m:r>
          <m:t>c</m:t>
        </m:r>
      </m:oMath>
      <w:r>
        <w:t xml:space="preserve">.</w:t>
      </w:r>
    </w:p>
    <w:p>
      <w:pPr>
        <w:pStyle w:val="Normal"/>
      </w:pPr>
      <w:r>
        <w:t xml:space="preserve">The triage has to judge, without production labels, whether retraining is worth the trouble. It uses two probes, given in Algorithm </w:t>
      </w:r>
      <w:r>
        <w:t xml:space="preserve">5.4</w:t>
      </w:r>
      <w:r>
        <w:t xml:space="preserve">. The first relies on density ratio weights from a classifier trained to tell reference rows from window rows; the weights are fitted on separate folds and capped at 20 times their mean </w:t>
      </w:r>
      <w:r>
        <w:t xml:space="preserve">[49]</w:t>
      </w:r>
      <w:r>
        <w:t xml:space="preserve">. A model retrained with them is compared with an unweighted model on a held-out 30% of the reference, weighted in the same way </w:t>
      </w:r>
      <w:r>
        <w:t xml:space="preserve">[50], [51]</w:t>
      </w:r>
      <w:r>
        <w:t xml:space="preserve">. The second probe needs late labels from an earlier window. Where they exist, it retrains on them and checks the result on a held-out part of that window.</w:t>
      </w:r>
    </w:p>
    <w:p>
      <w:pPr>
        <w:pStyle w:val="AlgCaption"/>
      </w:pPr>
      <w:r>
        <w:rPr>
          <w:b/>
          <w:bCs/>
        </w:rPr>
        <w:t xml:space="preserve">Algorithm 5.4: </w:t>
      </w:r>
      <w:r>
        <w:t xml:space="preserve">Remediation triage</w:t>
      </w:r>
    </w:p>
    <w:p>
      <w:pPr>
        <w:pStyle w:val="Code"/>
        <w:keepNext/>
        <w:pBdr>
          <w:top w:val="single" w:sz="6" w:space="4" w:color="000000"/>
        </w:pBdr>
        <w:ind w:left="240"/>
      </w:pPr>
      <w:r>
        <w:rPr>
          <w:rFonts w:ascii="Courier New" w:hAnsi="Courier New" w:cs="Courier New"/>
        </w:rPr>
        <w:t xml:space="preserve">Input:  reference data R, window W (unlabeled), optional earlier labeled window E, level alpha</w:t>
      </w:r>
    </w:p>
    <w:p>
      <w:pPr>
        <w:pStyle w:val="Code"/>
        <w:keepNext/>
        <w:ind w:left="240"/>
      </w:pPr>
      <w:r>
        <w:rPr>
          <w:rFonts w:ascii="Courier New" w:hAnsi="Courier New" w:cs="Courier New"/>
        </w:rPr>
        <w:t xml:space="preserve">Output: recommend or hold, predicted gains</w:t>
      </w:r>
    </w:p>
    <w:p>
      <w:pPr>
        <w:pStyle w:val="Code"/>
        <w:keepNext/>
        <w:ind w:left="240"/>
      </w:pPr>
      <w:r>
        <w:rPr>
          <w:rFonts w:ascii="Courier New" w:hAnsi="Courier New" w:cs="Courier New"/>
        </w:rPr>
        <w:t xml:space="preserve">1  d ← classifier separating R from W, fitted on separate folds</w:t>
      </w:r>
    </w:p>
    <w:p>
      <w:pPr>
        <w:pStyle w:val="Code"/>
        <w:keepNext/>
        <w:ind w:left="240"/>
      </w:pPr>
      <w:r>
        <w:rPr>
          <w:rFonts w:ascii="Courier New" w:hAnsi="Courier New" w:cs="Courier New"/>
        </w:rPr>
        <w:t xml:space="preserve">2  w ← density ratio weights from d, capped at 20 times their mean</w:t>
      </w:r>
    </w:p>
    <w:p>
      <w:pPr>
        <w:pStyle w:val="Code"/>
        <w:keepNext/>
        <w:ind w:left="240"/>
      </w:pPr>
      <w:r>
        <w:rPr>
          <w:rFonts w:ascii="Courier New" w:hAnsi="Courier New" w:cs="Courier New"/>
        </w:rPr>
        <w:t xml:space="preserve">3  hold out 30% of R as validation data</w:t>
      </w:r>
    </w:p>
    <w:p>
      <w:pPr>
        <w:pStyle w:val="Code"/>
        <w:keepNext/>
        <w:ind w:left="240"/>
      </w:pPr>
      <w:r>
        <w:rPr>
          <w:rFonts w:ascii="Courier New" w:hAnsi="Courier New" w:cs="Courier New"/>
        </w:rPr>
        <w:t xml:space="preserve">4  gain_1 ← weighted accuracy of the weighted retrain minus the deployed model</w:t>
      </w:r>
    </w:p>
    <w:p>
      <w:pPr>
        <w:pStyle w:val="Code"/>
        <w:keepNext/>
        <w:ind w:left="240"/>
      </w:pPr>
      <w:r>
        <w:rPr>
          <w:rFonts w:ascii="Courier New" w:hAnsi="Courier New" w:cs="Courier New"/>
        </w:rPr>
        <w:t xml:space="preserve">5  if E exists then</w:t>
      </w:r>
    </w:p>
    <w:p>
      <w:pPr>
        <w:pStyle w:val="Code"/>
        <w:keepNext/>
        <w:ind w:left="240"/>
      </w:pPr>
      <w:r>
        <w:rPr>
          <w:rFonts w:ascii="Courier New" w:hAnsi="Courier New" w:cs="Courier New"/>
        </w:rPr>
        <w:t xml:space="preserve">6      gain_2 ← accuracy on held-out E of a retrain on E minus the deployed model</w:t>
      </w:r>
    </w:p>
    <w:p>
      <w:pPr>
        <w:pStyle w:val="Code"/>
        <w:keepNext/>
        <w:ind w:left="240"/>
      </w:pPr>
      <w:r>
        <w:rPr>
          <w:rFonts w:ascii="Courier New" w:hAnsi="Courier New" w:cs="Courier New"/>
        </w:rPr>
        <w:t xml:space="preserve">7  p ← bootstrap p values of the gains</w:t>
      </w:r>
    </w:p>
    <w:p>
      <w:pPr>
        <w:pStyle w:val="Code"/>
        <w:keepNext/>
        <w:ind w:left="240"/>
      </w:pPr>
      <w:r>
        <w:rPr>
          <w:rFonts w:ascii="Courier New" w:hAnsi="Courier New" w:cs="Courier New"/>
        </w:rPr>
        <w:t xml:space="preserve">8  if some gain is significant after Holm over the probes then recommend</w:t>
      </w:r>
    </w:p>
    <w:p>
      <w:pPr>
        <w:pStyle w:val="Code"/>
        <w:pBdr>
          <w:bottom w:val="single" w:sz="6" w:space="4" w:color="000000"/>
        </w:pBdr>
        <w:ind w:left="240"/>
      </w:pPr>
      <w:r>
        <w:rPr>
          <w:rFonts w:ascii="Courier New" w:hAnsi="Courier New" w:cs="Courier New"/>
        </w:rPr>
        <w:t xml:space="preserve">9  else hold</w:t>
      </w:r>
    </w:p>
    <w:p>
      <w:pPr>
        <w:spacing w:before="0" w:after="120" w:line="240" w:lineRule="auto"/>
      </w:pPr>
    </w:p>
    <w:p>
      <w:pPr>
        <w:pStyle w:val="Heading2"/>
      </w:pPr>
      <w:r>
        <w:t xml:space="preserve">5.3 Dataset Sources and Utilization</w:t>
      </w:r>
    </w:p>
    <w:p>
      <w:pPr>
        <w:pStyle w:val="Normal"/>
      </w:pPr>
      <w:r>
        <w:t xml:space="preserve">The real datasets were chosen because the cause of their drift is documented, which lets the verdicts be checked against known events. Table </w:t>
      </w:r>
      <w:r>
        <w:t xml:space="preserve">5.1</w:t>
      </w:r>
      <w:r>
        <w:t xml:space="preserve"> lists all four and the paragraphs that follow give their source, licence, size, features, preparation and use.</w:t>
      </w:r>
    </w:p>
    <w:p>
      <w:pPr>
        <w:pStyle w:val="TableCaption"/>
      </w:pPr>
      <w:r>
        <w:rPr>
          <w:b/>
          <w:bCs/>
        </w:rPr>
        <w:t xml:space="preserve">Table 5.1: </w:t>
      </w:r>
      <w:r>
        <w:t xml:space="preserve">Datasets, drift windows and reference accuracy</w:t>
      </w:r>
    </w:p>
    <w:tbl>
      <w:tblPr>
        <w:tblW w:w="925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30" w:type="dxa"/>
          <w:left w:w="80" w:type="dxa"/>
          <w:bottom w:w="30" w:type="dxa"/>
          <w:right w:w="80" w:type="dxa"/>
        </w:tblCellMar>
        <w:tblLook w:val="0000"/>
      </w:tblPr>
      <w:tblGrid>
        <w:gridCol w:w="1512"/>
        <w:gridCol w:w="1036"/>
        <w:gridCol w:w="2899"/>
        <w:gridCol w:w="1375"/>
        <w:gridCol w:w="567"/>
        <w:gridCol w:w="663"/>
        <w:gridCol w:w="600"/>
        <w:gridCol w:w="600"/>
      </w:tblGrid>
      <w:tr>
        <w:trPr>
          <w:cantSplit/>
          <w:tblHeader/>
        </w:trPr>
        <w:tc>
          <w:tcPr>
            <w:tcW w:w="1512" w:type="dxa"/>
            <w:shd w:val="clear" w:color="auto" w:fill="D9E2F3"/>
            <w:vAlign w:val="center"/>
          </w:tcPr>
          <w:p>
            <w:pPr>
              <w:pStyle w:val="TableText"/>
              <w:keepNext/>
              <w:jc w:val="center"/>
            </w:pPr>
          </w:p>
        </w:tc>
        <w:tc>
          <w:tcPr>
            <w:tcW w:w="1036" w:type="dxa"/>
            <w:shd w:val="clear" w:color="auto" w:fill="D9E2F3"/>
            <w:vAlign w:val="center"/>
          </w:tcPr>
          <w:p>
            <w:pPr>
              <w:pStyle w:val="TableText"/>
              <w:keepNext/>
              <w:jc w:val="center"/>
            </w:pPr>
          </w:p>
        </w:tc>
        <w:tc>
          <w:tcPr>
            <w:tcW w:w="2899" w:type="dxa"/>
            <w:shd w:val="clear" w:color="auto" w:fill="D9E2F3"/>
            <w:vAlign w:val="center"/>
          </w:tcPr>
          <w:p>
            <w:pPr>
              <w:pStyle w:val="TableText"/>
              <w:keepNext/>
              <w:jc w:val="center"/>
            </w:pPr>
          </w:p>
        </w:tc>
        <w:tc>
          <w:tcPr>
            <w:tcW w:w="1375" w:type="dxa"/>
            <w:shd w:val="clear" w:color="auto" w:fill="D9E2F3"/>
            <w:vAlign w:val="center"/>
          </w:tcPr>
          <w:p>
            <w:pPr>
              <w:pStyle w:val="TableText"/>
              <w:keepNext/>
              <w:jc w:val="center"/>
            </w:pPr>
          </w:p>
        </w:tc>
        <w:tc>
          <w:tcPr>
            <w:tcW w:w="567" w:type="dxa"/>
            <w:shd w:val="clear" w:color="auto" w:fill="D9E2F3"/>
            <w:vAlign w:val="center"/>
          </w:tcPr>
          <w:p>
            <w:pPr>
              <w:pStyle w:val="TableText"/>
              <w:keepNext/>
              <w:jc w:val="center"/>
            </w:pPr>
          </w:p>
        </w:tc>
        <w:tc>
          <w:tcPr>
            <w:tcW w:w="663" w:type="dxa"/>
            <w:shd w:val="clear" w:color="auto" w:fill="D9E2F3"/>
            <w:vAlign w:val="center"/>
          </w:tcPr>
          <w:p>
            <w:pPr>
              <w:pStyle w:val="TableText"/>
              <w:keepNext/>
              <w:jc w:val="center"/>
            </w:pPr>
          </w:p>
        </w:tc>
        <w:tc>
          <w:tcPr>
            <w:tcW w:w="1200" w:type="dxa"/>
            <w:gridSpan w:val="2"/>
            <w:shd w:val="clear" w:color="auto" w:fill="D9E2F3"/>
            <w:vAlign w:val="center"/>
          </w:tcPr>
          <w:p>
            <w:pPr>
              <w:pStyle w:val="TableText"/>
              <w:keepNext/>
              <w:jc w:val="center"/>
            </w:pPr>
            <w:r>
              <w:rPr>
                <w:sz w:val="18"/>
                <w:szCs w:val="18"/>
                <w:b/>
                <w:bCs/>
              </w:rPr>
              <w:t xml:space="preserve">Ref. accuracy</w:t>
            </w:r>
          </w:p>
        </w:tc>
      </w:tr>
      <w:tr>
        <w:trPr>
          <w:cantSplit/>
          <w:tblHeader/>
        </w:trPr>
        <w:tc>
          <w:tcPr>
            <w:tcW w:w="1512" w:type="dxa"/>
            <w:shd w:val="clear" w:color="auto" w:fill="D9E2F3"/>
            <w:vAlign w:val="center"/>
          </w:tcPr>
          <w:p>
            <w:pPr>
              <w:pStyle w:val="TableText"/>
              <w:keepNext/>
              <w:jc w:val="center"/>
            </w:pPr>
            <w:r>
              <w:rPr>
                <w:sz w:val="18"/>
                <w:szCs w:val="18"/>
                <w:b/>
                <w:bCs/>
              </w:rPr>
              <w:t xml:space="preserve">Dataset</w:t>
            </w:r>
          </w:p>
        </w:tc>
        <w:tc>
          <w:tcPr>
            <w:tcW w:w="1036" w:type="dxa"/>
            <w:shd w:val="clear" w:color="auto" w:fill="D9E2F3"/>
            <w:vAlign w:val="center"/>
          </w:tcPr>
          <w:p>
            <w:pPr>
              <w:pStyle w:val="TableText"/>
              <w:keepNext/>
              <w:jc w:val="center"/>
            </w:pPr>
            <w:r>
              <w:rPr>
                <w:sz w:val="18"/>
                <w:szCs w:val="18"/>
                <w:b/>
                <w:bCs/>
              </w:rPr>
              <w:t xml:space="preserve">Reference</w:t>
            </w:r>
          </w:p>
        </w:tc>
        <w:tc>
          <w:tcPr>
            <w:tcW w:w="2899" w:type="dxa"/>
            <w:shd w:val="clear" w:color="auto" w:fill="D9E2F3"/>
            <w:vAlign w:val="center"/>
          </w:tcPr>
          <w:p>
            <w:pPr>
              <w:pStyle w:val="TableText"/>
              <w:keepNext/>
              <w:jc w:val="center"/>
            </w:pPr>
            <w:r>
              <w:rPr>
                <w:sz w:val="18"/>
                <w:szCs w:val="18"/>
                <w:b/>
                <w:bCs/>
              </w:rPr>
              <w:t xml:space="preserve">Windows</w:t>
            </w:r>
          </w:p>
        </w:tc>
        <w:tc>
          <w:tcPr>
            <w:tcW w:w="1375" w:type="dxa"/>
            <w:shd w:val="clear" w:color="auto" w:fill="D9E2F3"/>
            <w:vAlign w:val="center"/>
          </w:tcPr>
          <w:p>
            <w:pPr>
              <w:pStyle w:val="TableText"/>
              <w:keepNext/>
              <w:jc w:val="center"/>
            </w:pPr>
            <w:r>
              <w:rPr>
                <w:sz w:val="18"/>
                <w:szCs w:val="18"/>
                <w:b/>
                <w:bCs/>
              </w:rPr>
              <w:t xml:space="preserve">Rows</w:t>
            </w:r>
          </w:p>
        </w:tc>
        <w:tc>
          <w:tcPr>
            <w:tcW w:w="567" w:type="dxa"/>
            <w:shd w:val="clear" w:color="auto" w:fill="D9E2F3"/>
            <w:vAlign w:val="center"/>
          </w:tcPr>
          <w:p>
            <w:pPr>
              <w:pStyle w:val="TableText"/>
              <w:keepNext/>
              <w:jc w:val="center"/>
            </w:pPr>
            <w:r>
              <w:rPr>
                <w:sz w:val="18"/>
                <w:szCs w:val="18"/>
                <w:b/>
                <w:bCs/>
              </w:rPr>
              <w:t xml:space="preserve">Inputs</w:t>
            </w:r>
          </w:p>
        </w:tc>
        <w:tc>
          <w:tcPr>
            <w:tcW w:w="663" w:type="dxa"/>
            <w:shd w:val="clear" w:color="auto" w:fill="D9E2F3"/>
            <w:vAlign w:val="center"/>
          </w:tcPr>
          <w:p>
            <w:pPr>
              <w:pStyle w:val="TableText"/>
              <w:keepNext/>
              <w:jc w:val="center"/>
            </w:pPr>
            <w:r>
              <w:rPr>
                <w:sz w:val="18"/>
                <w:szCs w:val="18"/>
                <w:b/>
                <w:bCs/>
              </w:rPr>
              <w:t xml:space="preserve">Classes</w:t>
            </w:r>
          </w:p>
        </w:tc>
        <w:tc>
          <w:tcPr>
            <w:tcW w:w="600" w:type="dxa"/>
            <w:shd w:val="clear" w:color="auto" w:fill="D9E2F3"/>
            <w:vAlign w:val="center"/>
          </w:tcPr>
          <w:p>
            <w:pPr>
              <w:pStyle w:val="TableText"/>
              <w:keepNext/>
              <w:jc w:val="center"/>
            </w:pPr>
            <w:r>
              <w:rPr>
                <w:sz w:val="18"/>
                <w:szCs w:val="18"/>
                <w:b/>
                <w:bCs/>
              </w:rPr>
              <w:t xml:space="preserve">LR</w:t>
            </w:r>
          </w:p>
        </w:tc>
        <w:tc>
          <w:tcPr>
            <w:tcW w:w="600" w:type="dxa"/>
            <w:shd w:val="clear" w:color="auto" w:fill="D9E2F3"/>
            <w:vAlign w:val="center"/>
          </w:tcPr>
          <w:p>
            <w:pPr>
              <w:pStyle w:val="TableText"/>
              <w:keepNext/>
              <w:jc w:val="center"/>
            </w:pPr>
            <w:r>
              <w:rPr>
                <w:sz w:val="18"/>
                <w:szCs w:val="18"/>
                <w:b/>
                <w:bCs/>
              </w:rPr>
              <w:t xml:space="preserve">GB</w:t>
            </w:r>
          </w:p>
        </w:tc>
      </w:tr>
      <w:tr>
        <w:trPr>
          <w:cantSplit/>
        </w:trPr>
        <w:tc>
          <w:tcPr>
            <w:tcW w:w="1512" w:type="dxa"/>
            <w:vAlign w:val="center"/>
          </w:tcPr>
          <w:p>
            <w:pPr>
              <w:pStyle w:val="TableText"/>
              <w:keepNext/>
              <w:jc w:val="left"/>
            </w:pPr>
            <w:r>
              <w:rPr>
                <w:sz w:val="18"/>
                <w:szCs w:val="18"/>
              </w:rPr>
              <w:t xml:space="preserve">ACS Income</w:t>
            </w:r>
          </w:p>
        </w:tc>
        <w:tc>
          <w:tcPr>
            <w:tcW w:w="1036" w:type="dxa"/>
            <w:vAlign w:val="center"/>
          </w:tcPr>
          <w:p>
            <w:pPr>
              <w:pStyle w:val="TableText"/>
              <w:keepNext/>
              <w:jc w:val="left"/>
            </w:pPr>
            <w:r>
              <w:rPr>
                <w:sz w:val="18"/>
                <w:szCs w:val="18"/>
              </w:rPr>
              <w:t xml:space="preserve">CA 2014</w:t>
            </w:r>
          </w:p>
        </w:tc>
        <w:tc>
          <w:tcPr>
            <w:tcW w:w="2899" w:type="dxa"/>
            <w:vAlign w:val="center"/>
          </w:tcPr>
          <w:p>
            <w:pPr>
              <w:pStyle w:val="TableText"/>
              <w:keepNext/>
              <w:jc w:val="left"/>
            </w:pPr>
            <w:r>
              <w:rPr>
                <w:sz w:val="18"/>
                <w:szCs w:val="18"/>
              </w:rPr>
              <w:t xml:space="preserve">CA 2015–19 and 2021–23; TX, NY, FL, WA 2014</w:t>
            </w:r>
          </w:p>
        </w:tc>
        <w:tc>
          <w:tcPr>
            <w:tcW w:w="1375" w:type="dxa"/>
            <w:vAlign w:val="center"/>
          </w:tcPr>
          <w:p>
            <w:pPr>
              <w:pStyle w:val="TableText"/>
              <w:keepNext/>
              <w:jc w:val="right"/>
            </w:pPr>
            <w:r>
              <w:rPr>
                <w:sz w:val="18"/>
                <w:szCs w:val="18"/>
              </w:rPr>
              <w:t xml:space="preserve">36,162–203,278</w:t>
            </w:r>
          </w:p>
        </w:tc>
        <w:tc>
          <w:tcPr>
            <w:tcW w:w="567" w:type="dxa"/>
            <w:vAlign w:val="center"/>
          </w:tcPr>
          <w:p>
            <w:pPr>
              <w:pStyle w:val="TableText"/>
              <w:keepNext/>
              <w:jc w:val="right"/>
            </w:pPr>
            <w:r>
              <w:rPr>
                <w:sz w:val="18"/>
                <w:szCs w:val="18"/>
              </w:rPr>
              <w:t xml:space="preserve">10</w:t>
            </w:r>
          </w:p>
        </w:tc>
        <w:tc>
          <w:tcPr>
            <w:tcW w:w="663" w:type="dxa"/>
            <w:vAlign w:val="center"/>
          </w:tcPr>
          <w:p>
            <w:pPr>
              <w:pStyle w:val="TableText"/>
              <w:keepNext/>
              <w:jc w:val="right"/>
            </w:pPr>
            <w:r>
              <w:rPr>
                <w:sz w:val="18"/>
                <w:szCs w:val="18"/>
              </w:rPr>
              <w:t xml:space="preserve">2</w:t>
            </w:r>
          </w:p>
        </w:tc>
        <w:tc>
          <w:tcPr>
            <w:tcW w:w="600" w:type="dxa"/>
            <w:vAlign w:val="center"/>
          </w:tcPr>
          <w:p>
            <w:pPr>
              <w:pStyle w:val="TableText"/>
              <w:keepNext/>
              <w:jc w:val="right"/>
            </w:pPr>
            <w:r>
              <w:rPr>
                <w:sz w:val="18"/>
                <w:szCs w:val="18"/>
              </w:rPr>
              <w:t xml:space="preserve">0.826</w:t>
            </w:r>
          </w:p>
        </w:tc>
        <w:tc>
          <w:tcPr>
            <w:tcW w:w="600" w:type="dxa"/>
            <w:vAlign w:val="center"/>
          </w:tcPr>
          <w:p>
            <w:pPr>
              <w:pStyle w:val="TableText"/>
              <w:keepNext/>
              <w:jc w:val="right"/>
            </w:pPr>
            <w:r>
              <w:rPr>
                <w:sz w:val="18"/>
                <w:szCs w:val="18"/>
              </w:rPr>
              <w:t xml:space="preserve">0.833</w:t>
            </w:r>
          </w:p>
        </w:tc>
      </w:tr>
      <w:tr>
        <w:trPr>
          <w:cantSplit/>
        </w:trPr>
        <w:tc>
          <w:tcPr>
            <w:tcW w:w="1512" w:type="dxa"/>
            <w:vAlign w:val="center"/>
          </w:tcPr>
          <w:p>
            <w:pPr>
              <w:pStyle w:val="TableText"/>
              <w:jc w:val="left"/>
            </w:pPr>
            <w:r>
              <w:rPr>
                <w:sz w:val="18"/>
                <w:szCs w:val="18"/>
              </w:rPr>
              <w:t xml:space="preserve">ACS Employment</w:t>
            </w:r>
          </w:p>
        </w:tc>
        <w:tc>
          <w:tcPr>
            <w:tcW w:w="1036" w:type="dxa"/>
            <w:vAlign w:val="center"/>
          </w:tcPr>
          <w:p>
            <w:pPr>
              <w:pStyle w:val="TableText"/>
              <w:jc w:val="left"/>
            </w:pPr>
            <w:r>
              <w:rPr>
                <w:sz w:val="18"/>
                <w:szCs w:val="18"/>
              </w:rPr>
              <w:t xml:space="preserve">CA 2014</w:t>
            </w:r>
          </w:p>
        </w:tc>
        <w:tc>
          <w:tcPr>
            <w:tcW w:w="2899" w:type="dxa"/>
            <w:vAlign w:val="center"/>
          </w:tcPr>
          <w:p>
            <w:pPr>
              <w:pStyle w:val="TableText"/>
              <w:jc w:val="left"/>
            </w:pPr>
            <w:r>
              <w:rPr>
                <w:sz w:val="18"/>
                <w:szCs w:val="18"/>
              </w:rPr>
              <w:t xml:space="preserve">CA 2015–19 and 2021–23; TX, NY, FL, WA 2014</w:t>
            </w:r>
          </w:p>
        </w:tc>
        <w:tc>
          <w:tcPr>
            <w:tcW w:w="1375" w:type="dxa"/>
            <w:vAlign w:val="center"/>
          </w:tcPr>
          <w:p>
            <w:pPr>
              <w:pStyle w:val="TableText"/>
              <w:jc w:val="right"/>
            </w:pPr>
            <w:r>
              <w:rPr>
                <w:sz w:val="18"/>
                <w:szCs w:val="18"/>
              </w:rPr>
              <w:t xml:space="preserve">56,576–326,241</w:t>
            </w:r>
          </w:p>
        </w:tc>
        <w:tc>
          <w:tcPr>
            <w:tcW w:w="567" w:type="dxa"/>
            <w:vAlign w:val="center"/>
          </w:tcPr>
          <w:p>
            <w:pPr>
              <w:pStyle w:val="TableText"/>
              <w:jc w:val="right"/>
            </w:pPr>
            <w:r>
              <w:rPr>
                <w:sz w:val="18"/>
                <w:szCs w:val="18"/>
              </w:rPr>
              <w:t xml:space="preserve">16</w:t>
            </w:r>
          </w:p>
        </w:tc>
        <w:tc>
          <w:tcPr>
            <w:tcW w:w="663" w:type="dxa"/>
            <w:vAlign w:val="center"/>
          </w:tcPr>
          <w:p>
            <w:pPr>
              <w:pStyle w:val="TableText"/>
              <w:jc w:val="right"/>
            </w:pPr>
            <w:r>
              <w:rPr>
                <w:sz w:val="18"/>
                <w:szCs w:val="18"/>
              </w:rPr>
              <w:t xml:space="preserve">2</w:t>
            </w:r>
          </w:p>
        </w:tc>
        <w:tc>
          <w:tcPr>
            <w:tcW w:w="600" w:type="dxa"/>
            <w:vAlign w:val="center"/>
          </w:tcPr>
          <w:p>
            <w:pPr>
              <w:pStyle w:val="TableText"/>
              <w:jc w:val="right"/>
            </w:pPr>
            <w:r>
              <w:rPr>
                <w:sz w:val="18"/>
                <w:szCs w:val="18"/>
              </w:rPr>
              <w:t xml:space="preserve">0.729</w:t>
            </w:r>
          </w:p>
        </w:tc>
        <w:tc>
          <w:tcPr>
            <w:tcW w:w="600" w:type="dxa"/>
            <w:vAlign w:val="center"/>
          </w:tcPr>
          <w:p>
            <w:pPr>
              <w:pStyle w:val="TableText"/>
              <w:jc w:val="right"/>
            </w:pPr>
            <w:r>
              <w:rPr>
                <w:sz w:val="18"/>
                <w:szCs w:val="18"/>
              </w:rPr>
              <w:t xml:space="preserve">0.772</w:t>
            </w:r>
          </w:p>
        </w:tc>
      </w:tr>
      <w:tr>
        <w:trPr>
          <w:cantSplit/>
        </w:trPr>
        <w:tc>
          <w:tcPr>
            <w:tcW w:w="1512" w:type="dxa"/>
            <w:vAlign w:val="center"/>
          </w:tcPr>
          <w:p>
            <w:pPr>
              <w:pStyle w:val="TableText"/>
              <w:jc w:val="left"/>
            </w:pPr>
            <w:r>
              <w:rPr>
                <w:sz w:val="18"/>
                <w:szCs w:val="18"/>
              </w:rPr>
              <w:t xml:space="preserve">Gas sensor</w:t>
            </w:r>
          </w:p>
        </w:tc>
        <w:tc>
          <w:tcPr>
            <w:tcW w:w="1036" w:type="dxa"/>
            <w:vAlign w:val="center"/>
          </w:tcPr>
          <w:p>
            <w:pPr>
              <w:pStyle w:val="TableText"/>
              <w:jc w:val="left"/>
            </w:pPr>
            <w:r>
              <w:rPr>
                <w:sz w:val="18"/>
                <w:szCs w:val="18"/>
              </w:rPr>
              <w:t xml:space="preserve">batches 1–2</w:t>
            </w:r>
          </w:p>
        </w:tc>
        <w:tc>
          <w:tcPr>
            <w:tcW w:w="2899" w:type="dxa"/>
            <w:vAlign w:val="center"/>
          </w:tcPr>
          <w:p>
            <w:pPr>
              <w:pStyle w:val="TableText"/>
              <w:jc w:val="left"/>
            </w:pPr>
            <w:r>
              <w:rPr>
                <w:sz w:val="18"/>
                <w:szCs w:val="18"/>
              </w:rPr>
              <w:t xml:space="preserve">batches 3–10</w:t>
            </w:r>
          </w:p>
        </w:tc>
        <w:tc>
          <w:tcPr>
            <w:tcW w:w="1375" w:type="dxa"/>
            <w:vAlign w:val="center"/>
          </w:tcPr>
          <w:p>
            <w:pPr>
              <w:pStyle w:val="TableText"/>
              <w:jc w:val="right"/>
            </w:pPr>
            <w:r>
              <w:rPr>
                <w:sz w:val="18"/>
                <w:szCs w:val="18"/>
              </w:rPr>
              <w:t xml:space="preserve">161–3,613</w:t>
            </w:r>
          </w:p>
        </w:tc>
        <w:tc>
          <w:tcPr>
            <w:tcW w:w="567" w:type="dxa"/>
            <w:vAlign w:val="center"/>
          </w:tcPr>
          <w:p>
            <w:pPr>
              <w:pStyle w:val="TableText"/>
              <w:jc w:val="right"/>
            </w:pPr>
            <w:r>
              <w:rPr>
                <w:sz w:val="18"/>
                <w:szCs w:val="18"/>
              </w:rPr>
              <w:t xml:space="preserve">128</w:t>
            </w:r>
          </w:p>
        </w:tc>
        <w:tc>
          <w:tcPr>
            <w:tcW w:w="663" w:type="dxa"/>
            <w:vAlign w:val="center"/>
          </w:tcPr>
          <w:p>
            <w:pPr>
              <w:pStyle w:val="TableText"/>
              <w:jc w:val="right"/>
            </w:pPr>
            <w:r>
              <w:rPr>
                <w:sz w:val="18"/>
                <w:szCs w:val="18"/>
              </w:rPr>
              <w:t xml:space="preserve">6</w:t>
            </w:r>
          </w:p>
        </w:tc>
        <w:tc>
          <w:tcPr>
            <w:tcW w:w="600" w:type="dxa"/>
            <w:vAlign w:val="center"/>
          </w:tcPr>
          <w:p>
            <w:pPr>
              <w:pStyle w:val="TableText"/>
              <w:jc w:val="right"/>
            </w:pPr>
            <w:r>
              <w:rPr>
                <w:sz w:val="18"/>
                <w:szCs w:val="18"/>
              </w:rPr>
              <w:t xml:space="preserve">0.982</w:t>
            </w:r>
          </w:p>
        </w:tc>
        <w:tc>
          <w:tcPr>
            <w:tcW w:w="600" w:type="dxa"/>
            <w:vAlign w:val="center"/>
          </w:tcPr>
          <w:p>
            <w:pPr>
              <w:pStyle w:val="TableText"/>
              <w:jc w:val="right"/>
            </w:pPr>
            <w:r>
              <w:rPr>
                <w:sz w:val="18"/>
                <w:szCs w:val="18"/>
              </w:rPr>
              <w:t xml:space="preserve">0.985</w:t>
            </w:r>
          </w:p>
        </w:tc>
      </w:tr>
      <w:tr>
        <w:trPr>
          <w:cantSplit/>
        </w:trPr>
        <w:tc>
          <w:tcPr>
            <w:tcW w:w="1512" w:type="dxa"/>
            <w:vAlign w:val="center"/>
          </w:tcPr>
          <w:p>
            <w:pPr>
              <w:pStyle w:val="TableText"/>
              <w:jc w:val="left"/>
            </w:pPr>
            <w:r>
              <w:rPr>
                <w:sz w:val="18"/>
                <w:szCs w:val="18"/>
              </w:rPr>
              <w:t xml:space="preserve">CLEAR-10</w:t>
            </w:r>
          </w:p>
        </w:tc>
        <w:tc>
          <w:tcPr>
            <w:tcW w:w="1036" w:type="dxa"/>
            <w:vAlign w:val="center"/>
          </w:tcPr>
          <w:p>
            <w:pPr>
              <w:pStyle w:val="TableText"/>
              <w:jc w:val="left"/>
            </w:pPr>
            <w:r>
              <w:rPr>
                <w:sz w:val="18"/>
                <w:szCs w:val="18"/>
              </w:rPr>
              <w:t xml:space="preserve">bucket 1</w:t>
            </w:r>
          </w:p>
        </w:tc>
        <w:tc>
          <w:tcPr>
            <w:tcW w:w="2899" w:type="dxa"/>
            <w:vAlign w:val="center"/>
          </w:tcPr>
          <w:p>
            <w:pPr>
              <w:pStyle w:val="TableText"/>
              <w:jc w:val="left"/>
            </w:pPr>
            <w:r>
              <w:rPr>
                <w:sz w:val="18"/>
                <w:szCs w:val="18"/>
              </w:rPr>
              <w:t xml:space="preserve">buckets 2–10</w:t>
            </w:r>
          </w:p>
        </w:tc>
        <w:tc>
          <w:tcPr>
            <w:tcW w:w="1375" w:type="dxa"/>
            <w:vAlign w:val="center"/>
          </w:tcPr>
          <w:p>
            <w:pPr>
              <w:pStyle w:val="TableText"/>
              <w:jc w:val="right"/>
            </w:pPr>
            <w:r>
              <w:rPr>
                <w:sz w:val="18"/>
                <w:szCs w:val="18"/>
              </w:rPr>
              <w:t xml:space="preserve">3,297–3,300</w:t>
            </w:r>
          </w:p>
        </w:tc>
        <w:tc>
          <w:tcPr>
            <w:tcW w:w="567" w:type="dxa"/>
            <w:vAlign w:val="center"/>
          </w:tcPr>
          <w:p>
            <w:pPr>
              <w:pStyle w:val="TableText"/>
              <w:jc w:val="right"/>
            </w:pPr>
            <w:r>
              <w:rPr>
                <w:sz w:val="18"/>
                <w:szCs w:val="18"/>
              </w:rPr>
              <w:t xml:space="preserve">512</w:t>
            </w:r>
          </w:p>
        </w:tc>
        <w:tc>
          <w:tcPr>
            <w:tcW w:w="663" w:type="dxa"/>
            <w:vAlign w:val="center"/>
          </w:tcPr>
          <w:p>
            <w:pPr>
              <w:pStyle w:val="TableText"/>
              <w:jc w:val="right"/>
            </w:pPr>
            <w:r>
              <w:rPr>
                <w:sz w:val="18"/>
                <w:szCs w:val="18"/>
              </w:rPr>
              <w:t xml:space="preserve">11</w:t>
            </w:r>
          </w:p>
        </w:tc>
        <w:tc>
          <w:tcPr>
            <w:tcW w:w="600" w:type="dxa"/>
            <w:vAlign w:val="center"/>
          </w:tcPr>
          <w:p>
            <w:pPr>
              <w:pStyle w:val="TableText"/>
              <w:jc w:val="right"/>
            </w:pPr>
            <w:r>
              <w:rPr>
                <w:sz w:val="18"/>
                <w:szCs w:val="18"/>
              </w:rPr>
              <w:t xml:space="preserve">0.914</w:t>
            </w:r>
          </w:p>
        </w:tc>
        <w:tc>
          <w:tcPr>
            <w:tcW w:w="600" w:type="dxa"/>
            <w:vAlign w:val="center"/>
          </w:tcPr>
          <w:p>
            <w:pPr>
              <w:pStyle w:val="TableText"/>
              <w:jc w:val="right"/>
            </w:pPr>
            <w:r>
              <w:rPr>
                <w:sz w:val="18"/>
                <w:szCs w:val="18"/>
              </w:rPr>
              <w:t xml:space="preserve">0.897</w:t>
            </w:r>
          </w:p>
        </w:tc>
      </w:tr>
    </w:tbl>
    <w:p>
      <w:pPr>
        <w:spacing w:before="0" w:after="120" w:line="240" w:lineRule="auto"/>
      </w:pPr>
    </w:p>
    <w:p>
      <w:pPr>
        <w:pStyle w:val="Normal"/>
      </w:pPr>
      <w:r>
        <w:t xml:space="preserve">Rows gives the smallest and the largest window, Inputs the number of features or embedding dimensions and the last two columns the reference test accuracy of LR and GB.</w:t>
      </w:r>
    </w:p>
    <w:p>
      <w:pPr>
        <w:pStyle w:val="Normal"/>
      </w:pPr>
      <w:r>
        <w:rPr>
          <w:i/>
          <w:iCs/>
        </w:rPr>
        <w:t xml:space="preserve">ACS Income and ACS Employment.</w:t>
      </w:r>
      <w:r>
        <w:t xml:space="preserve"> Both tasks come from the American Community Survey (ACS) of the United States Census Bureau, as packaged by Folktables </w:t>
      </w:r>
      <w:r>
        <w:t xml:space="preserve">[26]</w:t>
      </w:r>
      <w:r>
        <w:t xml:space="preserve"> (code under the MIT licence; data under the Census Bureau’s terms of use; accessed through the Folktables package). ACS Income predicts from 10 features whether a person earns more than $50,000 and ACS Employment predicts from 16 features whether a person aged 16 to 90 is employed. Table </w:t>
      </w:r>
      <w:r>
        <w:t xml:space="preserve">5.2</w:t>
      </w:r>
      <w:r>
        <w:t xml:space="preserve"> lists the features of ACS Income. California (CA) 2014 is the reference, with 110,364 training rows for ACS Income. The temporal windows are CA 2015 to 2019 and 2021 to 2023, as no standard 2020 release exists </w:t>
      </w:r>
      <w:r>
        <w:t xml:space="preserve">[52]</w:t>
      </w:r>
      <w:r>
        <w:t xml:space="preserve"> and the geographic windows are Texas (TX), New York (NY), Florida (FL) and Washington (WA) in 2014. Missing values are coded as </w:t>
      </w:r>
      <m:oMath>
        <m:r>
          <m:rPr>
            <m:sty m:val="p"/>
          </m:rPr>
          <m:t>−</m:t>
        </m:r>
        <m:r>
          <m:rPr>
            <m:sty m:val="p"/>
          </m:rPr>
          <m:t>1</m:t>
        </m:r>
      </m:oMath>
      <w:r>
        <w:t xml:space="preserve">. In 2019 the relationship variable RELP was replaced by RELSHIPP </w:t>
      </w:r>
      <w:r>
        <w:t xml:space="preserve">[53]</w:t>
      </w:r>
      <w:r>
        <w:t xml:space="preserve">, which we map back to RELP with the code labels of the 2018 and 2019 data dictionaries. Five documented changes fall in these years: new occupation codes in 2018 </w:t>
      </w:r>
      <w:r>
        <w:t xml:space="preserve">[54]</w:t>
      </w:r>
      <w:r>
        <w:t xml:space="preserve">, a redesigned relationship question in 2019, a new coding of race answers from 2020 </w:t>
      </w:r>
      <w:r>
        <w:t xml:space="preserve">[55]</w:t>
      </w:r>
      <w:r>
        <w:t xml:space="preserve">, the pandemic and wage growth against the fixed income threshold.</w:t>
      </w:r>
    </w:p>
    <w:p>
      <w:pPr>
        <w:pStyle w:val="TableCaption"/>
      </w:pPr>
      <w:r>
        <w:rPr>
          <w:b/>
          <w:bCs/>
        </w:rPr>
        <w:t xml:space="preserve">Table 5.2: </w:t>
      </w:r>
      <w:r>
        <w:t xml:space="preserve">Input features of ACS Income</w:t>
      </w:r>
    </w:p>
    <w:tbl>
      <w:tblPr>
        <w:tblW w:w="9259"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30" w:type="dxa"/>
          <w:left w:w="80" w:type="dxa"/>
          <w:bottom w:w="30" w:type="dxa"/>
          <w:right w:w="80" w:type="dxa"/>
        </w:tblCellMar>
        <w:tblLook w:val="0000"/>
      </w:tblPr>
      <w:tblGrid>
        <w:gridCol w:w="1883"/>
        <w:gridCol w:w="5022"/>
        <w:gridCol w:w="2354"/>
      </w:tblGrid>
      <w:tr>
        <w:trPr>
          <w:cantSplit/>
          <w:tblHeader/>
        </w:trPr>
        <w:tc>
          <w:tcPr>
            <w:tcW w:w="1883" w:type="dxa"/>
            <w:shd w:val="clear" w:color="auto" w:fill="D9E2F3"/>
            <w:vAlign w:val="center"/>
          </w:tcPr>
          <w:p>
            <w:pPr>
              <w:pStyle w:val="TableText"/>
              <w:keepNext/>
              <w:jc w:val="center"/>
            </w:pPr>
            <w:r>
              <w:rPr>
                <w:sz w:val="20"/>
                <w:szCs w:val="20"/>
                <w:b/>
                <w:bCs/>
              </w:rPr>
              <w:t xml:space="preserve">Code</w:t>
            </w:r>
          </w:p>
        </w:tc>
        <w:tc>
          <w:tcPr>
            <w:tcW w:w="5022" w:type="dxa"/>
            <w:shd w:val="clear" w:color="auto" w:fill="D9E2F3"/>
            <w:vAlign w:val="center"/>
          </w:tcPr>
          <w:p>
            <w:pPr>
              <w:pStyle w:val="TableText"/>
              <w:keepNext/>
              <w:jc w:val="center"/>
            </w:pPr>
            <w:r>
              <w:rPr>
                <w:sz w:val="20"/>
                <w:szCs w:val="20"/>
                <w:b/>
                <w:bCs/>
              </w:rPr>
              <w:t xml:space="preserve">Description</w:t>
            </w:r>
          </w:p>
        </w:tc>
        <w:tc>
          <w:tcPr>
            <w:tcW w:w="2354" w:type="dxa"/>
            <w:shd w:val="clear" w:color="auto" w:fill="D9E2F3"/>
            <w:vAlign w:val="center"/>
          </w:tcPr>
          <w:p>
            <w:pPr>
              <w:pStyle w:val="TableText"/>
              <w:keepNext/>
              <w:jc w:val="center"/>
            </w:pPr>
            <w:r>
              <w:rPr>
                <w:sz w:val="20"/>
                <w:szCs w:val="20"/>
                <w:b/>
                <w:bCs/>
              </w:rPr>
              <w:t xml:space="preserve">Type</w:t>
            </w:r>
          </w:p>
        </w:tc>
      </w:tr>
      <w:tr>
        <w:trPr>
          <w:cantSplit/>
        </w:trPr>
        <w:tc>
          <w:tcPr>
            <w:tcW w:w="1883" w:type="dxa"/>
            <w:vAlign w:val="center"/>
          </w:tcPr>
          <w:p>
            <w:pPr>
              <w:pStyle w:val="TableText"/>
              <w:keepNext/>
              <w:jc w:val="left"/>
            </w:pPr>
            <w:r>
              <w:rPr>
                <w:sz w:val="20"/>
                <w:szCs w:val="20"/>
              </w:rPr>
              <w:t xml:space="preserve">AGEP</w:t>
            </w:r>
          </w:p>
        </w:tc>
        <w:tc>
          <w:tcPr>
            <w:tcW w:w="5022" w:type="dxa"/>
            <w:vAlign w:val="center"/>
          </w:tcPr>
          <w:p>
            <w:pPr>
              <w:pStyle w:val="TableText"/>
              <w:keepNext/>
              <w:jc w:val="left"/>
            </w:pPr>
            <w:r>
              <w:rPr>
                <w:sz w:val="20"/>
                <w:szCs w:val="20"/>
              </w:rPr>
              <w:t xml:space="preserve">Age</w:t>
            </w:r>
          </w:p>
        </w:tc>
        <w:tc>
          <w:tcPr>
            <w:tcW w:w="2354" w:type="dxa"/>
            <w:vAlign w:val="center"/>
          </w:tcPr>
          <w:p>
            <w:pPr>
              <w:pStyle w:val="TableText"/>
              <w:keepNext/>
              <w:jc w:val="left"/>
            </w:pPr>
            <w:r>
              <w:rPr>
                <w:sz w:val="20"/>
                <w:szCs w:val="20"/>
              </w:rPr>
              <w:t xml:space="preserve">Numeric</w:t>
            </w:r>
          </w:p>
        </w:tc>
      </w:tr>
      <w:tr>
        <w:trPr>
          <w:cantSplit/>
        </w:trPr>
        <w:tc>
          <w:tcPr>
            <w:tcW w:w="1883" w:type="dxa"/>
            <w:vAlign w:val="center"/>
          </w:tcPr>
          <w:p>
            <w:pPr>
              <w:pStyle w:val="TableText"/>
              <w:keepNext/>
              <w:jc w:val="left"/>
            </w:pPr>
            <w:r>
              <w:rPr>
                <w:sz w:val="20"/>
                <w:szCs w:val="20"/>
              </w:rPr>
              <w:t xml:space="preserve">COW</w:t>
            </w:r>
          </w:p>
        </w:tc>
        <w:tc>
          <w:tcPr>
            <w:tcW w:w="5022" w:type="dxa"/>
            <w:vAlign w:val="center"/>
          </w:tcPr>
          <w:p>
            <w:pPr>
              <w:pStyle w:val="TableText"/>
              <w:keepNext/>
              <w:jc w:val="left"/>
            </w:pPr>
            <w:r>
              <w:rPr>
                <w:sz w:val="20"/>
                <w:szCs w:val="20"/>
              </w:rPr>
              <w:t xml:space="preserve">Class of worker</w:t>
            </w:r>
          </w:p>
        </w:tc>
        <w:tc>
          <w:tcPr>
            <w:tcW w:w="2354" w:type="dxa"/>
            <w:vAlign w:val="center"/>
          </w:tcPr>
          <w:p>
            <w:pPr>
              <w:pStyle w:val="TableText"/>
              <w:keepNext/>
              <w:jc w:val="left"/>
            </w:pPr>
            <w:r>
              <w:rPr>
                <w:sz w:val="20"/>
                <w:szCs w:val="20"/>
              </w:rPr>
              <w:t xml:space="preserve">Nominal</w:t>
            </w:r>
          </w:p>
        </w:tc>
      </w:tr>
      <w:tr>
        <w:trPr>
          <w:cantSplit/>
        </w:trPr>
        <w:tc>
          <w:tcPr>
            <w:tcW w:w="1883" w:type="dxa"/>
            <w:vAlign w:val="center"/>
          </w:tcPr>
          <w:p>
            <w:pPr>
              <w:pStyle w:val="TableText"/>
              <w:jc w:val="left"/>
            </w:pPr>
            <w:r>
              <w:rPr>
                <w:sz w:val="20"/>
                <w:szCs w:val="20"/>
              </w:rPr>
              <w:t xml:space="preserve">SCHL</w:t>
            </w:r>
          </w:p>
        </w:tc>
        <w:tc>
          <w:tcPr>
            <w:tcW w:w="5022" w:type="dxa"/>
            <w:vAlign w:val="center"/>
          </w:tcPr>
          <w:p>
            <w:pPr>
              <w:pStyle w:val="TableText"/>
              <w:jc w:val="left"/>
            </w:pPr>
            <w:r>
              <w:rPr>
                <w:sz w:val="20"/>
                <w:szCs w:val="20"/>
              </w:rPr>
              <w:t xml:space="preserve">Educational attainment (24 ordered levels)</w:t>
            </w:r>
          </w:p>
        </w:tc>
        <w:tc>
          <w:tcPr>
            <w:tcW w:w="2354" w:type="dxa"/>
            <w:vAlign w:val="center"/>
          </w:tcPr>
          <w:p>
            <w:pPr>
              <w:pStyle w:val="TableText"/>
              <w:jc w:val="left"/>
            </w:pPr>
            <w:r>
              <w:rPr>
                <w:sz w:val="20"/>
                <w:szCs w:val="20"/>
              </w:rPr>
              <w:t xml:space="preserve">Ordinal, treated as numeric</w:t>
            </w:r>
          </w:p>
        </w:tc>
      </w:tr>
      <w:tr>
        <w:trPr>
          <w:cantSplit/>
        </w:trPr>
        <w:tc>
          <w:tcPr>
            <w:tcW w:w="1883" w:type="dxa"/>
            <w:vAlign w:val="center"/>
          </w:tcPr>
          <w:p>
            <w:pPr>
              <w:pStyle w:val="TableText"/>
              <w:jc w:val="left"/>
            </w:pPr>
            <w:r>
              <w:rPr>
                <w:sz w:val="20"/>
                <w:szCs w:val="20"/>
              </w:rPr>
              <w:t xml:space="preserve">MAR</w:t>
            </w:r>
          </w:p>
        </w:tc>
        <w:tc>
          <w:tcPr>
            <w:tcW w:w="5022" w:type="dxa"/>
            <w:vAlign w:val="center"/>
          </w:tcPr>
          <w:p>
            <w:pPr>
              <w:pStyle w:val="TableText"/>
              <w:jc w:val="left"/>
            </w:pPr>
            <w:r>
              <w:rPr>
                <w:sz w:val="20"/>
                <w:szCs w:val="20"/>
              </w:rPr>
              <w:t xml:space="preserve">Marital status</w:t>
            </w:r>
          </w:p>
        </w:tc>
        <w:tc>
          <w:tcPr>
            <w:tcW w:w="2354" w:type="dxa"/>
            <w:vAlign w:val="center"/>
          </w:tcPr>
          <w:p>
            <w:pPr>
              <w:pStyle w:val="TableText"/>
              <w:jc w:val="left"/>
            </w:pPr>
            <w:r>
              <w:rPr>
                <w:sz w:val="20"/>
                <w:szCs w:val="20"/>
              </w:rPr>
              <w:t xml:space="preserve">Nominal</w:t>
            </w:r>
          </w:p>
        </w:tc>
      </w:tr>
      <w:tr>
        <w:trPr>
          <w:cantSplit/>
        </w:trPr>
        <w:tc>
          <w:tcPr>
            <w:tcW w:w="1883" w:type="dxa"/>
            <w:vAlign w:val="center"/>
          </w:tcPr>
          <w:p>
            <w:pPr>
              <w:pStyle w:val="TableText"/>
              <w:jc w:val="left"/>
            </w:pPr>
            <w:r>
              <w:rPr>
                <w:sz w:val="20"/>
                <w:szCs w:val="20"/>
              </w:rPr>
              <w:t xml:space="preserve">OCCP</w:t>
            </w:r>
          </w:p>
        </w:tc>
        <w:tc>
          <w:tcPr>
            <w:tcW w:w="5022" w:type="dxa"/>
            <w:vAlign w:val="center"/>
          </w:tcPr>
          <w:p>
            <w:pPr>
              <w:pStyle w:val="TableText"/>
              <w:jc w:val="left"/>
            </w:pPr>
            <w:r>
              <w:rPr>
                <w:sz w:val="20"/>
                <w:szCs w:val="20"/>
              </w:rPr>
              <w:t xml:space="preserve">Occupation</w:t>
            </w:r>
          </w:p>
        </w:tc>
        <w:tc>
          <w:tcPr>
            <w:tcW w:w="2354" w:type="dxa"/>
            <w:vAlign w:val="center"/>
          </w:tcPr>
          <w:p>
            <w:pPr>
              <w:pStyle w:val="TableText"/>
              <w:jc w:val="left"/>
            </w:pPr>
            <w:r>
              <w:rPr>
                <w:sz w:val="20"/>
                <w:szCs w:val="20"/>
              </w:rPr>
              <w:t xml:space="preserve">Nominal</w:t>
            </w:r>
          </w:p>
        </w:tc>
      </w:tr>
      <w:tr>
        <w:trPr>
          <w:cantSplit/>
        </w:trPr>
        <w:tc>
          <w:tcPr>
            <w:tcW w:w="1883" w:type="dxa"/>
            <w:vAlign w:val="center"/>
          </w:tcPr>
          <w:p>
            <w:pPr>
              <w:pStyle w:val="TableText"/>
              <w:jc w:val="left"/>
            </w:pPr>
            <w:r>
              <w:rPr>
                <w:sz w:val="20"/>
                <w:szCs w:val="20"/>
              </w:rPr>
              <w:t xml:space="preserve">POBP</w:t>
            </w:r>
          </w:p>
        </w:tc>
        <w:tc>
          <w:tcPr>
            <w:tcW w:w="5022" w:type="dxa"/>
            <w:vAlign w:val="center"/>
          </w:tcPr>
          <w:p>
            <w:pPr>
              <w:pStyle w:val="TableText"/>
              <w:jc w:val="left"/>
            </w:pPr>
            <w:r>
              <w:rPr>
                <w:sz w:val="20"/>
                <w:szCs w:val="20"/>
              </w:rPr>
              <w:t xml:space="preserve">Place of birth</w:t>
            </w:r>
          </w:p>
        </w:tc>
        <w:tc>
          <w:tcPr>
            <w:tcW w:w="2354" w:type="dxa"/>
            <w:vAlign w:val="center"/>
          </w:tcPr>
          <w:p>
            <w:pPr>
              <w:pStyle w:val="TableText"/>
              <w:jc w:val="left"/>
            </w:pPr>
            <w:r>
              <w:rPr>
                <w:sz w:val="20"/>
                <w:szCs w:val="20"/>
              </w:rPr>
              <w:t xml:space="preserve">Nominal</w:t>
            </w:r>
          </w:p>
        </w:tc>
      </w:tr>
      <w:tr>
        <w:trPr>
          <w:cantSplit/>
        </w:trPr>
        <w:tc>
          <w:tcPr>
            <w:tcW w:w="1883" w:type="dxa"/>
            <w:vAlign w:val="center"/>
          </w:tcPr>
          <w:p>
            <w:pPr>
              <w:pStyle w:val="TableText"/>
              <w:jc w:val="left"/>
            </w:pPr>
            <w:r>
              <w:rPr>
                <w:sz w:val="20"/>
                <w:szCs w:val="20"/>
              </w:rPr>
              <w:t xml:space="preserve">RELP</w:t>
            </w:r>
          </w:p>
        </w:tc>
        <w:tc>
          <w:tcPr>
            <w:tcW w:w="5022" w:type="dxa"/>
            <w:vAlign w:val="center"/>
          </w:tcPr>
          <w:p>
            <w:pPr>
              <w:pStyle w:val="TableText"/>
              <w:jc w:val="left"/>
            </w:pPr>
            <w:r>
              <w:rPr>
                <w:sz w:val="20"/>
                <w:szCs w:val="20"/>
              </w:rPr>
              <w:t xml:space="preserve">Relationship to the reference person</w:t>
            </w:r>
          </w:p>
        </w:tc>
        <w:tc>
          <w:tcPr>
            <w:tcW w:w="2354" w:type="dxa"/>
            <w:vAlign w:val="center"/>
          </w:tcPr>
          <w:p>
            <w:pPr>
              <w:pStyle w:val="TableText"/>
              <w:jc w:val="left"/>
            </w:pPr>
            <w:r>
              <w:rPr>
                <w:sz w:val="20"/>
                <w:szCs w:val="20"/>
              </w:rPr>
              <w:t xml:space="preserve">Nominal</w:t>
            </w:r>
          </w:p>
        </w:tc>
      </w:tr>
      <w:tr>
        <w:trPr>
          <w:cantSplit/>
        </w:trPr>
        <w:tc>
          <w:tcPr>
            <w:tcW w:w="1883" w:type="dxa"/>
            <w:vAlign w:val="center"/>
          </w:tcPr>
          <w:p>
            <w:pPr>
              <w:pStyle w:val="TableText"/>
              <w:jc w:val="left"/>
            </w:pPr>
            <w:r>
              <w:rPr>
                <w:sz w:val="20"/>
                <w:szCs w:val="20"/>
              </w:rPr>
              <w:t xml:space="preserve">WKHP</w:t>
            </w:r>
          </w:p>
        </w:tc>
        <w:tc>
          <w:tcPr>
            <w:tcW w:w="5022" w:type="dxa"/>
            <w:vAlign w:val="center"/>
          </w:tcPr>
          <w:p>
            <w:pPr>
              <w:pStyle w:val="TableText"/>
              <w:jc w:val="left"/>
            </w:pPr>
            <w:r>
              <w:rPr>
                <w:sz w:val="20"/>
                <w:szCs w:val="20"/>
              </w:rPr>
              <w:t xml:space="preserve">Usual hours worked per week</w:t>
            </w:r>
          </w:p>
        </w:tc>
        <w:tc>
          <w:tcPr>
            <w:tcW w:w="2354" w:type="dxa"/>
            <w:vAlign w:val="center"/>
          </w:tcPr>
          <w:p>
            <w:pPr>
              <w:pStyle w:val="TableText"/>
              <w:jc w:val="left"/>
            </w:pPr>
            <w:r>
              <w:rPr>
                <w:sz w:val="20"/>
                <w:szCs w:val="20"/>
              </w:rPr>
              <w:t xml:space="preserve">Numeric</w:t>
            </w:r>
          </w:p>
        </w:tc>
      </w:tr>
      <w:tr>
        <w:trPr>
          <w:cantSplit/>
        </w:trPr>
        <w:tc>
          <w:tcPr>
            <w:tcW w:w="1883" w:type="dxa"/>
            <w:vAlign w:val="center"/>
          </w:tcPr>
          <w:p>
            <w:pPr>
              <w:pStyle w:val="TableText"/>
              <w:jc w:val="left"/>
            </w:pPr>
            <w:r>
              <w:rPr>
                <w:sz w:val="20"/>
                <w:szCs w:val="20"/>
              </w:rPr>
              <w:t xml:space="preserve">SEX</w:t>
            </w:r>
          </w:p>
        </w:tc>
        <w:tc>
          <w:tcPr>
            <w:tcW w:w="5022" w:type="dxa"/>
            <w:vAlign w:val="center"/>
          </w:tcPr>
          <w:p>
            <w:pPr>
              <w:pStyle w:val="TableText"/>
              <w:jc w:val="left"/>
            </w:pPr>
            <w:r>
              <w:rPr>
                <w:sz w:val="20"/>
                <w:szCs w:val="20"/>
              </w:rPr>
              <w:t xml:space="preserve">Sex</w:t>
            </w:r>
          </w:p>
        </w:tc>
        <w:tc>
          <w:tcPr>
            <w:tcW w:w="2354" w:type="dxa"/>
            <w:vAlign w:val="center"/>
          </w:tcPr>
          <w:p>
            <w:pPr>
              <w:pStyle w:val="TableText"/>
              <w:jc w:val="left"/>
            </w:pPr>
            <w:r>
              <w:rPr>
                <w:sz w:val="20"/>
                <w:szCs w:val="20"/>
              </w:rPr>
              <w:t xml:space="preserve">Nominal</w:t>
            </w:r>
          </w:p>
        </w:tc>
      </w:tr>
      <w:tr>
        <w:trPr>
          <w:cantSplit/>
        </w:trPr>
        <w:tc>
          <w:tcPr>
            <w:tcW w:w="1883" w:type="dxa"/>
            <w:vAlign w:val="center"/>
          </w:tcPr>
          <w:p>
            <w:pPr>
              <w:pStyle w:val="TableText"/>
              <w:jc w:val="left"/>
            </w:pPr>
            <w:r>
              <w:rPr>
                <w:sz w:val="20"/>
                <w:szCs w:val="20"/>
              </w:rPr>
              <w:t xml:space="preserve">RAC1P</w:t>
            </w:r>
          </w:p>
        </w:tc>
        <w:tc>
          <w:tcPr>
            <w:tcW w:w="5022" w:type="dxa"/>
            <w:vAlign w:val="center"/>
          </w:tcPr>
          <w:p>
            <w:pPr>
              <w:pStyle w:val="TableText"/>
              <w:jc w:val="left"/>
            </w:pPr>
            <w:r>
              <w:rPr>
                <w:sz w:val="20"/>
                <w:szCs w:val="20"/>
              </w:rPr>
              <w:t xml:space="preserve">Race</w:t>
            </w:r>
          </w:p>
        </w:tc>
        <w:tc>
          <w:tcPr>
            <w:tcW w:w="2354" w:type="dxa"/>
            <w:vAlign w:val="center"/>
          </w:tcPr>
          <w:p>
            <w:pPr>
              <w:pStyle w:val="TableText"/>
              <w:jc w:val="left"/>
            </w:pPr>
            <w:r>
              <w:rPr>
                <w:sz w:val="20"/>
                <w:szCs w:val="20"/>
              </w:rPr>
              <w:t xml:space="preserve">Nominal</w:t>
            </w:r>
          </w:p>
        </w:tc>
      </w:tr>
    </w:tbl>
    <w:p>
      <w:pPr>
        <w:spacing w:before="0" w:after="120" w:line="240" w:lineRule="auto"/>
      </w:pPr>
    </w:p>
    <w:p>
      <w:pPr>
        <w:pStyle w:val="Normal"/>
      </w:pPr>
      <w:r>
        <w:t xml:space="preserve">Nominal codes such as occupation are one-hot encoded for LR, split natively by GB and tested with count-based statistics by the detectors, because their numeric order means nothing.</w:t>
      </w:r>
    </w:p>
    <w:p>
      <w:pPr>
        <w:pStyle w:val="Normal"/>
      </w:pPr>
      <w:r>
        <w:rPr>
          <w:i/>
          <w:iCs/>
        </w:rPr>
        <w:t xml:space="preserve">Gas sensor array drift.</w:t>
      </w:r>
      <w:r>
        <w:t xml:space="preserve"> This dataset from the machine learning repository of the University of California, Irvine (UCI) holds 13,910 measurements of six gases by 16 metal oxide sensors, taken over 36 months in ten batches </w:t>
      </w:r>
      <w:r>
        <w:t xml:space="preserve">[56], [57]</w:t>
      </w:r>
      <w:r>
        <w:t xml:space="preserve">, with eight features per sensor (licence CC BY 4.0). As the sensors age, their response to the same gas drifts while the labels stay exact, a documented change in </w:t>
      </w:r>
      <m:oMath>
        <m:r>
          <m:t>P</m:t>
        </m:r>
        <m:r>
          <m:rPr>
            <m:sty m:val="p"/>
          </m:rPr>
          <m:t>(</m:t>
        </m:r>
        <m:r>
          <m:t>X</m:t>
        </m:r>
        <m:r>
          <m:rPr>
            <m:sty m:val="p"/>
          </m:rPr>
          <m:t>∣</m:t>
        </m:r>
        <m:r>
          <m:t>Y</m:t>
        </m:r>
        <m:r>
          <m:rPr>
            <m:sty m:val="p"/>
          </m:rPr>
          <m:t>)</m:t>
        </m:r>
      </m:oMath>
      <w:r>
        <w:t xml:space="preserve">. Batches 1 and 2 form the reference and batches 3 to 10 the windows. Some batches are small, so the number of audit labels for a window of </w:t>
      </w:r>
      <m:oMath>
        <m:r>
          <m:t>n</m:t>
        </m:r>
      </m:oMath>
      <w:r>
        <w:t xml:space="preserve"> rows is given by </w:t>
      </w:r>
      <m:oMath>
        <m:r>
          <m:rPr>
            <m:sty m:val="p"/>
          </m:rPr>
          <m:t>min</m:t>
        </m:r>
        <m:r>
          <m:rPr>
            <m:sty m:val="p"/>
          </m:rPr>
          <m:t>(</m:t>
        </m:r>
        <m:r>
          <m:t>600</m:t>
        </m:r>
        <m:r>
          <m:rPr>
            <m:sty m:val="p"/>
          </m:rPr>
          <m:t>,</m:t>
        </m:r>
        <m:r>
          <m:rPr>
            <m:sty m:val="p"/>
          </m:rPr>
          <m:t>⌊</m:t>
        </m:r>
        <m:r>
          <m:t>n</m:t>
        </m:r>
        <m:r>
          <m:rPr>
            <m:sty m:val="p"/>
          </m:rPr>
          <m:t>/</m:t>
        </m:r>
        <m:r>
          <m:t>2</m:t>
        </m:r>
        <m:r>
          <m:rPr>
            <m:sty m:val="p"/>
          </m:rPr>
          <m:t>⌋</m:t>
        </m:r>
        <m:r>
          <m:rPr>
            <m:sty m:val="p"/>
          </m:rPr>
          <m:t>)</m:t>
        </m:r>
      </m:oMath>
      <w:r>
        <w:t xml:space="preserve">.</w:t>
      </w:r>
    </w:p>
    <w:p>
      <w:pPr>
        <w:pStyle w:val="Normal"/>
      </w:pPr>
      <w:r>
        <w:rPr>
          <w:i/>
          <w:iCs/>
        </w:rPr>
        <w:t xml:space="preserve">CLEAR-10.</w:t>
      </w:r>
      <w:r>
        <w:t xml:space="preserve"> This image stream from Flickr has ten object classes and a background class, spread over ten time-ordered buckets of about 3,300 images each </w:t>
      </w:r>
      <w:r>
        <w:t xml:space="preserve">[27]</w:t>
      </w:r>
      <w:r>
        <w:t xml:space="preserve"> (licence CC BY 4.0). Bucket 1 is the reference. Images are mapped to the 512-dimensional output of the global average pooling layer of a frozen residual network with 18 layers (ResNet-18) trained on ImageNet </w:t>
      </w:r>
      <w:r>
        <w:t xml:space="preserve">[58]</w:t>
      </w:r>
      <w:r>
        <w:t xml:space="preserve"> and both models are fitted on these embeddings.</w:t>
      </w:r>
    </w:p>
    <w:p>
      <w:pPr>
        <w:pStyle w:val="Normal"/>
      </w:pPr>
      <w:r>
        <w:rPr>
          <w:b/>
          <w:bCs/>
        </w:rPr>
        <w:t xml:space="preserve">Injection benchmark.</w:t>
      </w:r>
      <w:r>
        <w:t xml:space="preserve"> The type of a real drift is never known for certain, so the diagnosis is graded on drift that we inject ourselves into real census data. The benchmark uses the 2014 data of 5 states (CA, TX, NY, FL, WA) for both ACS tasks. For each of 10 seeds the split, the window and the injection are drawn again, which gives 50 replicates per configuration. A replicate draws a window of 4,000 rows and a grading holdout of 2,000 rows from the test part and each mechanism is injected into both at three intensities. Table </w:t>
      </w:r>
      <w:r>
        <w:t xml:space="preserve">5.3</w:t>
      </w:r>
      <w:r>
        <w:t xml:space="preserve"> lists the mechanisms of the two designs.</w:t>
      </w:r>
    </w:p>
    <w:p>
      <w:pPr>
        <w:pStyle w:val="TableCaption"/>
      </w:pPr>
      <w:r>
        <w:rPr>
          <w:b/>
          <w:bCs/>
        </w:rPr>
        <w:t xml:space="preserve">Table 5.3: </w:t>
      </w:r>
      <w:r>
        <w:t xml:space="preserve">Drift mechanisms of the injection benchmark</w:t>
      </w:r>
    </w:p>
    <w:tbl>
      <w:tblPr>
        <w:tblW w:w="925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30" w:type="dxa"/>
          <w:left w:w="80" w:type="dxa"/>
          <w:bottom w:w="30" w:type="dxa"/>
          <w:right w:w="80" w:type="dxa"/>
        </w:tblCellMar>
        <w:tblLook w:val="0000"/>
      </w:tblPr>
      <w:tblGrid>
        <w:gridCol w:w="1580"/>
        <w:gridCol w:w="3839"/>
        <w:gridCol w:w="3839"/>
      </w:tblGrid>
      <w:tr>
        <w:trPr>
          <w:cantSplit/>
          <w:tblHeader/>
        </w:trPr>
        <w:tc>
          <w:tcPr>
            <w:tcW w:w="1580" w:type="dxa"/>
            <w:shd w:val="clear" w:color="auto" w:fill="D9E2F3"/>
            <w:vAlign w:val="center"/>
          </w:tcPr>
          <w:p>
            <w:pPr>
              <w:pStyle w:val="TableText"/>
              <w:keepNext/>
              <w:jc w:val="center"/>
            </w:pPr>
            <w:r>
              <w:rPr>
                <w:sz w:val="19"/>
                <w:szCs w:val="19"/>
                <w:b/>
                <w:bCs/>
              </w:rPr>
              <w:t xml:space="preserve">Type</w:t>
            </w:r>
          </w:p>
        </w:tc>
        <w:tc>
          <w:tcPr>
            <w:tcW w:w="3839" w:type="dxa"/>
            <w:shd w:val="clear" w:color="auto" w:fill="D9E2F3"/>
            <w:vAlign w:val="center"/>
          </w:tcPr>
          <w:p>
            <w:pPr>
              <w:pStyle w:val="TableText"/>
              <w:keepNext/>
              <w:jc w:val="center"/>
            </w:pPr>
            <w:r>
              <w:rPr>
                <w:sz w:val="19"/>
                <w:szCs w:val="19"/>
                <w:b/>
                <w:bCs/>
              </w:rPr>
              <w:t xml:space="preserve">Design A (partly matches the tests)</w:t>
            </w:r>
          </w:p>
        </w:tc>
        <w:tc>
          <w:tcPr>
            <w:tcW w:w="3839" w:type="dxa"/>
            <w:shd w:val="clear" w:color="auto" w:fill="D9E2F3"/>
            <w:vAlign w:val="center"/>
          </w:tcPr>
          <w:p>
            <w:pPr>
              <w:pStyle w:val="TableText"/>
              <w:keepNext/>
              <w:jc w:val="center"/>
            </w:pPr>
            <w:r>
              <w:rPr>
                <w:sz w:val="19"/>
                <w:szCs w:val="19"/>
                <w:b/>
                <w:bCs/>
              </w:rPr>
              <w:t xml:space="preserve">Design B (held out from the design)</w:t>
            </w:r>
          </w:p>
        </w:tc>
      </w:tr>
      <w:tr>
        <w:trPr>
          <w:cantSplit/>
        </w:trPr>
        <w:tc>
          <w:tcPr>
            <w:tcW w:w="1580" w:type="dxa"/>
            <w:vAlign w:val="center"/>
          </w:tcPr>
          <w:p>
            <w:pPr>
              <w:pStyle w:val="TableText"/>
              <w:keepNext/>
              <w:jc w:val="left"/>
            </w:pPr>
            <w:r>
              <w:rPr>
                <w:sz w:val="19"/>
                <w:szCs w:val="19"/>
              </w:rPr>
              <w:t xml:space="preserve">Covariate shift</w:t>
            </w:r>
          </w:p>
        </w:tc>
        <w:tc>
          <w:tcPr>
            <w:tcW w:w="3839" w:type="dxa"/>
            <w:vAlign w:val="center"/>
          </w:tcPr>
          <w:p>
            <w:pPr>
              <w:pStyle w:val="TableText"/>
              <w:keepNext/>
              <w:jc w:val="left"/>
            </w:pPr>
            <w:r>
              <w:rPr>
                <w:sz w:val="19"/>
                <w:szCs w:val="19"/>
              </w:rPr>
              <w:t xml:space="preserve">Rescale two numeric features (ACS Income: AGEP and WKHP) for a random subset of rows</w:t>
            </w:r>
          </w:p>
        </w:tc>
        <w:tc>
          <w:tcPr>
            <w:tcW w:w="3839" w:type="dxa"/>
            <w:vAlign w:val="center"/>
          </w:tcPr>
          <w:p>
            <w:pPr>
              <w:pStyle w:val="TableText"/>
              <w:keepNext/>
              <w:jc w:val="left"/>
            </w:pPr>
            <w:r>
              <w:rPr>
                <w:sz w:val="19"/>
                <w:szCs w:val="19"/>
              </w:rPr>
              <w:t xml:space="preserve">Selection bias: keep each row with probability </w:t>
            </w:r>
            <m:oMath>
              <m:r>
                <m:t>σ</m:t>
              </m:r>
              <m:r>
                <m:rPr>
                  <m:sty m:val="p"/>
                </m:rPr>
                <m:t>(</m:t>
              </m:r>
              <m:r>
                <m:t>β</m:t>
              </m:r>
              <m:r>
                <m:t>s</m:t>
              </m:r>
              <m:r>
                <m:rPr>
                  <m:sty m:val="p"/>
                </m:rPr>
                <m:t>(</m:t>
              </m:r>
              <m:r>
                <m:t>x</m:t>
              </m:r>
              <m:r>
                <m:rPr>
                  <m:sty m:val="p"/>
                </m:rPr>
                <m:t>)</m:t>
              </m:r>
              <m:r>
                <m:rPr>
                  <m:sty m:val="p"/>
                </m:rPr>
                <m:t>)</m:t>
              </m:r>
            </m:oMath>
            <w:r>
              <w:rPr>
                <w:sz w:val="19"/>
                <w:szCs w:val="19"/>
              </w:rPr>
              <w:t xml:space="preserve"> for a seeded random score </w:t>
            </w:r>
            <m:oMath>
              <m:r>
                <m:t>s</m:t>
              </m:r>
            </m:oMath>
            <w:r>
              <w:rPr>
                <w:sz w:val="19"/>
                <w:szCs w:val="19"/>
              </w:rPr>
              <w:t xml:space="preserve"> over all inputs, </w:t>
            </w:r>
            <m:oMath>
              <m:r>
                <m:t>β</m:t>
              </m:r>
              <m:r>
                <m:rPr>
                  <m:sty m:val="p"/>
                </m:rPr>
                <m:t>∈</m:t>
              </m:r>
              <m:r>
                <m:rPr>
                  <m:sty m:val="p"/>
                </m:rPr>
                <m:t>{</m:t>
              </m:r>
              <m:r>
                <m:t>0.5</m:t>
              </m:r>
              <m:r>
                <m:rPr>
                  <m:sty m:val="p"/>
                </m:rPr>
                <m:t>,</m:t>
              </m:r>
              <m:r>
                <m:t>1</m:t>
              </m:r>
              <m:r>
                <m:rPr>
                  <m:sty m:val="p"/>
                </m:rPr>
                <m:t>,</m:t>
              </m:r>
              <m:r>
                <m:t>1.5</m:t>
              </m:r>
              <m:r>
                <m:rPr>
                  <m:sty m:val="p"/>
                </m:rPr>
                <m:t>}</m:t>
              </m:r>
            </m:oMath>
          </w:p>
        </w:tc>
      </w:tr>
      <w:tr>
        <w:trPr>
          <w:cantSplit/>
        </w:trPr>
        <w:tc>
          <w:tcPr>
            <w:tcW w:w="1580" w:type="dxa"/>
            <w:vAlign w:val="center"/>
          </w:tcPr>
          <w:p>
            <w:pPr>
              <w:pStyle w:val="TableText"/>
              <w:keepNext/>
              <w:jc w:val="left"/>
            </w:pPr>
            <w:r>
              <w:rPr>
                <w:sz w:val="19"/>
                <w:szCs w:val="19"/>
              </w:rPr>
              <w:t xml:space="preserve">Prior shift</w:t>
            </w:r>
          </w:p>
        </w:tc>
        <w:tc>
          <w:tcPr>
            <w:tcW w:w="3839" w:type="dxa"/>
            <w:vAlign w:val="center"/>
          </w:tcPr>
          <w:p>
            <w:pPr>
              <w:pStyle w:val="TableText"/>
              <w:keepNext/>
              <w:jc w:val="left"/>
            </w:pPr>
            <w:r>
              <w:rPr>
                <w:sz w:val="19"/>
                <w:szCs w:val="19"/>
              </w:rPr>
              <w:t xml:space="preserve">Drop rows of one class until the positive rate rises by 0.14, 0.23 and 0.32</w:t>
            </w:r>
          </w:p>
        </w:tc>
        <w:tc>
          <w:tcPr>
            <w:tcW w:w="3839" w:type="dxa"/>
            <w:vAlign w:val="center"/>
          </w:tcPr>
          <w:p>
            <w:pPr>
              <w:pStyle w:val="TableText"/>
              <w:keepNext/>
              <w:jc w:val="left"/>
            </w:pPr>
            <w:r>
              <w:rPr>
                <w:sz w:val="19"/>
                <w:szCs w:val="19"/>
              </w:rPr>
              <w:t xml:space="preserve">Lower the positive rate by 0.08, 0.14 and 0.20</w:t>
            </w:r>
          </w:p>
        </w:tc>
      </w:tr>
      <w:tr>
        <w:trPr>
          <w:cantSplit/>
        </w:trPr>
        <w:tc>
          <w:tcPr>
            <w:tcW w:w="1580" w:type="dxa"/>
            <w:vAlign w:val="center"/>
          </w:tcPr>
          <w:p>
            <w:pPr>
              <w:pStyle w:val="TableText"/>
              <w:jc w:val="left"/>
            </w:pPr>
            <w:r>
              <w:rPr>
                <w:sz w:val="19"/>
                <w:szCs w:val="19"/>
              </w:rPr>
              <w:t xml:space="preserve">Concept drift</w:t>
            </w:r>
          </w:p>
        </w:tc>
        <w:tc>
          <w:tcPr>
            <w:tcW w:w="3839" w:type="dxa"/>
            <w:vAlign w:val="center"/>
          </w:tcPr>
          <w:p>
            <w:pPr>
              <w:pStyle w:val="TableText"/>
              <w:jc w:val="left"/>
            </w:pPr>
            <w:r>
              <w:rPr>
                <w:sz w:val="19"/>
                <w:szCs w:val="19"/>
              </w:rPr>
              <w:t xml:space="preserve">Invert the labels of the 15, 30 and 50% of rows with the highest value of one feature (ACS Income: SCHL)</w:t>
            </w:r>
          </w:p>
        </w:tc>
        <w:tc>
          <w:tcPr>
            <w:tcW w:w="3839" w:type="dxa"/>
            <w:vAlign w:val="center"/>
          </w:tcPr>
          <w:p>
            <w:pPr>
              <w:pStyle w:val="TableText"/>
              <w:jc w:val="left"/>
            </w:pPr>
            <w:r>
              <w:rPr>
                <w:sz w:val="19"/>
                <w:szCs w:val="19"/>
              </w:rPr>
              <w:t xml:space="preserve">Invert the labels in the top 15, 30 and 50% of a second random score (an oblique region); for ACS Income also raise the income threshold to $55,000, $60,000 and $70,000</w:t>
            </w:r>
          </w:p>
        </w:tc>
      </w:tr>
      <w:tr>
        <w:trPr>
          <w:cantSplit/>
        </w:trPr>
        <w:tc>
          <w:tcPr>
            <w:tcW w:w="1580" w:type="dxa"/>
            <w:vAlign w:val="center"/>
          </w:tcPr>
          <w:p>
            <w:pPr>
              <w:pStyle w:val="TableText"/>
              <w:jc w:val="left"/>
            </w:pPr>
            <w:r>
              <w:rPr>
                <w:sz w:val="19"/>
                <w:szCs w:val="19"/>
              </w:rPr>
              <w:t xml:space="preserve">Label noise</w:t>
            </w:r>
          </w:p>
        </w:tc>
        <w:tc>
          <w:tcPr>
            <w:tcW w:w="3839" w:type="dxa"/>
            <w:vAlign w:val="center"/>
          </w:tcPr>
          <w:p>
            <w:pPr>
              <w:pStyle w:val="TableText"/>
              <w:jc w:val="left"/>
            </w:pPr>
            <w:r>
              <w:rPr>
                <w:sz w:val="19"/>
                <w:szCs w:val="19"/>
              </w:rPr>
              <w:t xml:space="preserve">Flip a random 8, 18 and 32% of the labels</w:t>
            </w:r>
          </w:p>
        </w:tc>
        <w:tc>
          <w:tcPr>
            <w:tcW w:w="3839" w:type="dxa"/>
            <w:vAlign w:val="center"/>
          </w:tcPr>
          <w:p>
            <w:pPr>
              <w:pStyle w:val="TableText"/>
              <w:jc w:val="left"/>
            </w:pPr>
            <w:r>
              <w:rPr>
                <w:sz w:val="19"/>
                <w:szCs w:val="19"/>
              </w:rPr>
              <w:t xml:space="preserve">Flip positive labels to negative at rates of 10, 20 and 35%</w:t>
            </w:r>
          </w:p>
        </w:tc>
      </w:tr>
      <w:tr>
        <w:trPr>
          <w:cantSplit/>
        </w:trPr>
        <w:tc>
          <w:tcPr>
            <w:tcW w:w="1580" w:type="dxa"/>
            <w:vAlign w:val="center"/>
          </w:tcPr>
          <w:p>
            <w:pPr>
              <w:pStyle w:val="TableText"/>
              <w:jc w:val="left"/>
            </w:pPr>
            <w:r>
              <w:rPr>
                <w:sz w:val="19"/>
                <w:szCs w:val="19"/>
              </w:rPr>
              <w:t xml:space="preserve">Control</w:t>
            </w:r>
          </w:p>
        </w:tc>
        <w:tc>
          <w:tcPr>
            <w:tcW w:w="3839" w:type="dxa"/>
            <w:vAlign w:val="center"/>
          </w:tcPr>
          <w:p>
            <w:pPr>
              <w:pStyle w:val="TableText"/>
              <w:jc w:val="left"/>
            </w:pPr>
            <w:r>
              <w:rPr>
                <w:sz w:val="19"/>
                <w:szCs w:val="19"/>
              </w:rPr>
              <w:t xml:space="preserve">A window without drift in every replicate</w:t>
            </w:r>
          </w:p>
        </w:tc>
        <w:tc>
          <w:tcPr>
            <w:tcW w:w="3839" w:type="dxa"/>
            <w:vAlign w:val="center"/>
          </w:tcPr>
          <w:p>
            <w:pPr>
              <w:pStyle w:val="TableText"/>
              <w:jc w:val="left"/>
            </w:pPr>
            <w:r>
              <w:rPr>
                <w:sz w:val="19"/>
                <w:szCs w:val="19"/>
              </w:rPr>
              <w:t xml:space="preserve">None</w:t>
            </w:r>
          </w:p>
        </w:tc>
      </w:tr>
    </w:tbl>
    <w:p>
      <w:pPr>
        <w:spacing w:before="0" w:after="120" w:line="240" w:lineRule="auto"/>
      </w:pPr>
    </w:p>
    <w:p>
      <w:pPr>
        <w:pStyle w:val="Normal"/>
      </w:pPr>
      <w:r>
        <w:t xml:space="preserve">In design B the rows of the selection-bias windows stay real and </w:t>
      </w:r>
      <m:oMath>
        <m:r>
          <m:t>P</m:t>
        </m:r>
        <m:r>
          <m:rPr>
            <m:sty m:val="p"/>
          </m:rPr>
          <m:t>(</m:t>
        </m:r>
        <m:r>
          <m:t>Y</m:t>
        </m:r>
        <m:r>
          <m:rPr>
            <m:sty m:val="p"/>
          </m:rPr>
          <m:t>∣</m:t>
        </m:r>
        <m:r>
          <m:t>X</m:t>
        </m:r>
        <m:r>
          <m:rPr>
            <m:sty m:val="p"/>
          </m:rPr>
          <m:t>)</m:t>
        </m:r>
      </m:oMath>
      <w:r>
        <w:t xml:space="preserve"> is exactly unchanged, so the mechanism is a pure covariate shift that moves many features a little rather than two features a lot. None of the design B mechanisms shaped any part of the procedure, which is what makes it a fair test of whether the diagnosis carries over to new drift.</w:t>
      </w:r>
    </w:p>
    <w:p>
      <w:pPr>
        <w:pStyle w:val="Heading1"/>
      </w:pPr>
      <w:r>
        <w:t xml:space="preserve">CHAPTER 6: TESTING OF THE PROPOSED SYSTEM</w:t>
      </w:r>
    </w:p>
    <w:p>
      <w:pPr>
        <w:pStyle w:val="Normal"/>
      </w:pPr>
      <w:r>
        <w:t xml:space="preserve">A monitoring system makes claims about error rates, so testing it means more than checking that the code runs. This chapter states what the testing had to establish, describes the kinds of test used, lists the test cases with their results and draws conclusions from them.</w:t>
      </w:r>
    </w:p>
    <w:p>
      <w:pPr>
        <w:pStyle w:val="Heading2"/>
      </w:pPr>
      <w:r>
        <w:t xml:space="preserve">6.1 Introduction to Testing</w:t>
      </w:r>
    </w:p>
    <w:p>
      <w:pPr>
        <w:pStyle w:val="Normal"/>
      </w:pPr>
      <w:r>
        <w:t xml:space="preserve">The testing had three objectives. The first was functional: every module must do what its requirement in Section </w:t>
      </w:r>
      <w:r>
        <w:t xml:space="preserve">3.2</w:t>
      </w:r>
      <w:r>
        <w:t xml:space="preserve"> says. The second was statistical: every test must hold its stated error rate and the diagnosis must name the drift type correctly when the truth is known. The third concerned the system as a whole: the full pipeline must behave sensibly on real data and the dashboard must present every study without failing.</w:t>
      </w:r>
    </w:p>
    <w:p>
      <w:pPr>
        <w:pStyle w:val="Normal"/>
      </w:pPr>
      <w:r>
        <w:t xml:space="preserve">The scope covers the Python package, the study scripts, the benchmark and the dashboard. All tests ran on the workstation of Section </w:t>
      </w:r>
      <w:r>
        <w:t xml:space="preserve">3.4</w:t>
      </w:r>
      <w:r>
        <w:t xml:space="preserve"> under Python 3.14 with pytest 9.0. The strategy was layered: unit tests for each routine, simulations of error rates for the statistical procedures, the injection benchmark for the diagnosis, real-data studies with control windows for the whole system and integration tests for the dashboard. The automated suite was run again on 30 October 2026 for this report; its output is kept in the project folder.</w:t>
      </w:r>
    </w:p>
    <w:p>
      <w:pPr>
        <w:pStyle w:val="Heading2"/>
      </w:pPr>
      <w:r>
        <w:t xml:space="preserve">6.2 Types of Tests Considered</w:t>
      </w:r>
    </w:p>
    <w:p>
      <w:pPr>
        <w:pStyle w:val="Normal"/>
      </w:pPr>
      <w:r>
        <w:t xml:space="preserve">Each kind of test below was chosen because it checks a different claim the system makes.</w:t>
      </w:r>
    </w:p>
    <w:p>
      <w:pPr>
        <w:pStyle w:val="ListItem"/>
        <w:numPr>
          <w:ilvl w:val="0"/>
          <w:numId w:val="100"/>
        </w:numPr>
        <w:ind w:left="567" w:hanging="340"/>
      </w:pPr>
      <w:r>
        <w:rPr>
          <w:b/>
          <w:bCs/>
        </w:rPr>
        <w:t xml:space="preserve">Unit tests</w:t>
      </w:r>
      <w:r>
        <w:t xml:space="preserve"> (94 tests) check single routines against known answers: the Holm procedure against its step-down definition, the weighted KS test against SciPy with unit weights, the chi-square pooling rule, the BBSE weights on a known prior shift, the CBPE estimate on a labeled reference and each drift injector against the definition of its type.</w:t>
      </w:r>
    </w:p>
    <w:p>
      <w:pPr>
        <w:pStyle w:val="ListItem"/>
        <w:numPr>
          <w:ilvl w:val="0"/>
          <w:numId w:val="100"/>
        </w:numPr>
        <w:ind w:left="567" w:hanging="340"/>
      </w:pPr>
      <w:r>
        <w:rPr>
          <w:b/>
          <w:bCs/>
        </w:rPr>
        <w:t xml:space="preserve">Smoke tests</w:t>
      </w:r>
      <w:r>
        <w:t xml:space="preserve"> (6 tests) check that the main objects can be created and that the basic pipeline runs end to end on small data.</w:t>
      </w:r>
    </w:p>
    <w:p>
      <w:pPr>
        <w:pStyle w:val="ListItem"/>
        <w:numPr>
          <w:ilvl w:val="0"/>
          <w:numId w:val="100"/>
        </w:numPr>
        <w:ind w:left="567" w:hanging="340"/>
      </w:pPr>
      <w:r>
        <w:rPr>
          <w:b/>
          <w:bCs/>
        </w:rPr>
        <w:t xml:space="preserve">Integration tests</w:t>
      </w:r>
      <w:r>
        <w:t xml:space="preserve"> (13 tests) load every study report into the dashboard, build every chart and plain-language note, check that the decision path shown matches the verdicts and render the whole application without exceptions.</w:t>
      </w:r>
    </w:p>
    <w:p>
      <w:pPr>
        <w:pStyle w:val="ListItem"/>
        <w:numPr>
          <w:ilvl w:val="0"/>
          <w:numId w:val="100"/>
        </w:numPr>
        <w:ind w:left="567" w:hanging="340"/>
      </w:pPr>
      <w:r>
        <w:rPr>
          <w:b/>
          <w:bCs/>
        </w:rPr>
        <w:t xml:space="preserve">Statistical validation</w:t>
      </w:r>
      <w:r>
        <w:t xml:space="preserve"> checks error rates by simulation: the MMD permutation test and the weighted Holm procedure must not reject a true null more often than α and the family-wise error of the label-free decisions was simulated with 200,000 replicates.</w:t>
      </w:r>
    </w:p>
    <w:p>
      <w:pPr>
        <w:pStyle w:val="ListItem"/>
        <w:numPr>
          <w:ilvl w:val="0"/>
          <w:numId w:val="100"/>
        </w:numPr>
        <w:ind w:left="567" w:hanging="340"/>
      </w:pPr>
      <w:r>
        <w:rPr>
          <w:b/>
          <w:bCs/>
        </w:rPr>
        <w:t xml:space="preserve">Model validation</w:t>
      </w:r>
      <w:r>
        <w:t xml:space="preserve"> grades the diagnosis on the injection benchmark, where the true type is known, against rule baselines, a learned meta-classifier and ablations of the procedure (Section </w:t>
      </w:r>
      <w:r>
        <w:t xml:space="preserve">7.4</w:t>
      </w:r>
      <w:r>
        <w:t xml:space="preserve">).</w:t>
      </w:r>
    </w:p>
    <w:p>
      <w:pPr>
        <w:pStyle w:val="ListItem"/>
        <w:numPr>
          <w:ilvl w:val="0"/>
          <w:numId w:val="100"/>
        </w:numPr>
        <w:ind w:left="567" w:hanging="340"/>
      </w:pPr>
      <w:r>
        <w:rPr>
          <w:b/>
          <w:bCs/>
        </w:rPr>
        <w:t xml:space="preserve">System tests on real data</w:t>
      </w:r>
      <w:r>
        <w:t xml:space="preserve"> run the whole pipeline on the four real datasets, where the control windows must stay quiet and the verdicts must agree with the documented causes.</w:t>
      </w:r>
    </w:p>
    <w:p>
      <w:pPr>
        <w:pStyle w:val="ListItem"/>
        <w:numPr>
          <w:ilvl w:val="0"/>
          <w:numId w:val="100"/>
        </w:numPr>
        <w:ind w:left="567" w:hanging="340"/>
      </w:pPr>
      <w:r>
        <w:rPr>
          <w:b/>
          <w:bCs/>
        </w:rPr>
        <w:t xml:space="preserve">Performance tests</w:t>
      </w:r>
      <w:r>
        <w:t xml:space="preserve"> record the time each stage takes on every window.</w:t>
      </w:r>
    </w:p>
    <w:p>
      <w:pPr>
        <w:pStyle w:val="ListItem"/>
        <w:numPr>
          <w:ilvl w:val="0"/>
          <w:numId w:val="100"/>
        </w:numPr>
        <w:ind w:left="567" w:hanging="340"/>
      </w:pPr>
      <w:r>
        <w:rPr>
          <w:b/>
          <w:bCs/>
        </w:rPr>
        <w:t xml:space="preserve">Reproducibility tests</w:t>
      </w:r>
      <w:r>
        <w:t xml:space="preserve"> check that seeded components (permutation tests, SHAP, gradient boosting, strategies) give identical results when run twice and that the GPU and CPU versions of the permutation tests agree.</w:t>
      </w:r>
    </w:p>
    <w:p>
      <w:pPr>
        <w:pStyle w:val="Normal"/>
      </w:pPr>
      <w:r>
        <w:t xml:space="preserve">Security and load tests were not considered relevant: the system runs locally on public data, serves no external users and processes batches rather than requests.</w:t>
      </w:r>
    </w:p>
    <w:p>
      <w:pPr>
        <w:pStyle w:val="Heading2"/>
      </w:pPr>
      <w:r>
        <w:t xml:space="preserve">6.3 Test Case Scenarios</w:t>
      </w:r>
    </w:p>
    <w:p>
      <w:pPr>
        <w:pStyle w:val="Normal"/>
      </w:pPr>
      <w:r>
        <w:t xml:space="preserve">Table </w:t>
      </w:r>
      <w:r>
        <w:t xml:space="preserve">6.1</w:t>
      </w:r>
      <w:r>
        <w:t xml:space="preserve"> lists the main test case scenarios. Each is tied to a requirement of Chapter </w:t>
      </w:r>
      <w:r>
        <w:t xml:space="preserve">3</w:t>
      </w:r>
      <w:r>
        <w:t xml:space="preserve"> and the last column gives the outcome with the test or result that supports it.</w:t>
      </w:r>
    </w:p>
    <w:p>
      <w:pPr>
        <w:pStyle w:val="TableCaption"/>
      </w:pPr>
      <w:r>
        <w:rPr>
          <w:b/>
          <w:bCs/>
        </w:rPr>
        <w:t xml:space="preserve">Table 6.1: </w:t>
      </w:r>
      <w:r>
        <w:t xml:space="preserve">Test case scenarios and their results</w:t>
      </w:r>
    </w:p>
    <w:tbl>
      <w:tblPr>
        <w:tblW w:w="925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30" w:type="dxa"/>
          <w:left w:w="80" w:type="dxa"/>
          <w:bottom w:w="30" w:type="dxa"/>
          <w:right w:w="80" w:type="dxa"/>
        </w:tblCellMar>
        <w:tblLook w:val="0000"/>
      </w:tblPr>
      <w:tblGrid>
        <w:gridCol w:w="748"/>
        <w:gridCol w:w="1215"/>
        <w:gridCol w:w="2057"/>
        <w:gridCol w:w="1964"/>
        <w:gridCol w:w="1964"/>
        <w:gridCol w:w="1309"/>
      </w:tblGrid>
      <w:tr>
        <w:trPr>
          <w:cantSplit/>
          <w:tblHeader/>
        </w:trPr>
        <w:tc>
          <w:tcPr>
            <w:tcW w:w="748" w:type="dxa"/>
            <w:shd w:val="clear" w:color="auto" w:fill="D9E2F3"/>
            <w:vAlign w:val="center"/>
          </w:tcPr>
          <w:p>
            <w:pPr>
              <w:pStyle w:val="TableText"/>
              <w:keepNext/>
              <w:jc w:val="center"/>
            </w:pPr>
            <w:r>
              <w:rPr>
                <w:sz w:val="17"/>
                <w:szCs w:val="17"/>
                <w:b/>
                <w:bCs/>
              </w:rPr>
              <w:t xml:space="preserve">ID</w:t>
            </w:r>
          </w:p>
        </w:tc>
        <w:tc>
          <w:tcPr>
            <w:tcW w:w="1215" w:type="dxa"/>
            <w:shd w:val="clear" w:color="auto" w:fill="D9E2F3"/>
            <w:vAlign w:val="center"/>
          </w:tcPr>
          <w:p>
            <w:pPr>
              <w:pStyle w:val="TableText"/>
              <w:keepNext/>
              <w:jc w:val="center"/>
            </w:pPr>
            <w:r>
              <w:rPr>
                <w:sz w:val="17"/>
                <w:szCs w:val="17"/>
                <w:b/>
                <w:bCs/>
              </w:rPr>
              <w:t xml:space="preserve">Requirement</w:t>
            </w:r>
          </w:p>
        </w:tc>
        <w:tc>
          <w:tcPr>
            <w:tcW w:w="2057" w:type="dxa"/>
            <w:shd w:val="clear" w:color="auto" w:fill="D9E2F3"/>
            <w:vAlign w:val="center"/>
          </w:tcPr>
          <w:p>
            <w:pPr>
              <w:pStyle w:val="TableText"/>
              <w:keepNext/>
              <w:jc w:val="center"/>
            </w:pPr>
            <w:r>
              <w:rPr>
                <w:sz w:val="17"/>
                <w:szCs w:val="17"/>
                <w:b/>
                <w:bCs/>
              </w:rPr>
              <w:t xml:space="preserve">Input / precondition</w:t>
            </w:r>
          </w:p>
        </w:tc>
        <w:tc>
          <w:tcPr>
            <w:tcW w:w="1964" w:type="dxa"/>
            <w:shd w:val="clear" w:color="auto" w:fill="D9E2F3"/>
            <w:vAlign w:val="center"/>
          </w:tcPr>
          <w:p>
            <w:pPr>
              <w:pStyle w:val="TableText"/>
              <w:keepNext/>
              <w:jc w:val="center"/>
            </w:pPr>
            <w:r>
              <w:rPr>
                <w:sz w:val="17"/>
                <w:szCs w:val="17"/>
                <w:b/>
                <w:bCs/>
              </w:rPr>
              <w:t xml:space="preserve">Expected result</w:t>
            </w:r>
          </w:p>
        </w:tc>
        <w:tc>
          <w:tcPr>
            <w:tcW w:w="1964" w:type="dxa"/>
            <w:shd w:val="clear" w:color="auto" w:fill="D9E2F3"/>
            <w:vAlign w:val="center"/>
          </w:tcPr>
          <w:p>
            <w:pPr>
              <w:pStyle w:val="TableText"/>
              <w:keepNext/>
              <w:jc w:val="center"/>
            </w:pPr>
            <w:r>
              <w:rPr>
                <w:sz w:val="17"/>
                <w:szCs w:val="17"/>
                <w:b/>
                <w:bCs/>
              </w:rPr>
              <w:t xml:space="preserve">Actual result</w:t>
            </w:r>
          </w:p>
        </w:tc>
        <w:tc>
          <w:tcPr>
            <w:tcW w:w="1309" w:type="dxa"/>
            <w:shd w:val="clear" w:color="auto" w:fill="D9E2F3"/>
            <w:vAlign w:val="center"/>
          </w:tcPr>
          <w:p>
            <w:pPr>
              <w:pStyle w:val="TableText"/>
              <w:keepNext/>
              <w:jc w:val="center"/>
            </w:pPr>
            <w:r>
              <w:rPr>
                <w:sz w:val="17"/>
                <w:szCs w:val="17"/>
                <w:b/>
                <w:bCs/>
              </w:rPr>
              <w:t xml:space="preserve">Status / evidence</w:t>
            </w:r>
          </w:p>
        </w:tc>
      </w:tr>
      <w:tr>
        <w:trPr>
          <w:cantSplit/>
        </w:trPr>
        <w:tc>
          <w:tcPr>
            <w:tcW w:w="748" w:type="dxa"/>
            <w:vAlign w:val="center"/>
          </w:tcPr>
          <w:p>
            <w:pPr>
              <w:pStyle w:val="TableText"/>
              <w:keepNext/>
              <w:jc w:val="left"/>
            </w:pPr>
            <w:r>
              <w:rPr>
                <w:sz w:val="17"/>
                <w:szCs w:val="17"/>
              </w:rPr>
              <w:t xml:space="preserve">TC-01</w:t>
            </w:r>
          </w:p>
        </w:tc>
        <w:tc>
          <w:tcPr>
            <w:tcW w:w="1215" w:type="dxa"/>
            <w:vAlign w:val="center"/>
          </w:tcPr>
          <w:p>
            <w:pPr>
              <w:pStyle w:val="TableText"/>
              <w:keepNext/>
              <w:jc w:val="left"/>
            </w:pPr>
            <w:r>
              <w:rPr>
                <w:sz w:val="17"/>
                <w:szCs w:val="17"/>
              </w:rPr>
              <w:t xml:space="preserve">FR-01</w:t>
            </w:r>
          </w:p>
        </w:tc>
        <w:tc>
          <w:tcPr>
            <w:tcW w:w="2057" w:type="dxa"/>
            <w:vAlign w:val="center"/>
          </w:tcPr>
          <w:p>
            <w:pPr>
              <w:pStyle w:val="TableText"/>
              <w:keepNext/>
              <w:jc w:val="left"/>
            </w:pPr>
            <w:r>
              <w:rPr>
                <w:sz w:val="17"/>
                <w:szCs w:val="17"/>
              </w:rPr>
              <w:t xml:space="preserve">Dataset with a target of the wrong length; invalid detector options</w:t>
            </w:r>
          </w:p>
        </w:tc>
        <w:tc>
          <w:tcPr>
            <w:tcW w:w="1964" w:type="dxa"/>
            <w:vAlign w:val="center"/>
          </w:tcPr>
          <w:p>
            <w:pPr>
              <w:pStyle w:val="TableText"/>
              <w:keepNext/>
              <w:jc w:val="left"/>
            </w:pPr>
            <w:r>
              <w:rPr>
                <w:sz w:val="17"/>
                <w:szCs w:val="17"/>
              </w:rPr>
              <w:t xml:space="preserve">Rejected with a clear error</w:t>
            </w:r>
          </w:p>
        </w:tc>
        <w:tc>
          <w:tcPr>
            <w:tcW w:w="1964" w:type="dxa"/>
            <w:vAlign w:val="center"/>
          </w:tcPr>
          <w:p>
            <w:pPr>
              <w:pStyle w:val="TableText"/>
              <w:keepNext/>
              <w:jc w:val="left"/>
            </w:pPr>
            <w:r>
              <w:rPr>
                <w:sz w:val="17"/>
                <w:szCs w:val="17"/>
              </w:rPr>
              <w:t xml:space="preserve">Rejected</w:t>
            </w:r>
          </w:p>
        </w:tc>
        <w:tc>
          <w:tcPr>
            <w:tcW w:w="1309" w:type="dxa"/>
            <w:vAlign w:val="center"/>
          </w:tcPr>
          <w:p>
            <w:pPr>
              <w:pStyle w:val="TableText"/>
              <w:keepNext/>
              <w:jc w:val="left"/>
            </w:pPr>
            <w:r>
              <w:rPr>
                <w:sz w:val="17"/>
                <w:szCs w:val="17"/>
              </w:rPr>
              <w:t xml:space="preserve">Pass; test_dataset_and_detector_options_are_validated</w:t>
            </w:r>
          </w:p>
        </w:tc>
      </w:tr>
      <w:tr>
        <w:trPr>
          <w:cantSplit/>
        </w:trPr>
        <w:tc>
          <w:tcPr>
            <w:tcW w:w="748" w:type="dxa"/>
            <w:vAlign w:val="center"/>
          </w:tcPr>
          <w:p>
            <w:pPr>
              <w:pStyle w:val="TableText"/>
              <w:keepNext/>
              <w:jc w:val="left"/>
            </w:pPr>
            <w:r>
              <w:rPr>
                <w:sz w:val="17"/>
                <w:szCs w:val="17"/>
              </w:rPr>
              <w:t xml:space="preserve">TC-02</w:t>
            </w:r>
          </w:p>
        </w:tc>
        <w:tc>
          <w:tcPr>
            <w:tcW w:w="1215" w:type="dxa"/>
            <w:vAlign w:val="center"/>
          </w:tcPr>
          <w:p>
            <w:pPr>
              <w:pStyle w:val="TableText"/>
              <w:keepNext/>
              <w:jc w:val="left"/>
            </w:pPr>
            <w:r>
              <w:rPr>
                <w:sz w:val="17"/>
                <w:szCs w:val="17"/>
              </w:rPr>
              <w:t xml:space="preserve">FR-01</w:t>
            </w:r>
          </w:p>
        </w:tc>
        <w:tc>
          <w:tcPr>
            <w:tcW w:w="2057" w:type="dxa"/>
            <w:vAlign w:val="center"/>
          </w:tcPr>
          <w:p>
            <w:pPr>
              <w:pStyle w:val="TableText"/>
              <w:keepNext/>
              <w:jc w:val="left"/>
            </w:pPr>
            <w:r>
              <w:rPr>
                <w:sz w:val="17"/>
                <w:szCs w:val="17"/>
              </w:rPr>
              <w:t xml:space="preserve">Nominal and numeric features in one window</w:t>
            </w:r>
          </w:p>
        </w:tc>
        <w:tc>
          <w:tcPr>
            <w:tcW w:w="1964" w:type="dxa"/>
            <w:vAlign w:val="center"/>
          </w:tcPr>
          <w:p>
            <w:pPr>
              <w:pStyle w:val="TableText"/>
              <w:keepNext/>
              <w:jc w:val="left"/>
            </w:pPr>
            <w:r>
              <w:rPr>
                <w:sz w:val="17"/>
                <w:szCs w:val="17"/>
              </w:rPr>
              <w:t xml:space="preserve">KS skips nominal features; localizer uses chi-square for them</w:t>
            </w:r>
          </w:p>
        </w:tc>
        <w:tc>
          <w:tcPr>
            <w:tcW w:w="1964" w:type="dxa"/>
            <w:vAlign w:val="center"/>
          </w:tcPr>
          <w:p>
            <w:pPr>
              <w:pStyle w:val="TableText"/>
              <w:keepNext/>
              <w:jc w:val="left"/>
            </w:pPr>
            <w:r>
              <w:rPr>
                <w:sz w:val="17"/>
                <w:szCs w:val="17"/>
              </w:rPr>
              <w:t xml:space="preserve">As expected</w:t>
            </w:r>
          </w:p>
        </w:tc>
        <w:tc>
          <w:tcPr>
            <w:tcW w:w="1309" w:type="dxa"/>
            <w:vAlign w:val="center"/>
          </w:tcPr>
          <w:p>
            <w:pPr>
              <w:pStyle w:val="TableText"/>
              <w:keepNext/>
              <w:jc w:val="left"/>
            </w:pPr>
            <w:r>
              <w:rPr>
                <w:sz w:val="17"/>
                <w:szCs w:val="17"/>
              </w:rPr>
              <w:t xml:space="preserve">Pass; test_ks_skips_categorical_and_localizer_uses_chi2</w:t>
            </w:r>
          </w:p>
        </w:tc>
      </w:tr>
      <w:tr>
        <w:trPr>
          <w:cantSplit/>
        </w:trPr>
        <w:tc>
          <w:tcPr>
            <w:tcW w:w="748" w:type="dxa"/>
            <w:vAlign w:val="center"/>
          </w:tcPr>
          <w:p>
            <w:pPr>
              <w:pStyle w:val="TableText"/>
              <w:jc w:val="left"/>
            </w:pPr>
            <w:r>
              <w:rPr>
                <w:sz w:val="17"/>
                <w:szCs w:val="17"/>
              </w:rPr>
              <w:t xml:space="preserve">TC-03</w:t>
            </w:r>
          </w:p>
        </w:tc>
        <w:tc>
          <w:tcPr>
            <w:tcW w:w="1215" w:type="dxa"/>
            <w:vAlign w:val="center"/>
          </w:tcPr>
          <w:p>
            <w:pPr>
              <w:pStyle w:val="TableText"/>
              <w:jc w:val="left"/>
            </w:pPr>
            <w:r>
              <w:rPr>
                <w:sz w:val="17"/>
                <w:szCs w:val="17"/>
              </w:rPr>
              <w:t xml:space="preserve">FR-04</w:t>
            </w:r>
          </w:p>
        </w:tc>
        <w:tc>
          <w:tcPr>
            <w:tcW w:w="2057" w:type="dxa"/>
            <w:vAlign w:val="center"/>
          </w:tcPr>
          <w:p>
            <w:pPr>
              <w:pStyle w:val="TableText"/>
              <w:jc w:val="left"/>
            </w:pPr>
            <w:r>
              <w:rPr>
                <w:sz w:val="17"/>
                <w:szCs w:val="17"/>
              </w:rPr>
              <w:t xml:space="preserve">Two samples from the same distribution, many repetitions</w:t>
            </w:r>
          </w:p>
        </w:tc>
        <w:tc>
          <w:tcPr>
            <w:tcW w:w="1964" w:type="dxa"/>
            <w:vAlign w:val="center"/>
          </w:tcPr>
          <w:p>
            <w:pPr>
              <w:pStyle w:val="TableText"/>
              <w:jc w:val="left"/>
            </w:pPr>
            <w:r>
              <w:rPr>
                <w:sz w:val="17"/>
                <w:szCs w:val="17"/>
              </w:rPr>
              <w:t xml:space="preserve">MMD rejects in at most about α of runs</w:t>
            </w:r>
          </w:p>
        </w:tc>
        <w:tc>
          <w:tcPr>
            <w:tcW w:w="1964" w:type="dxa"/>
            <w:vAlign w:val="center"/>
          </w:tcPr>
          <w:p>
            <w:pPr>
              <w:pStyle w:val="TableText"/>
              <w:jc w:val="left"/>
            </w:pPr>
            <w:r>
              <w:rPr>
                <w:sz w:val="17"/>
                <w:szCs w:val="17"/>
              </w:rPr>
              <w:t xml:space="preserve">Within α</w:t>
            </w:r>
          </w:p>
        </w:tc>
        <w:tc>
          <w:tcPr>
            <w:tcW w:w="1309" w:type="dxa"/>
            <w:vAlign w:val="center"/>
          </w:tcPr>
          <w:p>
            <w:pPr>
              <w:pStyle w:val="TableText"/>
              <w:jc w:val="left"/>
            </w:pPr>
            <w:r>
              <w:rPr>
                <w:sz w:val="17"/>
                <w:szCs w:val="17"/>
              </w:rPr>
              <w:t xml:space="preserve">Pass; test_mmd_permutation_test_controls_type_one_error</w:t>
            </w:r>
          </w:p>
        </w:tc>
      </w:tr>
      <w:tr>
        <w:trPr>
          <w:cantSplit/>
        </w:trPr>
        <w:tc>
          <w:tcPr>
            <w:tcW w:w="748" w:type="dxa"/>
            <w:vAlign w:val="center"/>
          </w:tcPr>
          <w:p>
            <w:pPr>
              <w:pStyle w:val="TableText"/>
              <w:jc w:val="left"/>
            </w:pPr>
            <w:r>
              <w:rPr>
                <w:sz w:val="17"/>
                <w:szCs w:val="17"/>
              </w:rPr>
              <w:t xml:space="preserve">TC-04</w:t>
            </w:r>
          </w:p>
        </w:tc>
        <w:tc>
          <w:tcPr>
            <w:tcW w:w="1215" w:type="dxa"/>
            <w:vAlign w:val="center"/>
          </w:tcPr>
          <w:p>
            <w:pPr>
              <w:pStyle w:val="TableText"/>
              <w:jc w:val="left"/>
            </w:pPr>
            <w:r>
              <w:rPr>
                <w:sz w:val="17"/>
                <w:szCs w:val="17"/>
              </w:rPr>
              <w:t xml:space="preserve">FR-04</w:t>
            </w:r>
          </w:p>
        </w:tc>
        <w:tc>
          <w:tcPr>
            <w:tcW w:w="2057" w:type="dxa"/>
            <w:vAlign w:val="center"/>
          </w:tcPr>
          <w:p>
            <w:pPr>
              <w:pStyle w:val="TableText"/>
              <w:jc w:val="left"/>
            </w:pPr>
            <w:r>
              <w:rPr>
                <w:sz w:val="17"/>
                <w:szCs w:val="17"/>
              </w:rPr>
              <w:t xml:space="preserve">One large-scale feature hiding a shift in a small one</w:t>
            </w:r>
          </w:p>
        </w:tc>
        <w:tc>
          <w:tcPr>
            <w:tcW w:w="1964" w:type="dxa"/>
            <w:vAlign w:val="center"/>
          </w:tcPr>
          <w:p>
            <w:pPr>
              <w:pStyle w:val="TableText"/>
              <w:jc w:val="left"/>
            </w:pPr>
            <w:r>
              <w:rPr>
                <w:sz w:val="17"/>
                <w:szCs w:val="17"/>
              </w:rPr>
              <w:t xml:space="preserve">Standardized MMD still detects the shift</w:t>
            </w:r>
          </w:p>
        </w:tc>
        <w:tc>
          <w:tcPr>
            <w:tcW w:w="1964" w:type="dxa"/>
            <w:vAlign w:val="center"/>
          </w:tcPr>
          <w:p>
            <w:pPr>
              <w:pStyle w:val="TableText"/>
              <w:jc w:val="left"/>
            </w:pPr>
            <w:r>
              <w:rPr>
                <w:sz w:val="17"/>
                <w:szCs w:val="17"/>
              </w:rPr>
              <w:t xml:space="preserve">Detected</w:t>
            </w:r>
          </w:p>
        </w:tc>
        <w:tc>
          <w:tcPr>
            <w:tcW w:w="1309" w:type="dxa"/>
            <w:vAlign w:val="center"/>
          </w:tcPr>
          <w:p>
            <w:pPr>
              <w:pStyle w:val="TableText"/>
              <w:jc w:val="left"/>
            </w:pPr>
            <w:r>
              <w:rPr>
                <w:sz w:val="17"/>
                <w:szCs w:val="17"/>
              </w:rPr>
              <w:t xml:space="preserve">Pass; test_mmd_standardize_exposes_shift_hidden_by_large_scale_feature</w:t>
            </w:r>
          </w:p>
        </w:tc>
      </w:tr>
      <w:tr>
        <w:trPr>
          <w:cantSplit/>
        </w:trPr>
        <w:tc>
          <w:tcPr>
            <w:tcW w:w="748" w:type="dxa"/>
            <w:vAlign w:val="center"/>
          </w:tcPr>
          <w:p>
            <w:pPr>
              <w:pStyle w:val="TableText"/>
              <w:jc w:val="left"/>
            </w:pPr>
            <w:r>
              <w:rPr>
                <w:sz w:val="17"/>
                <w:szCs w:val="17"/>
              </w:rPr>
              <w:t xml:space="preserve">TC-05</w:t>
            </w:r>
          </w:p>
        </w:tc>
        <w:tc>
          <w:tcPr>
            <w:tcW w:w="1215" w:type="dxa"/>
            <w:vAlign w:val="center"/>
          </w:tcPr>
          <w:p>
            <w:pPr>
              <w:pStyle w:val="TableText"/>
              <w:jc w:val="left"/>
            </w:pPr>
            <w:r>
              <w:rPr>
                <w:sz w:val="17"/>
                <w:szCs w:val="17"/>
              </w:rPr>
              <w:t xml:space="preserve">FR-04</w:t>
            </w:r>
          </w:p>
        </w:tc>
        <w:tc>
          <w:tcPr>
            <w:tcW w:w="2057" w:type="dxa"/>
            <w:vAlign w:val="center"/>
          </w:tcPr>
          <w:p>
            <w:pPr>
              <w:pStyle w:val="TableText"/>
              <w:jc w:val="left"/>
            </w:pPr>
            <w:r>
              <w:rPr>
                <w:sz w:val="17"/>
                <w:szCs w:val="17"/>
              </w:rPr>
              <w:t xml:space="preserve">Production values outside the reference range</w:t>
            </w:r>
          </w:p>
        </w:tc>
        <w:tc>
          <w:tcPr>
            <w:tcW w:w="1964" w:type="dxa"/>
            <w:vAlign w:val="center"/>
          </w:tcPr>
          <w:p>
            <w:pPr>
              <w:pStyle w:val="TableText"/>
              <w:jc w:val="left"/>
            </w:pPr>
            <w:r>
              <w:rPr>
                <w:sz w:val="17"/>
                <w:szCs w:val="17"/>
              </w:rPr>
              <w:t xml:space="preserve">PSI counts them instead of dropping them</w:t>
            </w:r>
          </w:p>
        </w:tc>
        <w:tc>
          <w:tcPr>
            <w:tcW w:w="1964" w:type="dxa"/>
            <w:vAlign w:val="center"/>
          </w:tcPr>
          <w:p>
            <w:pPr>
              <w:pStyle w:val="TableText"/>
              <w:jc w:val="left"/>
            </w:pPr>
            <w:r>
              <w:rPr>
                <w:sz w:val="17"/>
                <w:szCs w:val="17"/>
              </w:rPr>
              <w:t xml:space="preserve">Counted</w:t>
            </w:r>
          </w:p>
        </w:tc>
        <w:tc>
          <w:tcPr>
            <w:tcW w:w="1309" w:type="dxa"/>
            <w:vAlign w:val="center"/>
          </w:tcPr>
          <w:p>
            <w:pPr>
              <w:pStyle w:val="TableText"/>
              <w:jc w:val="left"/>
            </w:pPr>
            <w:r>
              <w:rPr>
                <w:sz w:val="17"/>
                <w:szCs w:val="17"/>
              </w:rPr>
              <w:t xml:space="preserve">Pass; test_psi_counts_values_outside_reference_range</w:t>
            </w:r>
          </w:p>
        </w:tc>
      </w:tr>
      <w:tr>
        <w:trPr>
          <w:cantSplit/>
        </w:trPr>
        <w:tc>
          <w:tcPr>
            <w:tcW w:w="748" w:type="dxa"/>
            <w:vAlign w:val="center"/>
          </w:tcPr>
          <w:p>
            <w:pPr>
              <w:pStyle w:val="TableText"/>
              <w:jc w:val="left"/>
            </w:pPr>
            <w:r>
              <w:rPr>
                <w:sz w:val="17"/>
                <w:szCs w:val="17"/>
              </w:rPr>
              <w:t xml:space="preserve">TC-06</w:t>
            </w:r>
          </w:p>
        </w:tc>
        <w:tc>
          <w:tcPr>
            <w:tcW w:w="1215" w:type="dxa"/>
            <w:vAlign w:val="center"/>
          </w:tcPr>
          <w:p>
            <w:pPr>
              <w:pStyle w:val="TableText"/>
              <w:jc w:val="left"/>
            </w:pPr>
            <w:r>
              <w:rPr>
                <w:sz w:val="17"/>
                <w:szCs w:val="17"/>
              </w:rPr>
              <w:t xml:space="preserve">FR-05</w:t>
            </w:r>
          </w:p>
        </w:tc>
        <w:tc>
          <w:tcPr>
            <w:tcW w:w="2057" w:type="dxa"/>
            <w:vAlign w:val="center"/>
          </w:tcPr>
          <w:p>
            <w:pPr>
              <w:pStyle w:val="TableText"/>
              <w:jc w:val="left"/>
            </w:pPr>
            <w:r>
              <w:rPr>
                <w:sz w:val="17"/>
                <w:szCs w:val="17"/>
              </w:rPr>
              <w:t xml:space="preserve">Labeled reference with known accuracy</w:t>
            </w:r>
          </w:p>
        </w:tc>
        <w:tc>
          <w:tcPr>
            <w:tcW w:w="1964" w:type="dxa"/>
            <w:vAlign w:val="center"/>
          </w:tcPr>
          <w:p>
            <w:pPr>
              <w:pStyle w:val="TableText"/>
              <w:jc w:val="left"/>
            </w:pPr>
            <w:r>
              <w:rPr>
                <w:sz w:val="17"/>
                <w:szCs w:val="17"/>
              </w:rPr>
              <w:t xml:space="preserve">CBPE estimate close to the true accuracy</w:t>
            </w:r>
          </w:p>
        </w:tc>
        <w:tc>
          <w:tcPr>
            <w:tcW w:w="1964" w:type="dxa"/>
            <w:vAlign w:val="center"/>
          </w:tcPr>
          <w:p>
            <w:pPr>
              <w:pStyle w:val="TableText"/>
              <w:jc w:val="left"/>
            </w:pPr>
            <w:r>
              <w:rPr>
                <w:sz w:val="17"/>
                <w:szCs w:val="17"/>
              </w:rPr>
              <w:t xml:space="preserve">Close</w:t>
            </w:r>
          </w:p>
        </w:tc>
        <w:tc>
          <w:tcPr>
            <w:tcW w:w="1309" w:type="dxa"/>
            <w:vAlign w:val="center"/>
          </w:tcPr>
          <w:p>
            <w:pPr>
              <w:pStyle w:val="TableText"/>
              <w:jc w:val="left"/>
            </w:pPr>
            <w:r>
              <w:rPr>
                <w:sz w:val="17"/>
                <w:szCs w:val="17"/>
              </w:rPr>
              <w:t xml:space="preserve">Pass; test_cbpe_estimates_accuracy_from_labelled_reference</w:t>
            </w:r>
          </w:p>
        </w:tc>
      </w:tr>
      <w:tr>
        <w:trPr>
          <w:cantSplit/>
        </w:trPr>
        <w:tc>
          <w:tcPr>
            <w:tcW w:w="748" w:type="dxa"/>
            <w:vAlign w:val="center"/>
          </w:tcPr>
          <w:p>
            <w:pPr>
              <w:pStyle w:val="TableText"/>
              <w:jc w:val="left"/>
            </w:pPr>
            <w:r>
              <w:rPr>
                <w:sz w:val="17"/>
                <w:szCs w:val="17"/>
              </w:rPr>
              <w:t xml:space="preserve">TC-07</w:t>
            </w:r>
          </w:p>
        </w:tc>
        <w:tc>
          <w:tcPr>
            <w:tcW w:w="1215" w:type="dxa"/>
            <w:vAlign w:val="center"/>
          </w:tcPr>
          <w:p>
            <w:pPr>
              <w:pStyle w:val="TableText"/>
              <w:jc w:val="left"/>
            </w:pPr>
            <w:r>
              <w:rPr>
                <w:sz w:val="17"/>
                <w:szCs w:val="17"/>
              </w:rPr>
              <w:t xml:space="preserve">FR-06</w:t>
            </w:r>
          </w:p>
        </w:tc>
        <w:tc>
          <w:tcPr>
            <w:tcW w:w="2057" w:type="dxa"/>
            <w:vAlign w:val="center"/>
          </w:tcPr>
          <w:p>
            <w:pPr>
              <w:pStyle w:val="TableText"/>
              <w:jc w:val="left"/>
            </w:pPr>
            <w:r>
              <w:rPr>
                <w:sz w:val="17"/>
                <w:szCs w:val="17"/>
              </w:rPr>
              <w:t xml:space="preserve">Planted shift in one feature</w:t>
            </w:r>
          </w:p>
        </w:tc>
        <w:tc>
          <w:tcPr>
            <w:tcW w:w="1964" w:type="dxa"/>
            <w:vAlign w:val="center"/>
          </w:tcPr>
          <w:p>
            <w:pPr>
              <w:pStyle w:val="TableText"/>
              <w:jc w:val="left"/>
            </w:pPr>
            <w:r>
              <w:rPr>
                <w:sz w:val="17"/>
                <w:szCs w:val="17"/>
              </w:rPr>
              <w:t xml:space="preserve">Only that feature is flagged after Holm correction</w:t>
            </w:r>
          </w:p>
        </w:tc>
        <w:tc>
          <w:tcPr>
            <w:tcW w:w="1964" w:type="dxa"/>
            <w:vAlign w:val="center"/>
          </w:tcPr>
          <w:p>
            <w:pPr>
              <w:pStyle w:val="TableText"/>
              <w:jc w:val="left"/>
            </w:pPr>
            <w:r>
              <w:rPr>
                <w:sz w:val="17"/>
                <w:szCs w:val="17"/>
              </w:rPr>
              <w:t xml:space="preserve">Only that feature</w:t>
            </w:r>
          </w:p>
        </w:tc>
        <w:tc>
          <w:tcPr>
            <w:tcW w:w="1309" w:type="dxa"/>
            <w:vAlign w:val="center"/>
          </w:tcPr>
          <w:p>
            <w:pPr>
              <w:pStyle w:val="TableText"/>
              <w:jc w:val="left"/>
            </w:pPr>
            <w:r>
              <w:rPr>
                <w:sz w:val="17"/>
                <w:szCs w:val="17"/>
              </w:rPr>
              <w:t xml:space="preserve">Pass; test_univariate_localizer</w:t>
            </w:r>
          </w:p>
        </w:tc>
      </w:tr>
      <w:tr>
        <w:trPr>
          <w:cantSplit/>
        </w:trPr>
        <w:tc>
          <w:tcPr>
            <w:tcW w:w="748" w:type="dxa"/>
            <w:vAlign w:val="center"/>
          </w:tcPr>
          <w:p>
            <w:pPr>
              <w:pStyle w:val="TableText"/>
              <w:jc w:val="left"/>
            </w:pPr>
            <w:r>
              <w:rPr>
                <w:sz w:val="17"/>
                <w:szCs w:val="17"/>
              </w:rPr>
              <w:t xml:space="preserve">TC-08</w:t>
            </w:r>
          </w:p>
        </w:tc>
        <w:tc>
          <w:tcPr>
            <w:tcW w:w="1215" w:type="dxa"/>
            <w:vAlign w:val="center"/>
          </w:tcPr>
          <w:p>
            <w:pPr>
              <w:pStyle w:val="TableText"/>
              <w:jc w:val="left"/>
            </w:pPr>
            <w:r>
              <w:rPr>
                <w:sz w:val="17"/>
                <w:szCs w:val="17"/>
              </w:rPr>
              <w:t xml:space="preserve">FR-07, NFR-03</w:t>
            </w:r>
          </w:p>
        </w:tc>
        <w:tc>
          <w:tcPr>
            <w:tcW w:w="2057" w:type="dxa"/>
            <w:vAlign w:val="center"/>
          </w:tcPr>
          <w:p>
            <w:pPr>
              <w:pStyle w:val="TableText"/>
              <w:jc w:val="left"/>
            </w:pPr>
            <w:r>
              <w:rPr>
                <w:sz w:val="17"/>
                <w:szCs w:val="17"/>
              </w:rPr>
              <w:t xml:space="preserve">Several true nulls and one shifted feature</w:t>
            </w:r>
          </w:p>
        </w:tc>
        <w:tc>
          <w:tcPr>
            <w:tcW w:w="1964" w:type="dxa"/>
            <w:vAlign w:val="center"/>
          </w:tcPr>
          <w:p>
            <w:pPr>
              <w:pStyle w:val="TableText"/>
              <w:jc w:val="left"/>
            </w:pPr>
            <w:r>
              <w:rPr>
                <w:sz w:val="17"/>
                <w:szCs w:val="17"/>
              </w:rPr>
              <w:t xml:space="preserve">Weighted Holm with equal weights equals Holm; family-wise error at most α</w:t>
            </w:r>
          </w:p>
        </w:tc>
        <w:tc>
          <w:tcPr>
            <w:tcW w:w="1964" w:type="dxa"/>
            <w:vAlign w:val="center"/>
          </w:tcPr>
          <w:p>
            <w:pPr>
              <w:pStyle w:val="TableText"/>
              <w:jc w:val="left"/>
            </w:pPr>
            <w:r>
              <w:rPr>
                <w:sz w:val="17"/>
                <w:szCs w:val="17"/>
              </w:rPr>
              <w:t xml:space="preserve">Equal; error at most α</w:t>
            </w:r>
          </w:p>
        </w:tc>
        <w:tc>
          <w:tcPr>
            <w:tcW w:w="1309" w:type="dxa"/>
            <w:vAlign w:val="center"/>
          </w:tcPr>
          <w:p>
            <w:pPr>
              <w:pStyle w:val="TableText"/>
              <w:jc w:val="left"/>
            </w:pPr>
            <w:r>
              <w:rPr>
                <w:sz w:val="17"/>
                <w:szCs w:val="17"/>
              </w:rPr>
              <w:t xml:space="preserve">Pass; test_weighted_holm_equal_weights_is_holm_and_controls_fwer; simulation 4.9%</w:t>
            </w:r>
          </w:p>
        </w:tc>
      </w:tr>
      <w:tr>
        <w:trPr>
          <w:cantSplit/>
        </w:trPr>
        <w:tc>
          <w:tcPr>
            <w:tcW w:w="748" w:type="dxa"/>
            <w:vAlign w:val="center"/>
          </w:tcPr>
          <w:p>
            <w:pPr>
              <w:pStyle w:val="TableText"/>
              <w:jc w:val="left"/>
            </w:pPr>
            <w:r>
              <w:rPr>
                <w:sz w:val="17"/>
                <w:szCs w:val="17"/>
              </w:rPr>
              <w:t xml:space="preserve">TC-09</w:t>
            </w:r>
          </w:p>
        </w:tc>
        <w:tc>
          <w:tcPr>
            <w:tcW w:w="1215" w:type="dxa"/>
            <w:vAlign w:val="center"/>
          </w:tcPr>
          <w:p>
            <w:pPr>
              <w:pStyle w:val="TableText"/>
              <w:jc w:val="left"/>
            </w:pPr>
            <w:r>
              <w:rPr>
                <w:sz w:val="17"/>
                <w:szCs w:val="17"/>
              </w:rPr>
              <w:t xml:space="preserve">FR-07</w:t>
            </w:r>
          </w:p>
        </w:tc>
        <w:tc>
          <w:tcPr>
            <w:tcW w:w="2057" w:type="dxa"/>
            <w:vAlign w:val="center"/>
          </w:tcPr>
          <w:p>
            <w:pPr>
              <w:pStyle w:val="TableText"/>
              <w:jc w:val="left"/>
            </w:pPr>
            <w:r>
              <w:rPr>
                <w:sz w:val="17"/>
                <w:szCs w:val="17"/>
              </w:rPr>
              <w:t xml:space="preserve">Pure prior shift injected</w:t>
            </w:r>
          </w:p>
        </w:tc>
        <w:tc>
          <w:tcPr>
            <w:tcW w:w="1964" w:type="dxa"/>
            <w:vAlign w:val="center"/>
          </w:tcPr>
          <w:p>
            <w:pPr>
              <w:pStyle w:val="TableText"/>
              <w:jc w:val="left"/>
            </w:pPr>
            <w:r>
              <w:rPr>
                <w:sz w:val="17"/>
                <w:szCs w:val="17"/>
              </w:rPr>
              <w:t xml:space="preserve">BBSE recovers the new prior; verdict prior shift</w:t>
            </w:r>
          </w:p>
        </w:tc>
        <w:tc>
          <w:tcPr>
            <w:tcW w:w="1964" w:type="dxa"/>
            <w:vAlign w:val="center"/>
          </w:tcPr>
          <w:p>
            <w:pPr>
              <w:pStyle w:val="TableText"/>
              <w:jc w:val="left"/>
            </w:pPr>
            <w:r>
              <w:rPr>
                <w:sz w:val="17"/>
                <w:szCs w:val="17"/>
              </w:rPr>
              <w:t xml:space="preserve">Recovered; prior</w:t>
            </w:r>
          </w:p>
        </w:tc>
        <w:tc>
          <w:tcPr>
            <w:tcW w:w="1309" w:type="dxa"/>
            <w:vAlign w:val="center"/>
          </w:tcPr>
          <w:p>
            <w:pPr>
              <w:pStyle w:val="TableText"/>
              <w:jc w:val="left"/>
            </w:pPr>
            <w:r>
              <w:rPr>
                <w:sz w:val="17"/>
                <w:szCs w:val="17"/>
              </w:rPr>
              <w:t xml:space="preserve">Pass; test_bbse_recovers_a_prior_shift</w:t>
            </w:r>
          </w:p>
        </w:tc>
      </w:tr>
      <w:tr>
        <w:trPr>
          <w:cantSplit/>
        </w:trPr>
        <w:tc>
          <w:tcPr>
            <w:tcW w:w="748" w:type="dxa"/>
            <w:vAlign w:val="center"/>
          </w:tcPr>
          <w:p>
            <w:pPr>
              <w:pStyle w:val="TableText"/>
              <w:jc w:val="left"/>
            </w:pPr>
            <w:r>
              <w:rPr>
                <w:sz w:val="17"/>
                <w:szCs w:val="17"/>
              </w:rPr>
              <w:t xml:space="preserve">TC-10</w:t>
            </w:r>
          </w:p>
        </w:tc>
        <w:tc>
          <w:tcPr>
            <w:tcW w:w="1215" w:type="dxa"/>
            <w:vAlign w:val="center"/>
          </w:tcPr>
          <w:p>
            <w:pPr>
              <w:pStyle w:val="TableText"/>
              <w:jc w:val="left"/>
            </w:pPr>
            <w:r>
              <w:rPr>
                <w:sz w:val="17"/>
                <w:szCs w:val="17"/>
              </w:rPr>
              <w:t xml:space="preserve">FR-07, FR-08</w:t>
            </w:r>
          </w:p>
        </w:tc>
        <w:tc>
          <w:tcPr>
            <w:tcW w:w="2057" w:type="dxa"/>
            <w:vAlign w:val="center"/>
          </w:tcPr>
          <w:p>
            <w:pPr>
              <w:pStyle w:val="TableText"/>
              <w:jc w:val="left"/>
            </w:pPr>
            <w:r>
              <w:rPr>
                <w:sz w:val="17"/>
                <w:szCs w:val="17"/>
              </w:rPr>
              <w:t xml:space="preserve">One window of each injected type and one control</w:t>
            </w:r>
          </w:p>
        </w:tc>
        <w:tc>
          <w:tcPr>
            <w:tcW w:w="1964" w:type="dxa"/>
            <w:vAlign w:val="center"/>
          </w:tcPr>
          <w:p>
            <w:pPr>
              <w:pStyle w:val="TableText"/>
              <w:jc w:val="left"/>
            </w:pPr>
            <w:r>
              <w:rPr>
                <w:sz w:val="17"/>
                <w:szCs w:val="17"/>
              </w:rPr>
              <w:t xml:space="preserve">Each type named correctly</w:t>
            </w:r>
          </w:p>
        </w:tc>
        <w:tc>
          <w:tcPr>
            <w:tcW w:w="1964" w:type="dxa"/>
            <w:vAlign w:val="center"/>
          </w:tcPr>
          <w:p>
            <w:pPr>
              <w:pStyle w:val="TableText"/>
              <w:jc w:val="left"/>
            </w:pPr>
            <w:r>
              <w:rPr>
                <w:sz w:val="17"/>
                <w:szCs w:val="17"/>
              </w:rPr>
              <w:t xml:space="preserve">All five named</w:t>
            </w:r>
          </w:p>
        </w:tc>
        <w:tc>
          <w:tcPr>
            <w:tcW w:w="1309" w:type="dxa"/>
            <w:vAlign w:val="center"/>
          </w:tcPr>
          <w:p>
            <w:pPr>
              <w:pStyle w:val="TableText"/>
              <w:jc w:val="left"/>
            </w:pPr>
            <w:r>
              <w:rPr>
                <w:sz w:val="17"/>
                <w:szCs w:val="17"/>
              </w:rPr>
              <w:t xml:space="preserve">Pass; test_diagnosis_names_each_injected_type</w:t>
            </w:r>
          </w:p>
        </w:tc>
      </w:tr>
      <w:tr>
        <w:trPr>
          <w:cantSplit/>
        </w:trPr>
        <w:tc>
          <w:tcPr>
            <w:tcW w:w="748" w:type="dxa"/>
            <w:vAlign w:val="center"/>
          </w:tcPr>
          <w:p>
            <w:pPr>
              <w:pStyle w:val="TableText"/>
              <w:jc w:val="left"/>
            </w:pPr>
            <w:r>
              <w:rPr>
                <w:sz w:val="17"/>
                <w:szCs w:val="17"/>
              </w:rPr>
              <w:t xml:space="preserve">TC-11</w:t>
            </w:r>
          </w:p>
        </w:tc>
        <w:tc>
          <w:tcPr>
            <w:tcW w:w="1215" w:type="dxa"/>
            <w:vAlign w:val="center"/>
          </w:tcPr>
          <w:p>
            <w:pPr>
              <w:pStyle w:val="TableText"/>
              <w:jc w:val="left"/>
            </w:pPr>
            <w:r>
              <w:rPr>
                <w:sz w:val="17"/>
                <w:szCs w:val="17"/>
              </w:rPr>
              <w:t xml:space="preserve">FR-08</w:t>
            </w:r>
          </w:p>
        </w:tc>
        <w:tc>
          <w:tcPr>
            <w:tcW w:w="2057" w:type="dxa"/>
            <w:vAlign w:val="center"/>
          </w:tcPr>
          <w:p>
            <w:pPr>
              <w:pStyle w:val="TableText"/>
              <w:jc w:val="left"/>
            </w:pPr>
            <w:r>
              <w:rPr>
                <w:sz w:val="17"/>
                <w:szCs w:val="17"/>
              </w:rPr>
              <w:t xml:space="preserve">Audit with nominal categories, some absent from the audit</w:t>
            </w:r>
          </w:p>
        </w:tc>
        <w:tc>
          <w:tcPr>
            <w:tcW w:w="1964" w:type="dxa"/>
            <w:vAlign w:val="center"/>
          </w:tcPr>
          <w:p>
            <w:pPr>
              <w:pStyle w:val="TableText"/>
              <w:jc w:val="left"/>
            </w:pPr>
            <w:r>
              <w:rPr>
                <w:sz w:val="17"/>
                <w:szCs w:val="17"/>
              </w:rPr>
              <w:t xml:space="preserve">Bins counted on the audit rows only</w:t>
            </w:r>
          </w:p>
        </w:tc>
        <w:tc>
          <w:tcPr>
            <w:tcW w:w="1964" w:type="dxa"/>
            <w:vAlign w:val="center"/>
          </w:tcPr>
          <w:p>
            <w:pPr>
              <w:pStyle w:val="TableText"/>
              <w:jc w:val="left"/>
            </w:pPr>
            <w:r>
              <w:rPr>
                <w:sz w:val="17"/>
                <w:szCs w:val="17"/>
              </w:rPr>
              <w:t xml:space="preserve">As expected</w:t>
            </w:r>
          </w:p>
        </w:tc>
        <w:tc>
          <w:tcPr>
            <w:tcW w:w="1309" w:type="dxa"/>
            <w:vAlign w:val="center"/>
          </w:tcPr>
          <w:p>
            <w:pPr>
              <w:pStyle w:val="TableText"/>
              <w:jc w:val="left"/>
            </w:pPr>
            <w:r>
              <w:rPr>
                <w:sz w:val="17"/>
                <w:szCs w:val="17"/>
              </w:rPr>
              <w:t xml:space="preserve">Pass; test_audit_bins_count_categories_in_the_audit_only</w:t>
            </w:r>
          </w:p>
        </w:tc>
      </w:tr>
      <w:tr>
        <w:trPr>
          <w:cantSplit/>
        </w:trPr>
        <w:tc>
          <w:tcPr>
            <w:tcW w:w="748" w:type="dxa"/>
            <w:vAlign w:val="center"/>
          </w:tcPr>
          <w:p>
            <w:pPr>
              <w:pStyle w:val="TableText"/>
              <w:jc w:val="left"/>
            </w:pPr>
            <w:r>
              <w:rPr>
                <w:sz w:val="17"/>
                <w:szCs w:val="17"/>
              </w:rPr>
              <w:t xml:space="preserve">TC-12</w:t>
            </w:r>
          </w:p>
        </w:tc>
        <w:tc>
          <w:tcPr>
            <w:tcW w:w="1215" w:type="dxa"/>
            <w:vAlign w:val="center"/>
          </w:tcPr>
          <w:p>
            <w:pPr>
              <w:pStyle w:val="TableText"/>
              <w:jc w:val="left"/>
            </w:pPr>
            <w:r>
              <w:rPr>
                <w:sz w:val="17"/>
                <w:szCs w:val="17"/>
              </w:rPr>
              <w:t xml:space="preserve">FR-09</w:t>
            </w:r>
          </w:p>
        </w:tc>
        <w:tc>
          <w:tcPr>
            <w:tcW w:w="2057" w:type="dxa"/>
            <w:vAlign w:val="center"/>
          </w:tcPr>
          <w:p>
            <w:pPr>
              <w:pStyle w:val="TableText"/>
              <w:jc w:val="left"/>
            </w:pPr>
            <w:r>
              <w:rPr>
                <w:sz w:val="17"/>
                <w:szCs w:val="17"/>
              </w:rPr>
              <w:t xml:space="preserve">Model with real change and pure noise</w:t>
            </w:r>
          </w:p>
        </w:tc>
        <w:tc>
          <w:tcPr>
            <w:tcW w:w="1964" w:type="dxa"/>
            <w:vAlign w:val="center"/>
          </w:tcPr>
          <w:p>
            <w:pPr>
              <w:pStyle w:val="TableText"/>
              <w:jc w:val="left"/>
            </w:pPr>
            <w:r>
              <w:rPr>
                <w:sz w:val="17"/>
                <w:szCs w:val="17"/>
              </w:rPr>
              <w:t xml:space="preserve">SHAP intervals flag the real change only</w:t>
            </w:r>
          </w:p>
        </w:tc>
        <w:tc>
          <w:tcPr>
            <w:tcW w:w="1964" w:type="dxa"/>
            <w:vAlign w:val="center"/>
          </w:tcPr>
          <w:p>
            <w:pPr>
              <w:pStyle w:val="TableText"/>
              <w:jc w:val="left"/>
            </w:pPr>
            <w:r>
              <w:rPr>
                <w:sz w:val="17"/>
                <w:szCs w:val="17"/>
              </w:rPr>
              <w:t xml:space="preserve">As expected</w:t>
            </w:r>
          </w:p>
        </w:tc>
        <w:tc>
          <w:tcPr>
            <w:tcW w:w="1309" w:type="dxa"/>
            <w:vAlign w:val="center"/>
          </w:tcPr>
          <w:p>
            <w:pPr>
              <w:pStyle w:val="TableText"/>
              <w:jc w:val="left"/>
            </w:pPr>
            <w:r>
              <w:rPr>
                <w:sz w:val="17"/>
                <w:szCs w:val="17"/>
              </w:rPr>
              <w:t xml:space="preserve">Pass; test_shap_change_intervals_separate_noise_from_real_change</w:t>
            </w:r>
          </w:p>
        </w:tc>
      </w:tr>
      <w:tr>
        <w:trPr>
          <w:cantSplit/>
        </w:trPr>
        <w:tc>
          <w:tcPr>
            <w:tcW w:w="748" w:type="dxa"/>
            <w:vAlign w:val="center"/>
          </w:tcPr>
          <w:p>
            <w:pPr>
              <w:pStyle w:val="TableText"/>
              <w:jc w:val="left"/>
            </w:pPr>
            <w:r>
              <w:rPr>
                <w:sz w:val="17"/>
                <w:szCs w:val="17"/>
              </w:rPr>
              <w:t xml:space="preserve">TC-13</w:t>
            </w:r>
          </w:p>
        </w:tc>
        <w:tc>
          <w:tcPr>
            <w:tcW w:w="1215" w:type="dxa"/>
            <w:vAlign w:val="center"/>
          </w:tcPr>
          <w:p>
            <w:pPr>
              <w:pStyle w:val="TableText"/>
              <w:jc w:val="left"/>
            </w:pPr>
            <w:r>
              <w:rPr>
                <w:sz w:val="17"/>
                <w:szCs w:val="17"/>
              </w:rPr>
              <w:t xml:space="preserve">FR-10</w:t>
            </w:r>
          </w:p>
        </w:tc>
        <w:tc>
          <w:tcPr>
            <w:tcW w:w="2057" w:type="dxa"/>
            <w:vAlign w:val="center"/>
          </w:tcPr>
          <w:p>
            <w:pPr>
              <w:pStyle w:val="TableText"/>
              <w:jc w:val="left"/>
            </w:pPr>
            <w:r>
              <w:rPr>
                <w:sz w:val="17"/>
                <w:szCs w:val="17"/>
              </w:rPr>
              <w:t xml:space="preserve">Calibration part with too few wrong predictions</w:t>
            </w:r>
          </w:p>
        </w:tc>
        <w:tc>
          <w:tcPr>
            <w:tcW w:w="1964" w:type="dxa"/>
            <w:vAlign w:val="center"/>
          </w:tcPr>
          <w:p>
            <w:pPr>
              <w:pStyle w:val="TableText"/>
              <w:jc w:val="left"/>
            </w:pPr>
            <w:r>
              <w:rPr>
                <w:sz w:val="17"/>
                <w:szCs w:val="17"/>
              </w:rPr>
              <w:t xml:space="preserve">Fusion falls back to confidence risk</w:t>
            </w:r>
          </w:p>
        </w:tc>
        <w:tc>
          <w:tcPr>
            <w:tcW w:w="1964" w:type="dxa"/>
            <w:vAlign w:val="center"/>
          </w:tcPr>
          <w:p>
            <w:pPr>
              <w:pStyle w:val="TableText"/>
              <w:jc w:val="left"/>
            </w:pPr>
            <w:r>
              <w:rPr>
                <w:sz w:val="17"/>
                <w:szCs w:val="17"/>
              </w:rPr>
              <w:t xml:space="preserve">Falls back</w:t>
            </w:r>
          </w:p>
        </w:tc>
        <w:tc>
          <w:tcPr>
            <w:tcW w:w="1309" w:type="dxa"/>
            <w:vAlign w:val="center"/>
          </w:tcPr>
          <w:p>
            <w:pPr>
              <w:pStyle w:val="TableText"/>
              <w:jc w:val="left"/>
            </w:pPr>
            <w:r>
              <w:rPr>
                <w:sz w:val="17"/>
                <w:szCs w:val="17"/>
              </w:rPr>
              <w:t xml:space="preserve">Pass; test_fusion_falls_back_without_enough_errors</w:t>
            </w:r>
          </w:p>
        </w:tc>
      </w:tr>
      <w:tr>
        <w:trPr>
          <w:cantSplit/>
        </w:trPr>
        <w:tc>
          <w:tcPr>
            <w:tcW w:w="748" w:type="dxa"/>
            <w:vAlign w:val="center"/>
          </w:tcPr>
          <w:p>
            <w:pPr>
              <w:pStyle w:val="TableText"/>
              <w:jc w:val="left"/>
            </w:pPr>
            <w:r>
              <w:rPr>
                <w:sz w:val="17"/>
                <w:szCs w:val="17"/>
              </w:rPr>
              <w:t xml:space="preserve">TC-14</w:t>
            </w:r>
          </w:p>
        </w:tc>
        <w:tc>
          <w:tcPr>
            <w:tcW w:w="1215" w:type="dxa"/>
            <w:vAlign w:val="center"/>
          </w:tcPr>
          <w:p>
            <w:pPr>
              <w:pStyle w:val="TableText"/>
              <w:jc w:val="left"/>
            </w:pPr>
            <w:r>
              <w:rPr>
                <w:sz w:val="17"/>
                <w:szCs w:val="17"/>
              </w:rPr>
              <w:t xml:space="preserve">FR-11</w:t>
            </w:r>
          </w:p>
        </w:tc>
        <w:tc>
          <w:tcPr>
            <w:tcW w:w="2057" w:type="dxa"/>
            <w:vAlign w:val="center"/>
          </w:tcPr>
          <w:p>
            <w:pPr>
              <w:pStyle w:val="TableText"/>
              <w:jc w:val="left"/>
            </w:pPr>
            <w:r>
              <w:rPr>
                <w:sz w:val="17"/>
                <w:szCs w:val="17"/>
              </w:rPr>
              <w:t xml:space="preserve">Correctable covariate shift; concept shift</w:t>
            </w:r>
          </w:p>
        </w:tc>
        <w:tc>
          <w:tcPr>
            <w:tcW w:w="1964" w:type="dxa"/>
            <w:vAlign w:val="center"/>
          </w:tcPr>
          <w:p>
            <w:pPr>
              <w:pStyle w:val="TableText"/>
              <w:jc w:val="left"/>
            </w:pPr>
            <w:r>
              <w:rPr>
                <w:sz w:val="17"/>
                <w:szCs w:val="17"/>
              </w:rPr>
              <w:t xml:space="preserve">Triage escalates on the first and holds on the second</w:t>
            </w:r>
          </w:p>
        </w:tc>
        <w:tc>
          <w:tcPr>
            <w:tcW w:w="1964" w:type="dxa"/>
            <w:vAlign w:val="center"/>
          </w:tcPr>
          <w:p>
            <w:pPr>
              <w:pStyle w:val="TableText"/>
              <w:jc w:val="left"/>
            </w:pPr>
            <w:r>
              <w:rPr>
                <w:sz w:val="17"/>
                <w:szCs w:val="17"/>
              </w:rPr>
              <w:t xml:space="preserve">As expected</w:t>
            </w:r>
          </w:p>
        </w:tc>
        <w:tc>
          <w:tcPr>
            <w:tcW w:w="1309" w:type="dxa"/>
            <w:vAlign w:val="center"/>
          </w:tcPr>
          <w:p>
            <w:pPr>
              <w:pStyle w:val="TableText"/>
              <w:jc w:val="left"/>
            </w:pPr>
            <w:r>
              <w:rPr>
                <w:sz w:val="17"/>
                <w:szCs w:val="17"/>
              </w:rPr>
              <w:t xml:space="preserve">Pass; test_triage_escalates_on_correctable_covariate_shift_and_iw_recovers, test_triage_holds_on_concept_shift</w:t>
            </w:r>
          </w:p>
        </w:tc>
      </w:tr>
      <w:tr>
        <w:trPr>
          <w:cantSplit/>
        </w:trPr>
        <w:tc>
          <w:tcPr>
            <w:tcW w:w="748" w:type="dxa"/>
            <w:vAlign w:val="center"/>
          </w:tcPr>
          <w:p>
            <w:pPr>
              <w:pStyle w:val="TableText"/>
              <w:jc w:val="left"/>
            </w:pPr>
            <w:r>
              <w:rPr>
                <w:sz w:val="17"/>
                <w:szCs w:val="17"/>
              </w:rPr>
              <w:t xml:space="preserve">TC-15</w:t>
            </w:r>
          </w:p>
        </w:tc>
        <w:tc>
          <w:tcPr>
            <w:tcW w:w="1215" w:type="dxa"/>
            <w:vAlign w:val="center"/>
          </w:tcPr>
          <w:p>
            <w:pPr>
              <w:pStyle w:val="TableText"/>
              <w:jc w:val="left"/>
            </w:pPr>
            <w:r>
              <w:rPr>
                <w:sz w:val="17"/>
                <w:szCs w:val="17"/>
              </w:rPr>
              <w:t xml:space="preserve">FR-12, FR-13</w:t>
            </w:r>
          </w:p>
        </w:tc>
        <w:tc>
          <w:tcPr>
            <w:tcW w:w="2057" w:type="dxa"/>
            <w:vAlign w:val="center"/>
          </w:tcPr>
          <w:p>
            <w:pPr>
              <w:pStyle w:val="TableText"/>
              <w:jc w:val="left"/>
            </w:pPr>
            <w:r>
              <w:rPr>
                <w:sz w:val="17"/>
                <w:szCs w:val="17"/>
              </w:rPr>
              <w:t xml:space="preserve">Every study report</w:t>
            </w:r>
          </w:p>
        </w:tc>
        <w:tc>
          <w:tcPr>
            <w:tcW w:w="1964" w:type="dxa"/>
            <w:vAlign w:val="center"/>
          </w:tcPr>
          <w:p>
            <w:pPr>
              <w:pStyle w:val="TableText"/>
              <w:jc w:val="left"/>
            </w:pPr>
            <w:r>
              <w:rPr>
                <w:sz w:val="17"/>
                <w:szCs w:val="17"/>
              </w:rPr>
              <w:t xml:space="preserve">Dashboard loads all reports, draws every chart and renders without exceptions</w:t>
            </w:r>
          </w:p>
        </w:tc>
        <w:tc>
          <w:tcPr>
            <w:tcW w:w="1964" w:type="dxa"/>
            <w:vAlign w:val="center"/>
          </w:tcPr>
          <w:p>
            <w:pPr>
              <w:pStyle w:val="TableText"/>
              <w:jc w:val="left"/>
            </w:pPr>
            <w:r>
              <w:rPr>
                <w:sz w:val="17"/>
                <w:szCs w:val="17"/>
              </w:rPr>
              <w:t xml:space="preserve">As expected</w:t>
            </w:r>
          </w:p>
        </w:tc>
        <w:tc>
          <w:tcPr>
            <w:tcW w:w="1309" w:type="dxa"/>
            <w:vAlign w:val="center"/>
          </w:tcPr>
          <w:p>
            <w:pPr>
              <w:pStyle w:val="TableText"/>
              <w:jc w:val="left"/>
            </w:pPr>
            <w:r>
              <w:rPr>
                <w:sz w:val="17"/>
                <w:szCs w:val="17"/>
              </w:rPr>
              <w:t xml:space="preserve">Pass; 13 integration tests</w:t>
            </w:r>
          </w:p>
        </w:tc>
      </w:tr>
      <w:tr>
        <w:trPr>
          <w:cantSplit/>
        </w:trPr>
        <w:tc>
          <w:tcPr>
            <w:tcW w:w="748" w:type="dxa"/>
            <w:vAlign w:val="center"/>
          </w:tcPr>
          <w:p>
            <w:pPr>
              <w:pStyle w:val="TableText"/>
              <w:jc w:val="left"/>
            </w:pPr>
            <w:r>
              <w:rPr>
                <w:sz w:val="17"/>
                <w:szCs w:val="17"/>
              </w:rPr>
              <w:t xml:space="preserve">TC-16</w:t>
            </w:r>
          </w:p>
        </w:tc>
        <w:tc>
          <w:tcPr>
            <w:tcW w:w="1215" w:type="dxa"/>
            <w:vAlign w:val="center"/>
          </w:tcPr>
          <w:p>
            <w:pPr>
              <w:pStyle w:val="TableText"/>
              <w:jc w:val="left"/>
            </w:pPr>
            <w:r>
              <w:rPr>
                <w:sz w:val="17"/>
                <w:szCs w:val="17"/>
              </w:rPr>
              <w:t xml:space="preserve">FR-14</w:t>
            </w:r>
          </w:p>
        </w:tc>
        <w:tc>
          <w:tcPr>
            <w:tcW w:w="2057" w:type="dxa"/>
            <w:vAlign w:val="center"/>
          </w:tcPr>
          <w:p>
            <w:pPr>
              <w:pStyle w:val="TableText"/>
              <w:jc w:val="left"/>
            </w:pPr>
            <w:r>
              <w:rPr>
                <w:sz w:val="17"/>
                <w:szCs w:val="17"/>
              </w:rPr>
              <w:t xml:space="preserve">Each injector applied to real rows</w:t>
            </w:r>
          </w:p>
        </w:tc>
        <w:tc>
          <w:tcPr>
            <w:tcW w:w="1964" w:type="dxa"/>
            <w:vAlign w:val="center"/>
          </w:tcPr>
          <w:p>
            <w:pPr>
              <w:pStyle w:val="TableText"/>
              <w:jc w:val="left"/>
            </w:pPr>
            <w:r>
              <w:rPr>
                <w:sz w:val="17"/>
                <w:szCs w:val="17"/>
              </w:rPr>
              <w:t xml:space="preserve">Each injector changes only what its type allows</w:t>
            </w:r>
          </w:p>
        </w:tc>
        <w:tc>
          <w:tcPr>
            <w:tcW w:w="1964" w:type="dxa"/>
            <w:vAlign w:val="center"/>
          </w:tcPr>
          <w:p>
            <w:pPr>
              <w:pStyle w:val="TableText"/>
              <w:jc w:val="left"/>
            </w:pPr>
            <w:r>
              <w:rPr>
                <w:sz w:val="17"/>
                <w:szCs w:val="17"/>
              </w:rPr>
              <w:t xml:space="preserve">As expected</w:t>
            </w:r>
          </w:p>
        </w:tc>
        <w:tc>
          <w:tcPr>
            <w:tcW w:w="1309" w:type="dxa"/>
            <w:vAlign w:val="center"/>
          </w:tcPr>
          <w:p>
            <w:pPr>
              <w:pStyle w:val="TableText"/>
              <w:jc w:val="left"/>
            </w:pPr>
            <w:r>
              <w:rPr>
                <w:sz w:val="17"/>
                <w:szCs w:val="17"/>
              </w:rPr>
              <w:t xml:space="preserve">Pass; five injector tests</w:t>
            </w:r>
          </w:p>
        </w:tc>
      </w:tr>
      <w:tr>
        <w:trPr>
          <w:cantSplit/>
        </w:trPr>
        <w:tc>
          <w:tcPr>
            <w:tcW w:w="748" w:type="dxa"/>
            <w:vAlign w:val="center"/>
          </w:tcPr>
          <w:p>
            <w:pPr>
              <w:pStyle w:val="TableText"/>
              <w:jc w:val="left"/>
            </w:pPr>
            <w:r>
              <w:rPr>
                <w:sz w:val="17"/>
                <w:szCs w:val="17"/>
              </w:rPr>
              <w:t xml:space="preserve">TC-17</w:t>
            </w:r>
          </w:p>
        </w:tc>
        <w:tc>
          <w:tcPr>
            <w:tcW w:w="1215" w:type="dxa"/>
            <w:vAlign w:val="center"/>
          </w:tcPr>
          <w:p>
            <w:pPr>
              <w:pStyle w:val="TableText"/>
              <w:jc w:val="left"/>
            </w:pPr>
            <w:r>
              <w:rPr>
                <w:sz w:val="17"/>
                <w:szCs w:val="17"/>
              </w:rPr>
              <w:t xml:space="preserve">NFR-01</w:t>
            </w:r>
          </w:p>
        </w:tc>
        <w:tc>
          <w:tcPr>
            <w:tcW w:w="2057" w:type="dxa"/>
            <w:vAlign w:val="center"/>
          </w:tcPr>
          <w:p>
            <w:pPr>
              <w:pStyle w:val="TableText"/>
              <w:jc w:val="left"/>
            </w:pPr>
            <w:r>
              <w:rPr>
                <w:sz w:val="17"/>
                <w:szCs w:val="17"/>
              </w:rPr>
              <w:t xml:space="preserve">200 benchmark control windows</w:t>
            </w:r>
          </w:p>
        </w:tc>
        <w:tc>
          <w:tcPr>
            <w:tcW w:w="1964" w:type="dxa"/>
            <w:vAlign w:val="center"/>
          </w:tcPr>
          <w:p>
            <w:pPr>
              <w:pStyle w:val="TableText"/>
              <w:jc w:val="left"/>
            </w:pPr>
            <w:r>
              <w:rPr>
                <w:sz w:val="17"/>
                <w:szCs w:val="17"/>
              </w:rPr>
              <w:t xml:space="preserve">Each detector’s false alarm CI contains α or lies below it</w:t>
            </w:r>
          </w:p>
        </w:tc>
        <w:tc>
          <w:tcPr>
            <w:tcW w:w="1964" w:type="dxa"/>
            <w:vAlign w:val="center"/>
          </w:tcPr>
          <w:p>
            <w:pPr>
              <w:pStyle w:val="TableText"/>
              <w:jc w:val="left"/>
            </w:pPr>
            <w:r>
              <w:rPr>
                <w:sz w:val="17"/>
                <w:szCs w:val="17"/>
              </w:rPr>
              <w:t xml:space="preserve">As expected</w:t>
            </w:r>
          </w:p>
        </w:tc>
        <w:tc>
          <w:tcPr>
            <w:tcW w:w="1309" w:type="dxa"/>
            <w:vAlign w:val="center"/>
          </w:tcPr>
          <w:p>
            <w:pPr>
              <w:pStyle w:val="TableText"/>
              <w:jc w:val="left"/>
            </w:pPr>
            <w:r>
              <w:rPr>
                <w:sz w:val="17"/>
                <w:szCs w:val="17"/>
              </w:rPr>
              <w:t xml:space="preserve">Pass; Section </w:t>
            </w:r>
            <w:r>
              <w:rPr>
                <w:sz w:val="17"/>
                <w:szCs w:val="17"/>
              </w:rPr>
              <w:t xml:space="preserve">7.4</w:t>
            </w:r>
          </w:p>
        </w:tc>
      </w:tr>
      <w:tr>
        <w:trPr>
          <w:cantSplit/>
        </w:trPr>
        <w:tc>
          <w:tcPr>
            <w:tcW w:w="748" w:type="dxa"/>
            <w:vAlign w:val="center"/>
          </w:tcPr>
          <w:p>
            <w:pPr>
              <w:pStyle w:val="TableText"/>
              <w:jc w:val="left"/>
            </w:pPr>
            <w:r>
              <w:rPr>
                <w:sz w:val="17"/>
                <w:szCs w:val="17"/>
              </w:rPr>
              <w:t xml:space="preserve">TC-18</w:t>
            </w:r>
          </w:p>
        </w:tc>
        <w:tc>
          <w:tcPr>
            <w:tcW w:w="1215" w:type="dxa"/>
            <w:vAlign w:val="center"/>
          </w:tcPr>
          <w:p>
            <w:pPr>
              <w:pStyle w:val="TableText"/>
              <w:jc w:val="left"/>
            </w:pPr>
            <w:r>
              <w:rPr>
                <w:sz w:val="17"/>
                <w:szCs w:val="17"/>
              </w:rPr>
              <w:t xml:space="preserve">NFR-02</w:t>
            </w:r>
          </w:p>
        </w:tc>
        <w:tc>
          <w:tcPr>
            <w:tcW w:w="2057" w:type="dxa"/>
            <w:vAlign w:val="center"/>
          </w:tcPr>
          <w:p>
            <w:pPr>
              <w:pStyle w:val="TableText"/>
              <w:jc w:val="left"/>
            </w:pPr>
            <w:r>
              <w:rPr>
                <w:sz w:val="17"/>
                <w:szCs w:val="17"/>
              </w:rPr>
              <w:t xml:space="preserve">Benchmark control windows through the full diagnosis</w:t>
            </w:r>
          </w:p>
        </w:tc>
        <w:tc>
          <w:tcPr>
            <w:tcW w:w="1964" w:type="dxa"/>
            <w:vAlign w:val="center"/>
          </w:tcPr>
          <w:p>
            <w:pPr>
              <w:pStyle w:val="TableText"/>
              <w:jc w:val="left"/>
            </w:pPr>
            <w:r>
              <w:rPr>
                <w:sz w:val="17"/>
                <w:szCs w:val="17"/>
              </w:rPr>
              <w:t xml:space="preserve">Drift verdicts in at most 2α = 10%</w:t>
            </w:r>
          </w:p>
        </w:tc>
        <w:tc>
          <w:tcPr>
            <w:tcW w:w="1964" w:type="dxa"/>
            <w:vAlign w:val="center"/>
          </w:tcPr>
          <w:p>
            <w:pPr>
              <w:pStyle w:val="TableText"/>
              <w:jc w:val="left"/>
            </w:pPr>
            <w:r>
              <w:rPr>
                <w:sz w:val="17"/>
                <w:szCs w:val="17"/>
              </w:rPr>
              <w:t xml:space="preserve">6.5%</w:t>
            </w:r>
          </w:p>
        </w:tc>
        <w:tc>
          <w:tcPr>
            <w:tcW w:w="1309" w:type="dxa"/>
            <w:vAlign w:val="center"/>
          </w:tcPr>
          <w:p>
            <w:pPr>
              <w:pStyle w:val="TableText"/>
              <w:jc w:val="left"/>
            </w:pPr>
            <w:r>
              <w:rPr>
                <w:sz w:val="17"/>
                <w:szCs w:val="17"/>
              </w:rPr>
              <w:t xml:space="preserve">Pass; Section </w:t>
            </w:r>
            <w:r>
              <w:rPr>
                <w:sz w:val="17"/>
                <w:szCs w:val="17"/>
              </w:rPr>
              <w:t xml:space="preserve">7.4</w:t>
            </w:r>
          </w:p>
        </w:tc>
      </w:tr>
      <w:tr>
        <w:trPr>
          <w:cantSplit/>
        </w:trPr>
        <w:tc>
          <w:tcPr>
            <w:tcW w:w="748" w:type="dxa"/>
            <w:vAlign w:val="center"/>
          </w:tcPr>
          <w:p>
            <w:pPr>
              <w:pStyle w:val="TableText"/>
              <w:jc w:val="left"/>
            </w:pPr>
            <w:r>
              <w:rPr>
                <w:sz w:val="17"/>
                <w:szCs w:val="17"/>
              </w:rPr>
              <w:t xml:space="preserve">TC-19</w:t>
            </w:r>
          </w:p>
        </w:tc>
        <w:tc>
          <w:tcPr>
            <w:tcW w:w="1215" w:type="dxa"/>
            <w:vAlign w:val="center"/>
          </w:tcPr>
          <w:p>
            <w:pPr>
              <w:pStyle w:val="TableText"/>
              <w:jc w:val="left"/>
            </w:pPr>
            <w:r>
              <w:rPr>
                <w:sz w:val="17"/>
                <w:szCs w:val="17"/>
              </w:rPr>
              <w:t xml:space="preserve">System</w:t>
            </w:r>
          </w:p>
        </w:tc>
        <w:tc>
          <w:tcPr>
            <w:tcW w:w="2057" w:type="dxa"/>
            <w:vAlign w:val="center"/>
          </w:tcPr>
          <w:p>
            <w:pPr>
              <w:pStyle w:val="TableText"/>
              <w:jc w:val="left"/>
            </w:pPr>
            <w:r>
              <w:rPr>
                <w:sz w:val="17"/>
                <w:szCs w:val="17"/>
              </w:rPr>
              <w:t xml:space="preserve">Real control windows of all four datasets</w:t>
            </w:r>
          </w:p>
        </w:tc>
        <w:tc>
          <w:tcPr>
            <w:tcW w:w="1964" w:type="dxa"/>
            <w:vAlign w:val="center"/>
          </w:tcPr>
          <w:p>
            <w:pPr>
              <w:pStyle w:val="TableText"/>
              <w:jc w:val="left"/>
            </w:pPr>
            <w:r>
              <w:rPr>
                <w:sz w:val="17"/>
                <w:szCs w:val="17"/>
              </w:rPr>
              <w:t xml:space="preserve">No drift verdict on any control window</w:t>
            </w:r>
          </w:p>
        </w:tc>
        <w:tc>
          <w:tcPr>
            <w:tcW w:w="1964" w:type="dxa"/>
            <w:vAlign w:val="center"/>
          </w:tcPr>
          <w:p>
            <w:pPr>
              <w:pStyle w:val="TableText"/>
              <w:jc w:val="left"/>
            </w:pPr>
            <w:r>
              <w:rPr>
                <w:sz w:val="17"/>
                <w:szCs w:val="17"/>
              </w:rPr>
              <w:t xml:space="preserve">None</w:t>
            </w:r>
          </w:p>
        </w:tc>
        <w:tc>
          <w:tcPr>
            <w:tcW w:w="1309" w:type="dxa"/>
            <w:vAlign w:val="center"/>
          </w:tcPr>
          <w:p>
            <w:pPr>
              <w:pStyle w:val="TableText"/>
              <w:jc w:val="left"/>
            </w:pPr>
            <w:r>
              <w:rPr>
                <w:sz w:val="17"/>
                <w:szCs w:val="17"/>
              </w:rPr>
              <w:t xml:space="preserve">Pass; Section </w:t>
            </w:r>
            <w:r>
              <w:rPr>
                <w:sz w:val="17"/>
                <w:szCs w:val="17"/>
              </w:rPr>
              <w:t xml:space="preserve">7.4.5</w:t>
            </w:r>
          </w:p>
        </w:tc>
      </w:tr>
      <w:tr>
        <w:trPr>
          <w:cantSplit/>
        </w:trPr>
        <w:tc>
          <w:tcPr>
            <w:tcW w:w="748" w:type="dxa"/>
            <w:vAlign w:val="center"/>
          </w:tcPr>
          <w:p>
            <w:pPr>
              <w:pStyle w:val="TableText"/>
              <w:jc w:val="left"/>
            </w:pPr>
            <w:r>
              <w:rPr>
                <w:sz w:val="17"/>
                <w:szCs w:val="17"/>
              </w:rPr>
              <w:t xml:space="preserve">TC-20</w:t>
            </w:r>
          </w:p>
        </w:tc>
        <w:tc>
          <w:tcPr>
            <w:tcW w:w="1215" w:type="dxa"/>
            <w:vAlign w:val="center"/>
          </w:tcPr>
          <w:p>
            <w:pPr>
              <w:pStyle w:val="TableText"/>
              <w:jc w:val="left"/>
            </w:pPr>
            <w:r>
              <w:rPr>
                <w:sz w:val="17"/>
                <w:szCs w:val="17"/>
              </w:rPr>
              <w:t xml:space="preserve">NFR-04</w:t>
            </w:r>
          </w:p>
        </w:tc>
        <w:tc>
          <w:tcPr>
            <w:tcW w:w="2057" w:type="dxa"/>
            <w:vAlign w:val="center"/>
          </w:tcPr>
          <w:p>
            <w:pPr>
              <w:pStyle w:val="TableText"/>
              <w:jc w:val="left"/>
            </w:pPr>
            <w:r>
              <w:rPr>
                <w:sz w:val="17"/>
                <w:szCs w:val="17"/>
              </w:rPr>
              <w:t xml:space="preserve">Every real window</w:t>
            </w:r>
          </w:p>
        </w:tc>
        <w:tc>
          <w:tcPr>
            <w:tcW w:w="1964" w:type="dxa"/>
            <w:vAlign w:val="center"/>
          </w:tcPr>
          <w:p>
            <w:pPr>
              <w:pStyle w:val="TableText"/>
              <w:jc w:val="left"/>
            </w:pPr>
            <w:r>
              <w:rPr>
                <w:sz w:val="17"/>
                <w:szCs w:val="17"/>
              </w:rPr>
              <w:t xml:space="preserve">Analysis within a daily monitoring cycle</w:t>
            </w:r>
          </w:p>
        </w:tc>
        <w:tc>
          <w:tcPr>
            <w:tcW w:w="1964" w:type="dxa"/>
            <w:vAlign w:val="center"/>
          </w:tcPr>
          <w:p>
            <w:pPr>
              <w:pStyle w:val="TableText"/>
              <w:jc w:val="left"/>
            </w:pPr>
            <w:r>
              <w:rPr>
                <w:sz w:val="17"/>
                <w:szCs w:val="17"/>
              </w:rPr>
              <w:t xml:space="preserve">At most 90 s</w:t>
            </w:r>
          </w:p>
        </w:tc>
        <w:tc>
          <w:tcPr>
            <w:tcW w:w="1309" w:type="dxa"/>
            <w:vAlign w:val="center"/>
          </w:tcPr>
          <w:p>
            <w:pPr>
              <w:pStyle w:val="TableText"/>
              <w:jc w:val="left"/>
            </w:pPr>
            <w:r>
              <w:rPr>
                <w:sz w:val="17"/>
                <w:szCs w:val="17"/>
              </w:rPr>
              <w:t xml:space="preserve">Pass; Section </w:t>
            </w:r>
            <w:r>
              <w:rPr>
                <w:sz w:val="17"/>
                <w:szCs w:val="17"/>
              </w:rPr>
              <w:t xml:space="preserve">7.4.7</w:t>
            </w:r>
          </w:p>
        </w:tc>
      </w:tr>
      <w:tr>
        <w:trPr>
          <w:cantSplit/>
        </w:trPr>
        <w:tc>
          <w:tcPr>
            <w:tcW w:w="748" w:type="dxa"/>
            <w:vAlign w:val="center"/>
          </w:tcPr>
          <w:p>
            <w:pPr>
              <w:pStyle w:val="TableText"/>
              <w:jc w:val="left"/>
            </w:pPr>
            <w:r>
              <w:rPr>
                <w:sz w:val="17"/>
                <w:szCs w:val="17"/>
              </w:rPr>
              <w:t xml:space="preserve">TC-21</w:t>
            </w:r>
          </w:p>
        </w:tc>
        <w:tc>
          <w:tcPr>
            <w:tcW w:w="1215" w:type="dxa"/>
            <w:vAlign w:val="center"/>
          </w:tcPr>
          <w:p>
            <w:pPr>
              <w:pStyle w:val="TableText"/>
              <w:jc w:val="left"/>
            </w:pPr>
            <w:r>
              <w:rPr>
                <w:sz w:val="17"/>
                <w:szCs w:val="17"/>
              </w:rPr>
              <w:t xml:space="preserve">NFR-06</w:t>
            </w:r>
          </w:p>
        </w:tc>
        <w:tc>
          <w:tcPr>
            <w:tcW w:w="2057" w:type="dxa"/>
            <w:vAlign w:val="center"/>
          </w:tcPr>
          <w:p>
            <w:pPr>
              <w:pStyle w:val="TableText"/>
              <w:jc w:val="left"/>
            </w:pPr>
            <w:r>
              <w:rPr>
                <w:sz w:val="17"/>
                <w:szCs w:val="17"/>
              </w:rPr>
              <w:t xml:space="preserve">Seeded components run twice; GPU against CPU</w:t>
            </w:r>
          </w:p>
        </w:tc>
        <w:tc>
          <w:tcPr>
            <w:tcW w:w="1964" w:type="dxa"/>
            <w:vAlign w:val="center"/>
          </w:tcPr>
          <w:p>
            <w:pPr>
              <w:pStyle w:val="TableText"/>
              <w:jc w:val="left"/>
            </w:pPr>
            <w:r>
              <w:rPr>
                <w:sz w:val="17"/>
                <w:szCs w:val="17"/>
              </w:rPr>
              <w:t xml:space="preserve">Identical results</w:t>
            </w:r>
          </w:p>
        </w:tc>
        <w:tc>
          <w:tcPr>
            <w:tcW w:w="1964" w:type="dxa"/>
            <w:vAlign w:val="center"/>
          </w:tcPr>
          <w:p>
            <w:pPr>
              <w:pStyle w:val="TableText"/>
              <w:jc w:val="left"/>
            </w:pPr>
            <w:r>
              <w:rPr>
                <w:sz w:val="17"/>
                <w:szCs w:val="17"/>
              </w:rPr>
              <w:t xml:space="preserve">Identical</w:t>
            </w:r>
          </w:p>
        </w:tc>
        <w:tc>
          <w:tcPr>
            <w:tcW w:w="1309" w:type="dxa"/>
            <w:vAlign w:val="center"/>
          </w:tcPr>
          <w:p>
            <w:pPr>
              <w:pStyle w:val="TableText"/>
              <w:jc w:val="left"/>
            </w:pPr>
            <w:r>
              <w:rPr>
                <w:sz w:val="17"/>
                <w:szCs w:val="17"/>
              </w:rPr>
              <w:t xml:space="preserve">Pass; test_strategies_are_deterministic, test_gpu_permutation_tests_match_cpu</w:t>
            </w:r>
          </w:p>
        </w:tc>
      </w:tr>
      <w:tr>
        <w:trPr>
          <w:cantSplit/>
        </w:trPr>
        <w:tc>
          <w:tcPr>
            <w:tcW w:w="748" w:type="dxa"/>
            <w:vAlign w:val="center"/>
          </w:tcPr>
          <w:p>
            <w:pPr>
              <w:pStyle w:val="TableText"/>
              <w:jc w:val="left"/>
            </w:pPr>
            <w:r>
              <w:rPr>
                <w:sz w:val="17"/>
                <w:szCs w:val="17"/>
              </w:rPr>
              <w:t xml:space="preserve">TC-22</w:t>
            </w:r>
          </w:p>
        </w:tc>
        <w:tc>
          <w:tcPr>
            <w:tcW w:w="1215" w:type="dxa"/>
            <w:vAlign w:val="center"/>
          </w:tcPr>
          <w:p>
            <w:pPr>
              <w:pStyle w:val="TableText"/>
              <w:jc w:val="left"/>
            </w:pPr>
            <w:r>
              <w:rPr>
                <w:sz w:val="17"/>
                <w:szCs w:val="17"/>
              </w:rPr>
              <w:t xml:space="preserve">NFR-07</w:t>
            </w:r>
          </w:p>
        </w:tc>
        <w:tc>
          <w:tcPr>
            <w:tcW w:w="2057" w:type="dxa"/>
            <w:vAlign w:val="center"/>
          </w:tcPr>
          <w:p>
            <w:pPr>
              <w:pStyle w:val="TableText"/>
              <w:jc w:val="left"/>
            </w:pPr>
            <w:r>
              <w:rPr>
                <w:sz w:val="17"/>
                <w:szCs w:val="17"/>
              </w:rPr>
              <w:t xml:space="preserve">Full automated suite</w:t>
            </w:r>
          </w:p>
        </w:tc>
        <w:tc>
          <w:tcPr>
            <w:tcW w:w="1964" w:type="dxa"/>
            <w:vAlign w:val="center"/>
          </w:tcPr>
          <w:p>
            <w:pPr>
              <w:pStyle w:val="TableText"/>
              <w:jc w:val="left"/>
            </w:pPr>
            <w:r>
              <w:rPr>
                <w:sz w:val="17"/>
                <w:szCs w:val="17"/>
              </w:rPr>
              <w:t xml:space="preserve">All tests pass</w:t>
            </w:r>
          </w:p>
        </w:tc>
        <w:tc>
          <w:tcPr>
            <w:tcW w:w="1964" w:type="dxa"/>
            <w:vAlign w:val="center"/>
          </w:tcPr>
          <w:p>
            <w:pPr>
              <w:pStyle w:val="TableText"/>
              <w:jc w:val="left"/>
            </w:pPr>
            <w:r>
              <w:rPr>
                <w:sz w:val="17"/>
                <w:szCs w:val="17"/>
              </w:rPr>
              <w:t xml:space="preserve">113 passed in 49 s</w:t>
            </w:r>
          </w:p>
        </w:tc>
        <w:tc>
          <w:tcPr>
            <w:tcW w:w="1309" w:type="dxa"/>
            <w:vAlign w:val="center"/>
          </w:tcPr>
          <w:p>
            <w:pPr>
              <w:pStyle w:val="TableText"/>
              <w:jc w:val="left"/>
            </w:pPr>
            <w:r>
              <w:rPr>
                <w:sz w:val="17"/>
                <w:szCs w:val="17"/>
              </w:rPr>
              <w:t xml:space="preserve">Pass; pytest run of 30 October 2026</w:t>
            </w:r>
          </w:p>
        </w:tc>
      </w:tr>
    </w:tbl>
    <w:p>
      <w:pPr>
        <w:spacing w:before="0" w:after="120" w:line="240" w:lineRule="auto"/>
      </w:pPr>
    </w:p>
    <w:p>
      <w:pPr>
        <w:pStyle w:val="Heading2"/>
      </w:pPr>
      <w:r>
        <w:t xml:space="preserve">6.4 Inference Drawn from the Test Cases</w:t>
      </w:r>
    </w:p>
    <w:p>
      <w:pPr>
        <w:pStyle w:val="Normal"/>
      </w:pPr>
      <w:r>
        <w:t xml:space="preserve">All 113 automated tests pass and every test case in Table </w:t>
      </w:r>
      <w:r>
        <w:t xml:space="preserve">6.1</w:t>
      </w:r>
      <w:r>
        <w:t xml:space="preserve"> met its expected result. The statistical tests matter most, because they back the error rates the system promises. The family-wise error of the label-free decisions came out at 4.9% against a target of 5%. The rule used before the correction, which tested the blocks first and then the features at the level the block was rejected at, came out at 6.6%: it spent α twice. On the benchmark control windows the full diagnosis raised a false verdict on 6.5% of windows, below its bound of 10%.</w:t>
      </w:r>
    </w:p>
    <w:p>
      <w:pPr>
        <w:pStyle w:val="Normal"/>
      </w:pPr>
      <w:r>
        <w:t xml:space="preserve">Testing also found defects. The simulation above exposed the error in the label-free stage and a code review found that the audit counted the categories of nominal features on all rows instead of the audit rows only. Both were fixed, a regression test was added for each (TC-08 and TC-11) and every result was produced again, which changed the verdict in 115 of the 5,300 benchmark windows. Earlier fixes are guarded in the same way: tests now check that SHAP explains the positive-class probability of the full model pipeline, that the MMD test standardizes its inputs, that CBPE stays finite when a confidence bin of the reference is empty and that permutation p values are seeded.</w:t>
      </w:r>
    </w:p>
    <w:p>
      <w:pPr>
        <w:pStyle w:val="Normal"/>
      </w:pPr>
      <w:r>
        <w:t xml:space="preserve">Two limits remain. The automated suite checks behavior on small and synthetic data and does not replace the benchmark and real-data studies, which take hours rather than seconds. And usability was checked by the team and the mentor reviews, not by a study with outside users, so the usability requirement is met only in the sense of NFR-08.</w:t>
      </w:r>
    </w:p>
    <w:p>
      <w:pPr>
        <w:pStyle w:val="Heading1"/>
      </w:pPr>
      <w:r>
        <w:t xml:space="preserve">CHAPTER 7: RESULTS AND DISCUSSION</w:t>
      </w:r>
    </w:p>
    <w:p>
      <w:pPr>
        <w:pStyle w:val="Normal"/>
      </w:pPr>
      <w:r>
        <w:t xml:space="preserve">This chapter presents what the finished system does and how well it does it. It starts with the dashboard, through which a user meets every module, then defines the measures used to judge the system, lists its inputs and settings, reports the results on the benchmark and on real drift, compares them with existing approaches and draws conclusions. It ends with the sustainability assessment that the department asks for.</w:t>
      </w:r>
    </w:p>
    <w:p>
      <w:pPr>
        <w:pStyle w:val="Heading2"/>
      </w:pPr>
      <w:r>
        <w:t xml:space="preserve">7.1 User Interface Screenshots for Respective Modules</w:t>
      </w:r>
    </w:p>
    <w:p>
      <w:pPr>
        <w:pStyle w:val="Normal"/>
      </w:pPr>
      <w:r>
        <w:t xml:space="preserve">The dashboard is a Streamlit application with one tab per dataset (ACS census data, CLEAR-10 images, the gas sensor array) and one for the injection benchmark. Each tab tells the story of a study in numbered steps that follow the stages of the pipeline and each step opens with the question it answers and ends with a short note, generated from the results, that says what the data show. The screenshots below were taken from the running dashboard on the ACS Income study with logistic regression unless stated otherwise. Fig. </w:t>
      </w:r>
      <w:r>
        <w:t xml:space="preserve">7.1</w:t>
      </w:r>
      <w:r>
        <w:t xml:space="preserve"> shows the top of the ACS tab.</w:t>
      </w:r>
    </w:p>
    <w:p>
      <w:pPr>
        <w:pStyle w:val="FigureBody"/>
      </w:pPr>
      <w:r>
        <w:drawing>
          <wp:inline distT="0" distB="0" distL="0" distR="0">
            <wp:extent cx="5760000" cy="3783765"/>
            <wp:docPr id="1012" name="Figure 7.1" descr="Fig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 name="ui_overview.png"/>
                    <pic:cNvPicPr/>
                  </pic:nvPicPr>
                  <pic:blipFill>
                    <a:blip r:embed="rIdI12"/>
                    <a:stretch>
                      <a:fillRect/>
                    </a:stretch>
                  </pic:blipFill>
                  <pic:spPr>
                    <a:xfrm>
                      <a:off x="0" y="0"/>
                      <a:ext cx="5760000" cy="3783765"/>
                    </a:xfrm>
                    <a:prstGeom prst="rect">
                      <a:avLst/>
                    </a:prstGeom>
                  </pic:spPr>
                </pic:pic>
              </a:graphicData>
            </a:graphic>
          </wp:inline>
        </w:drawing>
      </w:r>
    </w:p>
    <w:p>
      <w:pPr>
        <w:pStyle w:val="FigureCaption"/>
      </w:pPr>
      <w:r>
        <w:rPr>
          <w:b/>
          <w:bCs/>
        </w:rPr>
        <w:t xml:space="preserve">Fig. 7.1: </w:t>
      </w:r>
      <w:r>
        <w:t xml:space="preserve">Top of the ACS tab: task and model selectors, the description of the study, the headline numbers and the strip of steps</w:t>
      </w:r>
    </w:p>
    <w:p>
      <w:pPr>
        <w:pStyle w:val="Normal"/>
      </w:pPr>
      <w:r>
        <w:t xml:space="preserve">The user chooses the task (ACS Income or ACS Employment) and the monitored model. The headline numbers summarize the study: the reference accuracy of 0.826, the 12 production windows, the 11 windows whose accuracy dropped significantly and the absence of any alarm on the control window. The strip of steps doubles as a table of contents. Fig. </w:t>
      </w:r>
      <w:r>
        <w:t xml:space="preserve">7.2</w:t>
      </w:r>
      <w:r>
        <w:t xml:space="preserve"> shows the first analysis step, the label-free accuracy estimate.</w:t>
      </w:r>
    </w:p>
    <w:p>
      <w:pPr>
        <w:pStyle w:val="FigureBody"/>
      </w:pPr>
      <w:r>
        <w:drawing>
          <wp:inline distT="0" distB="0" distL="0" distR="0">
            <wp:extent cx="5040000" cy="5867698"/>
            <wp:docPr id="1013" name="Figure 7.2" descr="Fig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 name="ui_cbpe.png"/>
                    <pic:cNvPicPr/>
                  </pic:nvPicPr>
                  <pic:blipFill>
                    <a:blip r:embed="rIdI13"/>
                    <a:stretch>
                      <a:fillRect/>
                    </a:stretch>
                  </pic:blipFill>
                  <pic:spPr>
                    <a:xfrm>
                      <a:off x="0" y="0"/>
                      <a:ext cx="5040000" cy="5867698"/>
                    </a:xfrm>
                    <a:prstGeom prst="rect">
                      <a:avLst/>
                    </a:prstGeom>
                  </pic:spPr>
                </pic:pic>
              </a:graphicData>
            </a:graphic>
          </wp:inline>
        </w:drawing>
      </w:r>
    </w:p>
    <w:p>
      <w:pPr>
        <w:pStyle w:val="FigureCaption"/>
        <w:jc w:val="both"/>
      </w:pPr>
      <w:r>
        <w:rPr>
          <w:b/>
          <w:bCs/>
        </w:rPr>
        <w:t xml:space="preserve">Fig. 7.2: </w:t>
      </w:r>
      <w:r>
        <w:t xml:space="preserve">Step 2a: the label-free accuracy estimate (CBPE) against the measured accuracy, its error per window and the confidence histograms of the reference and of CA 2023</w:t>
      </w:r>
    </w:p>
    <w:p>
      <w:pPr>
        <w:pStyle w:val="Normal"/>
      </w:pPr>
      <w:r>
        <w:t xml:space="preserve">The left chart shows that the estimate follows the measured accuracy closely at first and then stays too high as the years pass and the bar chart on the right gives the size of that error per window. The confidence histograms below show why: the model’s confidence barely moves in CA 2023 even though its accuracy has fallen, which is the failure mode described in Section </w:t>
      </w:r>
      <w:r>
        <w:t xml:space="preserve">5.2.2</w:t>
      </w:r>
      <w:r>
        <w:t xml:space="preserve">. Fig. </w:t>
      </w:r>
      <w:r>
        <w:t xml:space="preserve">7.3</w:t>
      </w:r>
      <w:r>
        <w:t xml:space="preserve"> shows how each detector behaves on the same windows.</w:t>
      </w:r>
    </w:p>
    <w:p>
      <w:pPr>
        <w:pStyle w:val="FigureBody"/>
      </w:pPr>
      <w:r>
        <w:drawing>
          <wp:inline distT="0" distB="0" distL="0" distR="0">
            <wp:extent cx="3960000" cy="7137112"/>
            <wp:docPr id="1014" name="Figure 7.3" descr="Fig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 name="ui_detection.png"/>
                    <pic:cNvPicPr/>
                  </pic:nvPicPr>
                  <pic:blipFill>
                    <a:blip r:embed="rIdI14"/>
                    <a:stretch>
                      <a:fillRect/>
                    </a:stretch>
                  </pic:blipFill>
                  <pic:spPr>
                    <a:xfrm>
                      <a:off x="0" y="0"/>
                      <a:ext cx="3960000" cy="7137112"/>
                    </a:xfrm>
                    <a:prstGeom prst="rect">
                      <a:avLst/>
                    </a:prstGeom>
                  </pic:spPr>
                </pic:pic>
              </a:graphicData>
            </a:graphic>
          </wp:inline>
        </w:drawing>
      </w:r>
    </w:p>
    <w:p>
      <w:pPr>
        <w:pStyle w:val="FigureCaption"/>
        <w:jc w:val="both"/>
      </w:pPr>
      <w:r>
        <w:rPr>
          <w:b/>
          <w:bCs/>
        </w:rPr>
        <w:t xml:space="preserve">Fig. 7.3: </w:t>
      </w:r>
      <w:r>
        <w:t xml:space="preserve">Step 2b: the statistic of every detector per window and, at the bottom, which detector raised an alarm on which window (filled circles)</w:t>
      </w:r>
    </w:p>
    <w:p>
      <w:pPr>
        <w:pStyle w:val="Normal"/>
      </w:pPr>
      <w:r>
        <w:t xml:space="preserve">Each small chart traces one detector’s statistic across the windows and the alarm matrix at the bottom shows at a glance that no detector fires on the held-out control window while most fire from 2016 onwards. The population stability index is the most reluctant detector. Fig. </w:t>
      </w:r>
      <w:r>
        <w:t xml:space="preserve">7.4</w:t>
      </w:r>
      <w:r>
        <w:t xml:space="preserve"> shows where the inputs moved.</w:t>
      </w:r>
    </w:p>
    <w:p>
      <w:pPr>
        <w:pStyle w:val="FigureBody"/>
      </w:pPr>
      <w:r>
        <w:drawing>
          <wp:inline distT="0" distB="0" distL="0" distR="0">
            <wp:extent cx="5220000" cy="6039037"/>
            <wp:docPr id="1015" name="Figure 7.4" descr="Fig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 name="ui_localization.png"/>
                    <pic:cNvPicPr/>
                  </pic:nvPicPr>
                  <pic:blipFill>
                    <a:blip r:embed="rIdI15"/>
                    <a:stretch>
                      <a:fillRect/>
                    </a:stretch>
                  </pic:blipFill>
                  <pic:spPr>
                    <a:xfrm>
                      <a:off x="0" y="0"/>
                      <a:ext cx="5220000" cy="6039037"/>
                    </a:xfrm>
                    <a:prstGeom prst="rect">
                      <a:avLst/>
                    </a:prstGeom>
                  </pic:spPr>
                </pic:pic>
              </a:graphicData>
            </a:graphic>
          </wp:inline>
        </w:drawing>
      </w:r>
    </w:p>
    <w:p>
      <w:pPr>
        <w:pStyle w:val="FigureCaption"/>
        <w:jc w:val="both"/>
      </w:pPr>
      <w:r>
        <w:rPr>
          <w:b/>
          <w:bCs/>
        </w:rPr>
        <w:t xml:space="preserve">Fig. 7.4: </w:t>
      </w:r>
      <w:r>
        <w:t xml:space="preserve">Step 2c: effect size of every feature per window (KS statistic for numeric features, Cramér’s V for nominal ones; a star marks a significant shift) and the share of rows with occupation codes never seen in the reference</w:t>
      </w:r>
    </w:p>
    <w:p>
      <w:pPr>
        <w:pStyle w:val="Normal"/>
      </w:pPr>
      <w:r>
        <w:t xml:space="preserve">The heat maps show that occupation and place of birth carry the largest shifts and the bar chart at the bottom shows the jump in unseen occupation codes from 2018, when the census introduced new codes. Fig. </w:t>
      </w:r>
      <w:r>
        <w:t xml:space="preserve">7.5</w:t>
      </w:r>
      <w:r>
        <w:t xml:space="preserve"> shows what the model now relies on.</w:t>
      </w:r>
    </w:p>
    <w:p>
      <w:pPr>
        <w:pStyle w:val="FigureBody"/>
      </w:pPr>
      <w:r>
        <w:drawing>
          <wp:inline distT="0" distB="0" distL="0" distR="0">
            <wp:extent cx="5040000" cy="6136569"/>
            <wp:docPr id="1016" name="Figure 7.5" descr="Fig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6" name="ui_shap.png"/>
                    <pic:cNvPicPr/>
                  </pic:nvPicPr>
                  <pic:blipFill>
                    <a:blip r:embed="rIdI16"/>
                    <a:stretch>
                      <a:fillRect/>
                    </a:stretch>
                  </pic:blipFill>
                  <pic:spPr>
                    <a:xfrm>
                      <a:off x="0" y="0"/>
                      <a:ext cx="5040000" cy="6136569"/>
                    </a:xfrm>
                    <a:prstGeom prst="rect">
                      <a:avLst/>
                    </a:prstGeom>
                  </pic:spPr>
                </pic:pic>
              </a:graphicData>
            </a:graphic>
          </wp:inline>
        </w:drawing>
      </w:r>
    </w:p>
    <w:p>
      <w:pPr>
        <w:pStyle w:val="FigureCaption"/>
        <w:jc w:val="both"/>
      </w:pPr>
      <w:r>
        <w:rPr>
          <w:b/>
          <w:bCs/>
        </w:rPr>
        <w:t xml:space="preserve">Fig. 7.5: </w:t>
      </w:r>
      <w:r>
        <w:t xml:space="preserve">Step 3a: change in the mean absolute SHAP value of each feature per window and the reliance on each feature in the reference and in CA 2023</w:t>
      </w:r>
    </w:p>
    <w:p>
      <w:pPr>
        <w:pStyle w:val="Normal"/>
      </w:pPr>
      <w:r>
        <w:t xml:space="preserve">The model leans less on occupation in the later windows, consistent with codes it has never seen, while its reliance on the other features changes little. Fig. </w:t>
      </w:r>
      <w:r>
        <w:t xml:space="preserve">7.6</w:t>
      </w:r>
      <w:r>
        <w:t xml:space="preserve"> shows the drift type.</w:t>
      </w:r>
    </w:p>
    <w:p>
      <w:pPr>
        <w:pStyle w:val="FigureBody"/>
      </w:pPr>
      <w:r>
        <w:drawing>
          <wp:inline distT="0" distB="0" distL="0" distR="0">
            <wp:extent cx="4320000" cy="6868619"/>
            <wp:docPr id="1017" name="Figure 7.6" descr="Fig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 name="ui_diagnosis.png"/>
                    <pic:cNvPicPr/>
                  </pic:nvPicPr>
                  <pic:blipFill>
                    <a:blip r:embed="rIdI17"/>
                    <a:stretch>
                      <a:fillRect/>
                    </a:stretch>
                  </pic:blipFill>
                  <pic:spPr>
                    <a:xfrm>
                      <a:off x="0" y="0"/>
                      <a:ext cx="4320000" cy="6868619"/>
                    </a:xfrm>
                    <a:prstGeom prst="rect">
                      <a:avLst/>
                    </a:prstGeom>
                  </pic:spPr>
                </pic:pic>
              </a:graphicData>
            </a:graphic>
          </wp:inline>
        </w:drawing>
      </w:r>
    </w:p>
    <w:p>
      <w:pPr>
        <w:pStyle w:val="FigureCaption"/>
        <w:jc w:val="both"/>
      </w:pPr>
      <w:r>
        <w:rPr>
          <w:b/>
          <w:bCs/>
        </w:rPr>
        <w:t xml:space="preserve">Fig. 7.6: </w:t>
      </w:r>
      <w:r>
        <w:t xml:space="preserve">Step 3b: the decision path of the diagnosis for every window, from the label-free tests to the audit, with the verdict on the right; below, the actual, predicted and BBSE-estimated share of positive cases</w:t>
      </w:r>
    </w:p>
    <w:p>
      <w:pPr>
        <w:pStyle w:val="Normal"/>
      </w:pPr>
      <w:r>
        <w:t xml:space="preserve">Each row is a window and each column a question of the decision path in Fig. </w:t>
      </w:r>
      <w:r>
        <w:t xml:space="preserve">5.2</w:t>
      </w:r>
      <w:r>
        <w:t xml:space="preserve">. The control window and CA 2015 pass every label-free test and the audit, so they are called no drift, while every later window is stopped at the label-free stage as covariate shift. The chart below shows the label problem of CA 2023: the actual share of positive cases rises much faster than the model predicts, which no label-free test can see. Fig. </w:t>
      </w:r>
      <w:r>
        <w:t xml:space="preserve">7.7</w:t>
      </w:r>
      <w:r>
        <w:t xml:space="preserve"> shows the reliability of single predictions.</w:t>
      </w:r>
    </w:p>
    <w:p>
      <w:pPr>
        <w:pStyle w:val="FigureBody"/>
      </w:pPr>
      <w:r>
        <w:drawing>
          <wp:inline distT="0" distB="0" distL="0" distR="0">
            <wp:extent cx="4140000" cy="6695020"/>
            <wp:docPr id="1018" name="Figure 7.7" descr="Fig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 name="ui_reliability.png"/>
                    <pic:cNvPicPr/>
                  </pic:nvPicPr>
                  <pic:blipFill>
                    <a:blip r:embed="rIdI18"/>
                    <a:stretch>
                      <a:fillRect/>
                    </a:stretch>
                  </pic:blipFill>
                  <pic:spPr>
                    <a:xfrm>
                      <a:off x="0" y="0"/>
                      <a:ext cx="4140000" cy="6695020"/>
                    </a:xfrm>
                    <a:prstGeom prst="rect">
                      <a:avLst/>
                    </a:prstGeom>
                  </pic:spPr>
                </pic:pic>
              </a:graphicData>
            </a:graphic>
          </wp:inline>
        </w:drawing>
      </w:r>
    </w:p>
    <w:p>
      <w:pPr>
        <w:pStyle w:val="FigureCaption"/>
        <w:jc w:val="both"/>
      </w:pPr>
      <w:r>
        <w:rPr>
          <w:b/>
          <w:bCs/>
        </w:rPr>
        <w:t xml:space="preserve">Fig. 7.7: </w:t>
      </w:r>
      <w:r>
        <w:t xml:space="preserve">Step 4: how well each signal ranks wrong predictions above right ones (area under the ROC curve), the share of predictions per risk label, the error rate inside each label and the weights the fusion learned</w:t>
      </w:r>
    </w:p>
    <w:p>
      <w:pPr>
        <w:pStyle w:val="Normal"/>
      </w:pPr>
      <w:r>
        <w:t xml:space="preserve">The fused score sits on top of confidence alone in every window and the learned weights put almost all the emphasis on confidence. The risk labels are ordered correctly: the high-risk group has the highest error rate. Fig. </w:t>
      </w:r>
      <w:r>
        <w:t xml:space="preserve">7.8</w:t>
      </w:r>
      <w:r>
        <w:t xml:space="preserve"> shows the remediation step.</w:t>
      </w:r>
    </w:p>
    <w:p>
      <w:pPr>
        <w:pStyle w:val="FigureBody"/>
      </w:pPr>
      <w:r>
        <w:drawing>
          <wp:inline distT="0" distB="0" distL="0" distR="0">
            <wp:extent cx="5760000" cy="5051124"/>
            <wp:docPr id="1019" name="Figure 7.8" descr="Fig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 name="ui_remediation.png"/>
                    <pic:cNvPicPr/>
                  </pic:nvPicPr>
                  <pic:blipFill>
                    <a:blip r:embed="rIdI19"/>
                    <a:stretch>
                      <a:fillRect/>
                    </a:stretch>
                  </pic:blipFill>
                  <pic:spPr>
                    <a:xfrm>
                      <a:off x="0" y="0"/>
                      <a:ext cx="5760000" cy="5051124"/>
                    </a:xfrm>
                    <a:prstGeom prst="rect">
                      <a:avLst/>
                    </a:prstGeom>
                  </pic:spPr>
                </pic:pic>
              </a:graphicData>
            </a:graphic>
          </wp:inline>
        </w:drawing>
      </w:r>
    </w:p>
    <w:p>
      <w:pPr>
        <w:pStyle w:val="FigureCaption"/>
        <w:jc w:val="both"/>
      </w:pPr>
      <w:r>
        <w:rPr>
          <w:b/>
          <w:bCs/>
        </w:rPr>
        <w:t xml:space="preserve">Fig. 7.8: </w:t>
      </w:r>
      <w:r>
        <w:t xml:space="preserve">Step 5: accuracy recovered by each repair strategy in each window, graded on labeled data (blue means a gain, red a loss, gray not applicable)</w:t>
      </w:r>
    </w:p>
    <w:p>
      <w:pPr>
        <w:pStyle w:val="Normal"/>
      </w:pPr>
      <w:r>
        <w:t xml:space="preserve">Retraining on the most recent labeled window recovers accuracy in almost every temporal window, while importance weighting helps only in some and dropping drifted features costs accuracy. Fig. </w:t>
      </w:r>
      <w:r>
        <w:t xml:space="preserve">7.9</w:t>
      </w:r>
      <w:r>
        <w:t xml:space="preserve"> shows the image tab.</w:t>
      </w:r>
    </w:p>
    <w:p>
      <w:pPr>
        <w:pStyle w:val="FigureBody"/>
      </w:pPr>
      <w:r>
        <w:drawing>
          <wp:inline distT="0" distB="0" distL="0" distR="0">
            <wp:extent cx="5760000" cy="2446192"/>
            <wp:docPr id="1020" name="Figure 7.9" descr="Fig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 name="ui_clear.png"/>
                    <pic:cNvPicPr/>
                  </pic:nvPicPr>
                  <pic:blipFill>
                    <a:blip r:embed="rIdI20"/>
                    <a:stretch>
                      <a:fillRect/>
                    </a:stretch>
                  </pic:blipFill>
                  <pic:spPr>
                    <a:xfrm>
                      <a:off x="0" y="0"/>
                      <a:ext cx="5760000" cy="2446192"/>
                    </a:xfrm>
                    <a:prstGeom prst="rect">
                      <a:avLst/>
                    </a:prstGeom>
                  </pic:spPr>
                </pic:pic>
              </a:graphicData>
            </a:graphic>
          </wp:inline>
        </w:drawing>
      </w:r>
    </w:p>
    <w:p>
      <w:pPr>
        <w:pStyle w:val="FigureCaption"/>
      </w:pPr>
      <w:r>
        <w:rPr>
          <w:b/>
          <w:bCs/>
        </w:rPr>
        <w:t xml:space="preserve">Fig. 7.9: </w:t>
      </w:r>
      <w:r>
        <w:t xml:space="preserve">CLEAR-10 tab, step 3a: class activation maps of the most unusual images of bucket 10</w:t>
      </w:r>
    </w:p>
    <w:p>
      <w:pPr>
        <w:pStyle w:val="Normal"/>
      </w:pPr>
      <w:r>
        <w:t xml:space="preserve">For images, root cause analysis shows where the model looks, as described in Section </w:t>
      </w:r>
      <w:r>
        <w:t xml:space="preserve">5.2.4</w:t>
      </w:r>
      <w:r>
        <w:t xml:space="preserve">. The benchmark tab grades the diagnosis on injected drift; Fig. </w:t>
      </w:r>
      <w:r>
        <w:t xml:space="preserve">7.10</w:t>
      </w:r>
      <w:r>
        <w:t xml:space="preserve"> shows its drift type step.</w:t>
      </w:r>
    </w:p>
    <w:p>
      <w:pPr>
        <w:pStyle w:val="FigureBody"/>
      </w:pPr>
      <w:r>
        <w:drawing>
          <wp:inline distT="0" distB="0" distL="0" distR="0">
            <wp:extent cx="4860000" cy="6313933"/>
            <wp:docPr id="1021" name="Figure 7.10" descr="Figure 7.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1" name="ui_bench_type.png"/>
                    <pic:cNvPicPr/>
                  </pic:nvPicPr>
                  <pic:blipFill>
                    <a:blip r:embed="rIdI21"/>
                    <a:stretch>
                      <a:fillRect/>
                    </a:stretch>
                  </pic:blipFill>
                  <pic:spPr>
                    <a:xfrm>
                      <a:off x="0" y="0"/>
                      <a:ext cx="4860000" cy="6313933"/>
                    </a:xfrm>
                    <a:prstGeom prst="rect">
                      <a:avLst/>
                    </a:prstGeom>
                  </pic:spPr>
                </pic:pic>
              </a:graphicData>
            </a:graphic>
          </wp:inline>
        </w:drawing>
      </w:r>
    </w:p>
    <w:p>
      <w:pPr>
        <w:pStyle w:val="FigureCaption"/>
        <w:jc w:val="both"/>
      </w:pPr>
      <w:r>
        <w:rPr>
          <w:b/>
          <w:bCs/>
        </w:rPr>
        <w:t xml:space="preserve">Fig. 7.10: </w:t>
      </w:r>
      <w:r>
        <w:t xml:space="preserve">Benchmark tab, step 6: injected against diagnosed drift types, the stage at which each verdict was reached, the effect of the audit size and the correct diagnosis by intensity</w:t>
      </w:r>
    </w:p>
    <w:p>
      <w:pPr>
        <w:pStyle w:val="Normal"/>
      </w:pPr>
      <w:r>
        <w:t xml:space="preserve">The confusion matrix fills mostly the diagonal, the stage chart shows that covariate and prior shifts are settled without labels while concept drift and label noise need the audit and the intensity chart shows that the hardest cases are the mildest ones. Fig. </w:t>
      </w:r>
      <w:r>
        <w:t xml:space="preserve">7.11</w:t>
      </w:r>
      <w:r>
        <w:t xml:space="preserve"> compares the procedure with the alternatives.</w:t>
      </w:r>
    </w:p>
    <w:p>
      <w:pPr>
        <w:pStyle w:val="FigureBody"/>
      </w:pPr>
      <w:r>
        <w:drawing>
          <wp:inline distT="0" distB="0" distL="0" distR="0">
            <wp:extent cx="5220000" cy="6000815"/>
            <wp:docPr id="1022" name="Figure 7.11" descr="Figure 7.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 name="ui_bench_baselines.png"/>
                    <pic:cNvPicPr/>
                  </pic:nvPicPr>
                  <pic:blipFill>
                    <a:blip r:embed="rIdI22"/>
                    <a:stretch>
                      <a:fillRect/>
                    </a:stretch>
                  </pic:blipFill>
                  <pic:spPr>
                    <a:xfrm>
                      <a:off x="0" y="0"/>
                      <a:ext cx="5220000" cy="6000815"/>
                    </a:xfrm>
                    <a:prstGeom prst="rect">
                      <a:avLst/>
                    </a:prstGeom>
                  </pic:spPr>
                </pic:pic>
              </a:graphicData>
            </a:graphic>
          </wp:inline>
        </w:drawing>
      </w:r>
    </w:p>
    <w:p>
      <w:pPr>
        <w:pStyle w:val="FigureCaption"/>
        <w:jc w:val="both"/>
      </w:pPr>
      <w:r>
        <w:rPr>
          <w:b/>
          <w:bCs/>
        </w:rPr>
        <w:t xml:space="preserve">Fig. 7.11: </w:t>
      </w:r>
      <w:r>
        <w:t xml:space="preserve">Benchmark tab, step 7: share of windows whose drift type is named correctly by our procedure, the rule baselines, the learned meta-classifier and the ablations, with paired tests</w:t>
      </w:r>
    </w:p>
    <w:p>
      <w:pPr>
        <w:pStyle w:val="Normal"/>
      </w:pPr>
      <w:r>
        <w:t xml:space="preserve">The chart and the table of paired tests show the comparison that Section </w:t>
      </w:r>
      <w:r>
        <w:t xml:space="preserve">7.4</w:t>
      </w:r>
      <w:r>
        <w:t xml:space="preserve"> reports in full.</w:t>
      </w:r>
    </w:p>
    <w:p>
      <w:pPr>
        <w:pStyle w:val="Heading2"/>
      </w:pPr>
      <w:r>
        <w:t xml:space="preserve">7.2 Performance Evaluation Measures</w:t>
      </w:r>
    </w:p>
    <w:p>
      <w:pPr>
        <w:pStyle w:val="Normal"/>
      </w:pPr>
      <w:r>
        <w:t xml:space="preserve">Each part of the system is judged by a measure suited to the claim it makes.</w:t>
      </w:r>
    </w:p>
    <w:p>
      <w:pPr>
        <w:pStyle w:val="ListItem"/>
        <w:numPr>
          <w:ilvl w:val="0"/>
          <w:numId w:val="100"/>
        </w:numPr>
        <w:ind w:left="567" w:hanging="340"/>
      </w:pPr>
      <w:r>
        <w:rPr>
          <w:b/>
          <w:bCs/>
        </w:rPr>
        <w:t xml:space="preserve">Correct-type rate.</w:t>
      </w:r>
      <w:r>
        <w:t xml:space="preserve"> The share of benchmark windows whose drift type is named correctly, with a 95% Wilson interval </w:t>
      </w:r>
      <w:r>
        <w:t xml:space="preserve">[59]</w:t>
      </w:r>
      <w:r>
        <w:t xml:space="preserve">. It is the main measure of the diagnosis because a wrong type leads to a wrong response.</w:t>
      </w:r>
    </w:p>
    <w:p>
      <w:pPr>
        <w:pStyle w:val="ListItem"/>
        <w:numPr>
          <w:ilvl w:val="0"/>
          <w:numId w:val="100"/>
        </w:numPr>
        <w:ind w:left="567" w:hanging="340"/>
      </w:pPr>
      <w:r>
        <w:rPr>
          <w:b/>
          <w:bCs/>
        </w:rPr>
        <w:t xml:space="preserve">False alarm rate.</w:t>
      </w:r>
      <w:r>
        <w:t xml:space="preserve"> The share of control windows (no drift) on which a detector raises an alarm or the diagnosis names a drift type. It checks the error rates the design promises: at most α for each detector and 2α for the diagnosis.</w:t>
      </w:r>
    </w:p>
    <w:p>
      <w:pPr>
        <w:pStyle w:val="ListItem"/>
        <w:numPr>
          <w:ilvl w:val="0"/>
          <w:numId w:val="100"/>
        </w:numPr>
        <w:ind w:left="567" w:hanging="340"/>
      </w:pPr>
      <w:r>
        <w:rPr>
          <w:b/>
          <w:bCs/>
        </w:rPr>
        <w:t xml:space="preserve">Paired comparison.</w:t>
      </w:r>
      <w:r>
        <w:t xml:space="preserve"> Each method is compared with ours through the per-replicate difference in the correct-type rate, tested by a sign-flip permutation test with 10,000 flips and Holm correction. Replicates are the unit of analysis because the windows of one replicate share a model and a reference.</w:t>
      </w:r>
    </w:p>
    <w:p>
      <w:pPr>
        <w:pStyle w:val="ListItem"/>
        <w:numPr>
          <w:ilvl w:val="0"/>
          <w:numId w:val="100"/>
        </w:numPr>
        <w:ind w:left="567" w:hanging="340"/>
      </w:pPr>
      <w:r>
        <w:rPr>
          <w:b/>
          <w:bCs/>
        </w:rPr>
        <w:t xml:space="preserve">Mean absolute error of accuracy estimates.</w:t>
      </w:r>
      <w:r>
        <w:t xml:space="preserve"> The average absolute difference, in percentage points, between an estimated and a measured accuracy.</w:t>
      </w:r>
    </w:p>
    <w:p>
      <w:pPr>
        <w:pStyle w:val="ListItem"/>
        <w:numPr>
          <w:ilvl w:val="0"/>
          <w:numId w:val="100"/>
        </w:numPr>
        <w:ind w:left="567" w:hanging="340"/>
      </w:pPr>
      <w:r>
        <w:rPr>
          <w:b/>
          <w:bCs/>
        </w:rPr>
        <w:t xml:space="preserve">Area under the ROC curve (AUROC).</w:t>
      </w:r>
      <w:r>
        <w:t xml:space="preserve"> How well a risk score ranks wrong predictions above right ones; 0.5 is chance and 1 is perfect.</w:t>
      </w:r>
    </w:p>
    <w:p>
      <w:pPr>
        <w:pStyle w:val="ListItem"/>
        <w:numPr>
          <w:ilvl w:val="0"/>
          <w:numId w:val="100"/>
        </w:numPr>
        <w:ind w:left="567" w:hanging="340"/>
      </w:pPr>
      <w:r>
        <w:rPr>
          <w:b/>
          <w:bCs/>
        </w:rPr>
        <w:t xml:space="preserve">Triage accuracy and recall.</w:t>
      </w:r>
      <w:r>
        <w:t xml:space="preserve"> The share of settings in which the triage’s advice matches whether a retrain truly helped and the share of truly helpful retrains it recommends.</w:t>
      </w:r>
    </w:p>
    <w:p>
      <w:pPr>
        <w:pStyle w:val="ListItem"/>
        <w:numPr>
          <w:ilvl w:val="0"/>
          <w:numId w:val="100"/>
        </w:numPr>
        <w:ind w:left="567" w:hanging="340"/>
      </w:pPr>
      <w:r>
        <w:rPr>
          <w:b/>
          <w:bCs/>
        </w:rPr>
        <w:t xml:space="preserve">Run time.</w:t>
      </w:r>
      <w:r>
        <w:t xml:space="preserve"> Seconds per window through the stages of the pipeline, excluding model training and image embedding.</w:t>
      </w:r>
    </w:p>
    <w:p>
      <w:pPr>
        <w:pStyle w:val="Heading2"/>
      </w:pPr>
      <w:r>
        <w:t xml:space="preserve">7.3 Input Parameters / Features Considered</w:t>
      </w:r>
    </w:p>
    <w:p>
      <w:pPr>
        <w:pStyle w:val="Normal"/>
      </w:pPr>
      <w:r>
        <w:t xml:space="preserve">The inputs of each study are the features of its dataset (Table </w:t>
      </w:r>
      <w:r>
        <w:t xml:space="preserve">5.2</w:t>
      </w:r>
      <w:r>
        <w:t xml:space="preserve"> for ACS Income; 16 features for ACS Employment, 128 sensor features for the gas array and 512 embedding dimensions for CLEAR-10) and the model’s predictions and class probabilities. Table </w:t>
      </w:r>
      <w:r>
        <w:t xml:space="preserve">7.1</w:t>
      </w:r>
      <w:r>
        <w:t xml:space="preserve"> lists the settings that control the tests, all fixed before the evaluation.</w:t>
      </w:r>
    </w:p>
    <w:p>
      <w:pPr>
        <w:pStyle w:val="TableCaption"/>
      </w:pPr>
      <w:r>
        <w:rPr>
          <w:b/>
          <w:bCs/>
        </w:rPr>
        <w:t xml:space="preserve">Table 7.1: </w:t>
      </w:r>
      <w:r>
        <w:t xml:space="preserve">Settings of the pipeline and the benchmark</w:t>
      </w:r>
    </w:p>
    <w:tbl>
      <w:tblPr>
        <w:tblW w:w="925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30" w:type="dxa"/>
          <w:left w:w="80" w:type="dxa"/>
          <w:bottom w:w="30" w:type="dxa"/>
          <w:right w:w="80" w:type="dxa"/>
        </w:tblCellMar>
        <w:tblLook w:val="0000"/>
      </w:tblPr>
      <w:tblGrid>
        <w:gridCol w:w="3527"/>
        <w:gridCol w:w="1763"/>
        <w:gridCol w:w="3968"/>
      </w:tblGrid>
      <w:tr>
        <w:trPr>
          <w:cantSplit/>
          <w:tblHeader/>
        </w:trPr>
        <w:tc>
          <w:tcPr>
            <w:tcW w:w="3527" w:type="dxa"/>
            <w:shd w:val="clear" w:color="auto" w:fill="D9E2F3"/>
            <w:vAlign w:val="center"/>
          </w:tcPr>
          <w:p>
            <w:pPr>
              <w:pStyle w:val="TableText"/>
              <w:keepNext/>
              <w:jc w:val="center"/>
            </w:pPr>
            <w:r>
              <w:rPr>
                <w:sz w:val="19"/>
                <w:szCs w:val="19"/>
                <w:b/>
                <w:bCs/>
              </w:rPr>
              <w:t xml:space="preserve">Setting</w:t>
            </w:r>
          </w:p>
        </w:tc>
        <w:tc>
          <w:tcPr>
            <w:tcW w:w="1763" w:type="dxa"/>
            <w:shd w:val="clear" w:color="auto" w:fill="D9E2F3"/>
            <w:vAlign w:val="center"/>
          </w:tcPr>
          <w:p>
            <w:pPr>
              <w:pStyle w:val="TableText"/>
              <w:keepNext/>
              <w:jc w:val="center"/>
            </w:pPr>
            <w:r>
              <w:rPr>
                <w:sz w:val="19"/>
                <w:szCs w:val="19"/>
                <w:b/>
                <w:bCs/>
              </w:rPr>
              <w:t xml:space="preserve">Value</w:t>
            </w:r>
          </w:p>
        </w:tc>
        <w:tc>
          <w:tcPr>
            <w:tcW w:w="3968" w:type="dxa"/>
            <w:shd w:val="clear" w:color="auto" w:fill="D9E2F3"/>
            <w:vAlign w:val="center"/>
          </w:tcPr>
          <w:p>
            <w:pPr>
              <w:pStyle w:val="TableText"/>
              <w:keepNext/>
              <w:jc w:val="center"/>
            </w:pPr>
            <w:r>
              <w:rPr>
                <w:sz w:val="19"/>
                <w:szCs w:val="19"/>
                <w:b/>
                <w:bCs/>
              </w:rPr>
              <w:t xml:space="preserve">Rationale</w:t>
            </w:r>
          </w:p>
        </w:tc>
      </w:tr>
      <w:tr>
        <w:trPr>
          <w:cantSplit/>
        </w:trPr>
        <w:tc>
          <w:tcPr>
            <w:tcW w:w="3527" w:type="dxa"/>
            <w:vAlign w:val="center"/>
          </w:tcPr>
          <w:p>
            <w:pPr>
              <w:pStyle w:val="TableText"/>
              <w:keepNext/>
              <w:jc w:val="left"/>
            </w:pPr>
            <w:r>
              <w:rPr>
                <w:sz w:val="19"/>
                <w:szCs w:val="19"/>
              </w:rPr>
              <w:t xml:space="preserve">Significance level α</w:t>
            </w:r>
          </w:p>
        </w:tc>
        <w:tc>
          <w:tcPr>
            <w:tcW w:w="1763" w:type="dxa"/>
            <w:vAlign w:val="center"/>
          </w:tcPr>
          <w:p>
            <w:pPr>
              <w:pStyle w:val="TableText"/>
              <w:keepNext/>
              <w:jc w:val="left"/>
            </w:pPr>
            <w:r>
              <w:rPr>
                <w:sz w:val="19"/>
                <w:szCs w:val="19"/>
              </w:rPr>
              <w:t xml:space="preserve">0.05</w:t>
            </w:r>
          </w:p>
        </w:tc>
        <w:tc>
          <w:tcPr>
            <w:tcW w:w="3968" w:type="dxa"/>
            <w:vAlign w:val="center"/>
          </w:tcPr>
          <w:p>
            <w:pPr>
              <w:pStyle w:val="TableText"/>
              <w:keepNext/>
              <w:jc w:val="left"/>
            </w:pPr>
            <w:r>
              <w:rPr>
                <w:sz w:val="19"/>
                <w:szCs w:val="19"/>
              </w:rPr>
              <w:t xml:space="preserve">Conventional level; fixes the false alarm rate</w:t>
            </w:r>
          </w:p>
        </w:tc>
      </w:tr>
      <w:tr>
        <w:trPr>
          <w:cantSplit/>
        </w:trPr>
        <w:tc>
          <w:tcPr>
            <w:tcW w:w="3527" w:type="dxa"/>
            <w:vAlign w:val="center"/>
          </w:tcPr>
          <w:p>
            <w:pPr>
              <w:pStyle w:val="TableText"/>
              <w:keepNext/>
              <w:jc w:val="left"/>
            </w:pPr>
            <w:r>
              <w:rPr>
                <w:sz w:val="19"/>
                <w:szCs w:val="19"/>
              </w:rPr>
              <w:t xml:space="preserve">Reference split (train / calibration / test)</w:t>
            </w:r>
          </w:p>
        </w:tc>
        <w:tc>
          <w:tcPr>
            <w:tcW w:w="1763" w:type="dxa"/>
            <w:vAlign w:val="center"/>
          </w:tcPr>
          <w:p>
            <w:pPr>
              <w:pStyle w:val="TableText"/>
              <w:keepNext/>
              <w:jc w:val="left"/>
            </w:pPr>
            <w:r>
              <w:rPr>
                <w:sz w:val="19"/>
                <w:szCs w:val="19"/>
              </w:rPr>
              <w:t xml:space="preserve">60 / 20 / 20%</w:t>
            </w:r>
          </w:p>
        </w:tc>
        <w:tc>
          <w:tcPr>
            <w:tcW w:w="3968" w:type="dxa"/>
            <w:vAlign w:val="center"/>
          </w:tcPr>
          <w:p>
            <w:pPr>
              <w:pStyle w:val="TableText"/>
              <w:keepNext/>
              <w:jc w:val="left"/>
            </w:pPr>
            <w:r>
              <w:rPr>
                <w:sz w:val="19"/>
                <w:szCs w:val="19"/>
              </w:rPr>
              <w:t xml:space="preserve">Disjoint parts for fitting, reference windows and control</w:t>
            </w:r>
          </w:p>
        </w:tc>
      </w:tr>
      <w:tr>
        <w:trPr>
          <w:cantSplit/>
        </w:trPr>
        <w:tc>
          <w:tcPr>
            <w:tcW w:w="3527" w:type="dxa"/>
            <w:vAlign w:val="center"/>
          </w:tcPr>
          <w:p>
            <w:pPr>
              <w:pStyle w:val="TableText"/>
              <w:jc w:val="left"/>
            </w:pPr>
            <w:r>
              <w:rPr>
                <w:sz w:val="19"/>
                <w:szCs w:val="19"/>
              </w:rPr>
              <w:t xml:space="preserve">PSI alarm threshold</w:t>
            </w:r>
          </w:p>
        </w:tc>
        <w:tc>
          <w:tcPr>
            <w:tcW w:w="1763" w:type="dxa"/>
            <w:vAlign w:val="center"/>
          </w:tcPr>
          <w:p>
            <w:pPr>
              <w:pStyle w:val="TableText"/>
              <w:jc w:val="left"/>
            </w:pPr>
            <w:r>
              <w:rPr>
                <w:sz w:val="19"/>
                <w:szCs w:val="19"/>
              </w:rPr>
              <w:t xml:space="preserve">0.2</w:t>
            </w:r>
          </w:p>
        </w:tc>
        <w:tc>
          <w:tcPr>
            <w:tcW w:w="3968" w:type="dxa"/>
            <w:vAlign w:val="center"/>
          </w:tcPr>
          <w:p>
            <w:pPr>
              <w:pStyle w:val="TableText"/>
              <w:jc w:val="left"/>
            </w:pPr>
            <w:r>
              <w:rPr>
                <w:sz w:val="19"/>
                <w:szCs w:val="19"/>
              </w:rPr>
              <w:t xml:space="preserve">Conventional value </w:t>
            </w:r>
            <w:r>
              <w:rPr>
                <w:sz w:val="19"/>
                <w:szCs w:val="19"/>
              </w:rPr>
              <w:t xml:space="preserve">[44]</w:t>
            </w:r>
          </w:p>
        </w:tc>
      </w:tr>
      <w:tr>
        <w:trPr>
          <w:cantSplit/>
        </w:trPr>
        <w:tc>
          <w:tcPr>
            <w:tcW w:w="3527" w:type="dxa"/>
            <w:vAlign w:val="center"/>
          </w:tcPr>
          <w:p>
            <w:pPr>
              <w:pStyle w:val="TableText"/>
              <w:jc w:val="left"/>
            </w:pPr>
            <w:r>
              <w:rPr>
                <w:sz w:val="19"/>
                <w:szCs w:val="19"/>
              </w:rPr>
              <w:t xml:space="preserve">MMD permutations</w:t>
            </w:r>
          </w:p>
        </w:tc>
        <w:tc>
          <w:tcPr>
            <w:tcW w:w="1763" w:type="dxa"/>
            <w:vAlign w:val="center"/>
          </w:tcPr>
          <w:p>
            <w:pPr>
              <w:pStyle w:val="TableText"/>
              <w:jc w:val="left"/>
            </w:pPr>
            <w:r>
              <w:rPr>
                <w:sz w:val="19"/>
                <w:szCs w:val="19"/>
              </w:rPr>
              <w:t xml:space="preserve">200</w:t>
            </w:r>
          </w:p>
        </w:tc>
        <w:tc>
          <w:tcPr>
            <w:tcW w:w="3968" w:type="dxa"/>
            <w:vAlign w:val="center"/>
          </w:tcPr>
          <w:p>
            <w:pPr>
              <w:pStyle w:val="TableText"/>
              <w:jc w:val="left"/>
            </w:pPr>
            <w:r>
              <w:rPr>
                <w:sz w:val="19"/>
                <w:szCs w:val="19"/>
              </w:rPr>
              <w:t xml:space="preserve">Enough for p values well below α at modest cost</w:t>
            </w:r>
          </w:p>
        </w:tc>
      </w:tr>
      <w:tr>
        <w:trPr>
          <w:cantSplit/>
        </w:trPr>
        <w:tc>
          <w:tcPr>
            <w:tcW w:w="3527" w:type="dxa"/>
            <w:vAlign w:val="center"/>
          </w:tcPr>
          <w:p>
            <w:pPr>
              <w:pStyle w:val="TableText"/>
              <w:jc w:val="left"/>
            </w:pPr>
            <w:r>
              <w:rPr>
                <w:sz w:val="19"/>
                <w:szCs w:val="19"/>
              </w:rPr>
              <w:t xml:space="preserve">Minimum expected count per chi-square cell</w:t>
            </w:r>
          </w:p>
        </w:tc>
        <w:tc>
          <w:tcPr>
            <w:tcW w:w="1763" w:type="dxa"/>
            <w:vAlign w:val="center"/>
          </w:tcPr>
          <w:p>
            <w:pPr>
              <w:pStyle w:val="TableText"/>
              <w:jc w:val="left"/>
            </w:pPr>
            <w:r>
              <w:rPr>
                <w:sz w:val="19"/>
                <w:szCs w:val="19"/>
              </w:rPr>
              <w:t xml:space="preserve">5</w:t>
            </w:r>
          </w:p>
        </w:tc>
        <w:tc>
          <w:tcPr>
            <w:tcW w:w="3968" w:type="dxa"/>
            <w:vAlign w:val="center"/>
          </w:tcPr>
          <w:p>
            <w:pPr>
              <w:pStyle w:val="TableText"/>
              <w:jc w:val="left"/>
            </w:pPr>
            <w:r>
              <w:rPr>
                <w:sz w:val="19"/>
                <w:szCs w:val="19"/>
              </w:rPr>
              <w:t xml:space="preserve">Standard rule for the chi-square approximation </w:t>
            </w:r>
            <w:r>
              <w:rPr>
                <w:sz w:val="19"/>
                <w:szCs w:val="19"/>
              </w:rPr>
              <w:t xml:space="preserve">[46]</w:t>
            </w:r>
          </w:p>
        </w:tc>
      </w:tr>
      <w:tr>
        <w:trPr>
          <w:cantSplit/>
        </w:trPr>
        <w:tc>
          <w:tcPr>
            <w:tcW w:w="3527" w:type="dxa"/>
            <w:vAlign w:val="center"/>
          </w:tcPr>
          <w:p>
            <w:pPr>
              <w:pStyle w:val="TableText"/>
              <w:jc w:val="left"/>
            </w:pPr>
            <w:r>
              <w:rPr>
                <w:sz w:val="19"/>
                <w:szCs w:val="19"/>
              </w:rPr>
              <w:t xml:space="preserve">Audit labels per window</w:t>
            </w:r>
          </w:p>
        </w:tc>
        <w:tc>
          <w:tcPr>
            <w:tcW w:w="1763" w:type="dxa"/>
            <w:vAlign w:val="center"/>
          </w:tcPr>
          <w:p>
            <w:pPr>
              <w:pStyle w:val="TableText"/>
              <w:jc w:val="left"/>
            </w:pPr>
            <w:r>
              <w:rPr>
                <w:sz w:val="19"/>
                <w:szCs w:val="19"/>
              </w:rPr>
              <w:t xml:space="preserve">600</w:t>
            </w:r>
          </w:p>
        </w:tc>
        <w:tc>
          <w:tcPr>
            <w:tcW w:w="3968" w:type="dxa"/>
            <w:vAlign w:val="center"/>
          </w:tcPr>
          <w:p>
            <w:pPr>
              <w:pStyle w:val="TableText"/>
              <w:jc w:val="left"/>
            </w:pPr>
            <w:r>
              <w:rPr>
                <w:sz w:val="19"/>
                <w:szCs w:val="19"/>
              </w:rPr>
              <w:t xml:space="preserve">Where more labels stop paying off (Fig. </w:t>
            </w:r>
            <w:r>
              <w:rPr>
                <w:sz w:val="19"/>
                <w:szCs w:val="19"/>
              </w:rPr>
              <w:t xml:space="preserve">7.13</w:t>
            </w:r>
            <w:r>
              <w:rPr>
                <w:sz w:val="19"/>
                <w:szCs w:val="19"/>
              </w:rPr>
              <w:t xml:space="preserve">)</w:t>
            </w:r>
          </w:p>
        </w:tc>
      </w:tr>
      <w:tr>
        <w:trPr>
          <w:cantSplit/>
        </w:trPr>
        <w:tc>
          <w:tcPr>
            <w:tcW w:w="3527" w:type="dxa"/>
            <w:vAlign w:val="center"/>
          </w:tcPr>
          <w:p>
            <w:pPr>
              <w:pStyle w:val="TableText"/>
              <w:jc w:val="left"/>
            </w:pPr>
            <w:r>
              <w:rPr>
                <w:sz w:val="19"/>
                <w:szCs w:val="19"/>
              </w:rPr>
              <w:t xml:space="preserve">Confidence bins in the audit null</w:t>
            </w:r>
          </w:p>
        </w:tc>
        <w:tc>
          <w:tcPr>
            <w:tcW w:w="1763" w:type="dxa"/>
            <w:vAlign w:val="center"/>
          </w:tcPr>
          <w:p>
            <w:pPr>
              <w:pStyle w:val="TableText"/>
              <w:jc w:val="left"/>
            </w:pPr>
            <w:r>
              <w:rPr>
                <w:sz w:val="19"/>
                <w:szCs w:val="19"/>
              </w:rPr>
              <w:t xml:space="preserve">5</w:t>
            </w:r>
          </w:p>
        </w:tc>
        <w:tc>
          <w:tcPr>
            <w:tcW w:w="3968" w:type="dxa"/>
            <w:vAlign w:val="center"/>
          </w:tcPr>
          <w:p>
            <w:pPr>
              <w:pStyle w:val="TableText"/>
              <w:jc w:val="left"/>
            </w:pPr>
            <w:r>
              <w:rPr>
                <w:sz w:val="19"/>
                <w:szCs w:val="19"/>
              </w:rPr>
              <w:t xml:space="preserve">Absorb the confidence-driven part of error changes</w:t>
            </w:r>
          </w:p>
        </w:tc>
      </w:tr>
      <w:tr>
        <w:trPr>
          <w:cantSplit/>
        </w:trPr>
        <w:tc>
          <w:tcPr>
            <w:tcW w:w="3527" w:type="dxa"/>
            <w:vAlign w:val="center"/>
          </w:tcPr>
          <w:p>
            <w:pPr>
              <w:pStyle w:val="TableText"/>
              <w:jc w:val="left"/>
            </w:pPr>
            <w:r>
              <w:rPr>
                <w:sz w:val="19"/>
                <w:szCs w:val="19"/>
              </w:rPr>
              <w:t xml:space="preserve">Domain classifier rows per side</w:t>
            </w:r>
          </w:p>
        </w:tc>
        <w:tc>
          <w:tcPr>
            <w:tcW w:w="1763" w:type="dxa"/>
            <w:vAlign w:val="center"/>
          </w:tcPr>
          <w:p>
            <w:pPr>
              <w:pStyle w:val="TableText"/>
              <w:jc w:val="left"/>
            </w:pPr>
            <w:r>
              <w:rPr>
                <w:sz w:val="19"/>
                <w:szCs w:val="19"/>
              </w:rPr>
              <w:t xml:space="preserve">3,000</w:t>
            </w:r>
          </w:p>
        </w:tc>
        <w:tc>
          <w:tcPr>
            <w:tcW w:w="3968" w:type="dxa"/>
            <w:vAlign w:val="center"/>
          </w:tcPr>
          <w:p>
            <w:pPr>
              <w:pStyle w:val="TableText"/>
              <w:jc w:val="left"/>
            </w:pPr>
            <w:r>
              <w:rPr>
                <w:sz w:val="19"/>
                <w:szCs w:val="19"/>
              </w:rPr>
              <w:t xml:space="preserve">Balanced classifier test</w:t>
            </w:r>
          </w:p>
        </w:tc>
      </w:tr>
      <w:tr>
        <w:trPr>
          <w:cantSplit/>
        </w:trPr>
        <w:tc>
          <w:tcPr>
            <w:tcW w:w="3527" w:type="dxa"/>
            <w:vAlign w:val="center"/>
          </w:tcPr>
          <w:p>
            <w:pPr>
              <w:pStyle w:val="TableText"/>
              <w:jc w:val="left"/>
            </w:pPr>
            <w:r>
              <w:rPr>
                <w:sz w:val="19"/>
                <w:szCs w:val="19"/>
              </w:rPr>
              <w:t xml:space="preserve">SHAP rows per side / background rows</w:t>
            </w:r>
          </w:p>
        </w:tc>
        <w:tc>
          <w:tcPr>
            <w:tcW w:w="1763" w:type="dxa"/>
            <w:vAlign w:val="center"/>
          </w:tcPr>
          <w:p>
            <w:pPr>
              <w:pStyle w:val="TableText"/>
              <w:jc w:val="left"/>
            </w:pPr>
            <w:r>
              <w:rPr>
                <w:sz w:val="19"/>
                <w:szCs w:val="19"/>
              </w:rPr>
              <w:t xml:space="preserve">1,000 / 100</w:t>
            </w:r>
          </w:p>
        </w:tc>
        <w:tc>
          <w:tcPr>
            <w:tcW w:w="3968" w:type="dxa"/>
            <w:vAlign w:val="center"/>
          </w:tcPr>
          <w:p>
            <w:pPr>
              <w:pStyle w:val="TableText"/>
              <w:jc w:val="left"/>
            </w:pPr>
            <w:r>
              <w:rPr>
                <w:sz w:val="19"/>
                <w:szCs w:val="19"/>
              </w:rPr>
              <w:t xml:space="preserve">Stable attributions at bounded cost</w:t>
            </w:r>
          </w:p>
        </w:tc>
      </w:tr>
      <w:tr>
        <w:trPr>
          <w:cantSplit/>
        </w:trPr>
        <w:tc>
          <w:tcPr>
            <w:tcW w:w="3527" w:type="dxa"/>
            <w:vAlign w:val="center"/>
          </w:tcPr>
          <w:p>
            <w:pPr>
              <w:pStyle w:val="TableText"/>
              <w:jc w:val="left"/>
            </w:pPr>
            <w:r>
              <w:rPr>
                <w:sz w:val="19"/>
                <w:szCs w:val="19"/>
              </w:rPr>
              <w:t xml:space="preserve">Importance weight cap</w:t>
            </w:r>
          </w:p>
        </w:tc>
        <w:tc>
          <w:tcPr>
            <w:tcW w:w="1763" w:type="dxa"/>
            <w:vAlign w:val="center"/>
          </w:tcPr>
          <w:p>
            <w:pPr>
              <w:pStyle w:val="TableText"/>
              <w:jc w:val="left"/>
            </w:pPr>
            <w:r>
              <w:rPr>
                <w:sz w:val="19"/>
                <w:szCs w:val="19"/>
              </w:rPr>
              <w:t xml:space="preserve">20 × mean</w:t>
            </w:r>
          </w:p>
        </w:tc>
        <w:tc>
          <w:tcPr>
            <w:tcW w:w="3968" w:type="dxa"/>
            <w:vAlign w:val="center"/>
          </w:tcPr>
          <w:p>
            <w:pPr>
              <w:pStyle w:val="TableText"/>
              <w:jc w:val="left"/>
            </w:pPr>
            <w:r>
              <w:rPr>
                <w:sz w:val="19"/>
                <w:szCs w:val="19"/>
              </w:rPr>
              <w:t xml:space="preserve">Limits the variance of weighted estimates</w:t>
            </w:r>
          </w:p>
        </w:tc>
      </w:tr>
      <w:tr>
        <w:trPr>
          <w:cantSplit/>
        </w:trPr>
        <w:tc>
          <w:tcPr>
            <w:tcW w:w="3527" w:type="dxa"/>
            <w:vAlign w:val="center"/>
          </w:tcPr>
          <w:p>
            <w:pPr>
              <w:pStyle w:val="TableText"/>
              <w:jc w:val="left"/>
            </w:pPr>
            <w:r>
              <w:rPr>
                <w:sz w:val="19"/>
                <w:szCs w:val="19"/>
              </w:rPr>
              <w:t xml:space="preserve">Triage validation share</w:t>
            </w:r>
          </w:p>
        </w:tc>
        <w:tc>
          <w:tcPr>
            <w:tcW w:w="1763" w:type="dxa"/>
            <w:vAlign w:val="center"/>
          </w:tcPr>
          <w:p>
            <w:pPr>
              <w:pStyle w:val="TableText"/>
              <w:jc w:val="left"/>
            </w:pPr>
            <w:r>
              <w:rPr>
                <w:sz w:val="19"/>
                <w:szCs w:val="19"/>
              </w:rPr>
              <w:t xml:space="preserve">30%</w:t>
            </w:r>
          </w:p>
        </w:tc>
        <w:tc>
          <w:tcPr>
            <w:tcW w:w="3968" w:type="dxa"/>
            <w:vAlign w:val="center"/>
          </w:tcPr>
          <w:p>
            <w:pPr>
              <w:pStyle w:val="TableText"/>
              <w:jc w:val="left"/>
            </w:pPr>
            <w:r>
              <w:rPr>
                <w:sz w:val="19"/>
                <w:szCs w:val="19"/>
              </w:rPr>
              <w:t xml:space="preserve">Held-out reference for the weighted comparison</w:t>
            </w:r>
          </w:p>
        </w:tc>
      </w:tr>
      <w:tr>
        <w:trPr>
          <w:cantSplit/>
        </w:trPr>
        <w:tc>
          <w:tcPr>
            <w:tcW w:w="3527" w:type="dxa"/>
            <w:vAlign w:val="center"/>
          </w:tcPr>
          <w:p>
            <w:pPr>
              <w:pStyle w:val="TableText"/>
              <w:jc w:val="left"/>
            </w:pPr>
            <w:r>
              <w:rPr>
                <w:sz w:val="19"/>
                <w:szCs w:val="19"/>
              </w:rPr>
              <w:t xml:space="preserve">Benchmark states / seeds / replicates</w:t>
            </w:r>
          </w:p>
        </w:tc>
        <w:tc>
          <w:tcPr>
            <w:tcW w:w="1763" w:type="dxa"/>
            <w:vAlign w:val="center"/>
          </w:tcPr>
          <w:p>
            <w:pPr>
              <w:pStyle w:val="TableText"/>
              <w:jc w:val="left"/>
            </w:pPr>
            <w:r>
              <w:rPr>
                <w:sz w:val="19"/>
                <w:szCs w:val="19"/>
              </w:rPr>
              <w:t xml:space="preserve">5 / 10 / 50</w:t>
            </w:r>
          </w:p>
        </w:tc>
        <w:tc>
          <w:tcPr>
            <w:tcW w:w="3968" w:type="dxa"/>
            <w:vAlign w:val="center"/>
          </w:tcPr>
          <w:p>
            <w:pPr>
              <w:pStyle w:val="TableText"/>
              <w:jc w:val="left"/>
            </w:pPr>
            <w:r>
              <w:rPr>
                <w:sz w:val="19"/>
                <w:szCs w:val="19"/>
              </w:rPr>
              <w:t xml:space="preserve">Variation across populations and draws</w:t>
            </w:r>
          </w:p>
        </w:tc>
      </w:tr>
      <w:tr>
        <w:trPr>
          <w:cantSplit/>
        </w:trPr>
        <w:tc>
          <w:tcPr>
            <w:tcW w:w="3527" w:type="dxa"/>
            <w:vAlign w:val="center"/>
          </w:tcPr>
          <w:p>
            <w:pPr>
              <w:pStyle w:val="TableText"/>
              <w:jc w:val="left"/>
            </w:pPr>
            <w:r>
              <w:rPr>
                <w:sz w:val="19"/>
                <w:szCs w:val="19"/>
              </w:rPr>
              <w:t xml:space="preserve">Benchmark window / holdout rows</w:t>
            </w:r>
          </w:p>
        </w:tc>
        <w:tc>
          <w:tcPr>
            <w:tcW w:w="1763" w:type="dxa"/>
            <w:vAlign w:val="center"/>
          </w:tcPr>
          <w:p>
            <w:pPr>
              <w:pStyle w:val="TableText"/>
              <w:jc w:val="left"/>
            </w:pPr>
            <w:r>
              <w:rPr>
                <w:sz w:val="19"/>
                <w:szCs w:val="19"/>
              </w:rPr>
              <w:t xml:space="preserve">4,000 / 2,000</w:t>
            </w:r>
          </w:p>
        </w:tc>
        <w:tc>
          <w:tcPr>
            <w:tcW w:w="3968" w:type="dxa"/>
            <w:vAlign w:val="center"/>
          </w:tcPr>
          <w:p>
            <w:pPr>
              <w:pStyle w:val="TableText"/>
              <w:jc w:val="left"/>
            </w:pPr>
            <w:r>
              <w:rPr>
                <w:sz w:val="19"/>
                <w:szCs w:val="19"/>
              </w:rPr>
              <w:t xml:space="preserve">Realistic window size; labeled grading data</w:t>
            </w:r>
          </w:p>
        </w:tc>
      </w:tr>
    </w:tbl>
    <w:p>
      <w:pPr>
        <w:spacing w:before="0" w:after="120" w:line="240" w:lineRule="auto"/>
      </w:pPr>
    </w:p>
    <w:p>
      <w:pPr>
        <w:pStyle w:val="Heading2"/>
      </w:pPr>
      <w:r>
        <w:t xml:space="preserve">7.4 Graphical and Statistical Output</w:t>
      </w:r>
    </w:p>
    <w:p>
      <w:pPr>
        <w:pStyle w:val="Normal"/>
      </w:pPr>
      <w:r>
        <w:t xml:space="preserve">The results are presented in the order of the questions they answer: how often the drift type is named, whether that carries over to new drift, how many labels the audit needs, how well the building blocks work, how the system behaves on real drift, what the last two stages achieve and how long it all takes.</w:t>
      </w:r>
    </w:p>
    <w:p>
      <w:pPr>
        <w:pStyle w:val="Heading3"/>
      </w:pPr>
      <w:r>
        <w:t xml:space="preserve">7.4.1 Drift Type against Baselines</w:t>
      </w:r>
    </w:p>
    <w:p>
      <w:pPr>
        <w:pStyle w:val="Normal"/>
      </w:pPr>
      <w:r>
        <w:t xml:space="preserve">The most direct test of the diagnosis is how often it names the injected type, compared with the alternatives. Table </w:t>
      </w:r>
      <w:r>
        <w:t xml:space="preserve">7.2</w:t>
      </w:r>
      <w:r>
        <w:t xml:space="preserve"> gives this share for every configuration, each with 50 replicates.</w:t>
      </w:r>
    </w:p>
    <w:p>
      <w:pPr>
        <w:pStyle w:val="TableCaption"/>
      </w:pPr>
      <w:r>
        <w:rPr>
          <w:b/>
          <w:bCs/>
        </w:rPr>
        <w:t xml:space="preserve">Table 7.2: </w:t>
      </w:r>
      <w:r>
        <w:t xml:space="preserve">Share of benchmark windows with the correct drift type (%)</w:t>
      </w:r>
    </w:p>
    <w:tbl>
      <w:tblPr>
        <w:tblW w:w="732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30" w:type="dxa"/>
          <w:left w:w="80" w:type="dxa"/>
          <w:bottom w:w="30" w:type="dxa"/>
          <w:right w:w="80" w:type="dxa"/>
        </w:tblCellMar>
        <w:tblLook w:val="0000"/>
      </w:tblPr>
      <w:tblGrid>
        <w:gridCol w:w="2681"/>
        <w:gridCol w:w="524"/>
        <w:gridCol w:w="524"/>
        <w:gridCol w:w="637"/>
        <w:gridCol w:w="637"/>
        <w:gridCol w:w="524"/>
        <w:gridCol w:w="524"/>
        <w:gridCol w:w="637"/>
        <w:gridCol w:w="637"/>
      </w:tblGrid>
      <w:tr>
        <w:trPr>
          <w:cantSplit/>
          <w:tblHeader/>
        </w:trPr>
        <w:tc>
          <w:tcPr>
            <w:tcW w:w="2681" w:type="dxa"/>
            <w:shd w:val="clear" w:color="auto" w:fill="D9E2F3"/>
            <w:vAlign w:val="center"/>
          </w:tcPr>
          <w:p>
            <w:pPr>
              <w:pStyle w:val="TableText"/>
              <w:keepNext/>
              <w:jc w:val="center"/>
            </w:pPr>
          </w:p>
        </w:tc>
        <w:tc>
          <w:tcPr>
            <w:tcW w:w="2322" w:type="dxa"/>
            <w:gridSpan w:val="4"/>
            <w:shd w:val="clear" w:color="auto" w:fill="D9E2F3"/>
            <w:vAlign w:val="center"/>
          </w:tcPr>
          <w:p>
            <w:pPr>
              <w:pStyle w:val="TableText"/>
              <w:keepNext/>
              <w:jc w:val="center"/>
            </w:pPr>
            <w:r>
              <w:rPr>
                <w:sz w:val="17"/>
                <w:szCs w:val="17"/>
                <w:b/>
                <w:bCs/>
              </w:rPr>
              <w:t xml:space="preserve">Logistic regression</w:t>
            </w:r>
          </w:p>
        </w:tc>
        <w:tc>
          <w:tcPr>
            <w:tcW w:w="2322" w:type="dxa"/>
            <w:gridSpan w:val="4"/>
            <w:shd w:val="clear" w:color="auto" w:fill="D9E2F3"/>
            <w:vAlign w:val="center"/>
          </w:tcPr>
          <w:p>
            <w:pPr>
              <w:pStyle w:val="TableText"/>
              <w:keepNext/>
              <w:jc w:val="center"/>
            </w:pPr>
            <w:r>
              <w:rPr>
                <w:sz w:val="17"/>
                <w:szCs w:val="17"/>
                <w:b/>
                <w:bCs/>
              </w:rPr>
              <w:t xml:space="preserve">Gradient boosting</w:t>
            </w:r>
          </w:p>
        </w:tc>
      </w:tr>
      <w:tr>
        <w:trPr>
          <w:cantSplit/>
          <w:tblHeader/>
        </w:trPr>
        <w:tc>
          <w:tcPr>
            <w:tcW w:w="2681" w:type="dxa"/>
            <w:shd w:val="clear" w:color="auto" w:fill="D9E2F3"/>
            <w:vAlign w:val="center"/>
          </w:tcPr>
          <w:p>
            <w:pPr>
              <w:pStyle w:val="TableText"/>
              <w:keepNext/>
              <w:jc w:val="center"/>
            </w:pPr>
            <w:r>
              <w:rPr>
                <w:sz w:val="17"/>
                <w:szCs w:val="17"/>
                <w:b/>
                <w:bCs/>
              </w:rPr>
              <w:t xml:space="preserve">Method</w:t>
            </w:r>
          </w:p>
        </w:tc>
        <w:tc>
          <w:tcPr>
            <w:tcW w:w="524" w:type="dxa"/>
            <w:shd w:val="clear" w:color="auto" w:fill="D9E2F3"/>
            <w:vAlign w:val="center"/>
          </w:tcPr>
          <w:p>
            <w:pPr>
              <w:pStyle w:val="TableText"/>
              <w:keepNext/>
              <w:jc w:val="center"/>
            </w:pPr>
            <w:r>
              <w:rPr>
                <w:sz w:val="17"/>
                <w:szCs w:val="17"/>
                <w:b/>
                <w:bCs/>
              </w:rPr>
              <w:t xml:space="preserve">Inc. A</w:t>
            </w:r>
          </w:p>
        </w:tc>
        <w:tc>
          <w:tcPr>
            <w:tcW w:w="524" w:type="dxa"/>
            <w:shd w:val="clear" w:color="auto" w:fill="D9E2F3"/>
            <w:vAlign w:val="center"/>
          </w:tcPr>
          <w:p>
            <w:pPr>
              <w:pStyle w:val="TableText"/>
              <w:keepNext/>
              <w:jc w:val="center"/>
            </w:pPr>
            <w:r>
              <w:rPr>
                <w:sz w:val="17"/>
                <w:szCs w:val="17"/>
                <w:b/>
                <w:bCs/>
              </w:rPr>
              <w:t xml:space="preserve">Inc. B</w:t>
            </w:r>
          </w:p>
        </w:tc>
        <w:tc>
          <w:tcPr>
            <w:tcW w:w="637" w:type="dxa"/>
            <w:shd w:val="clear" w:color="auto" w:fill="D9E2F3"/>
            <w:vAlign w:val="center"/>
          </w:tcPr>
          <w:p>
            <w:pPr>
              <w:pStyle w:val="TableText"/>
              <w:keepNext/>
              <w:jc w:val="center"/>
            </w:pPr>
            <w:r>
              <w:rPr>
                <w:sz w:val="17"/>
                <w:szCs w:val="17"/>
                <w:b/>
                <w:bCs/>
              </w:rPr>
              <w:t xml:space="preserve">Emp. A</w:t>
            </w:r>
          </w:p>
        </w:tc>
        <w:tc>
          <w:tcPr>
            <w:tcW w:w="637" w:type="dxa"/>
            <w:shd w:val="clear" w:color="auto" w:fill="D9E2F3"/>
            <w:vAlign w:val="center"/>
          </w:tcPr>
          <w:p>
            <w:pPr>
              <w:pStyle w:val="TableText"/>
              <w:keepNext/>
              <w:jc w:val="center"/>
            </w:pPr>
            <w:r>
              <w:rPr>
                <w:sz w:val="17"/>
                <w:szCs w:val="17"/>
                <w:b/>
                <w:bCs/>
              </w:rPr>
              <w:t xml:space="preserve">Emp. B</w:t>
            </w:r>
          </w:p>
        </w:tc>
        <w:tc>
          <w:tcPr>
            <w:tcW w:w="524" w:type="dxa"/>
            <w:shd w:val="clear" w:color="auto" w:fill="D9E2F3"/>
            <w:vAlign w:val="center"/>
          </w:tcPr>
          <w:p>
            <w:pPr>
              <w:pStyle w:val="TableText"/>
              <w:keepNext/>
              <w:jc w:val="center"/>
            </w:pPr>
            <w:r>
              <w:rPr>
                <w:sz w:val="17"/>
                <w:szCs w:val="17"/>
                <w:b/>
                <w:bCs/>
              </w:rPr>
              <w:t xml:space="preserve">Inc. A</w:t>
            </w:r>
          </w:p>
        </w:tc>
        <w:tc>
          <w:tcPr>
            <w:tcW w:w="524" w:type="dxa"/>
            <w:shd w:val="clear" w:color="auto" w:fill="D9E2F3"/>
            <w:vAlign w:val="center"/>
          </w:tcPr>
          <w:p>
            <w:pPr>
              <w:pStyle w:val="TableText"/>
              <w:keepNext/>
              <w:jc w:val="center"/>
            </w:pPr>
            <w:r>
              <w:rPr>
                <w:sz w:val="17"/>
                <w:szCs w:val="17"/>
                <w:b/>
                <w:bCs/>
              </w:rPr>
              <w:t xml:space="preserve">Inc. B</w:t>
            </w:r>
          </w:p>
        </w:tc>
        <w:tc>
          <w:tcPr>
            <w:tcW w:w="637" w:type="dxa"/>
            <w:shd w:val="clear" w:color="auto" w:fill="D9E2F3"/>
            <w:vAlign w:val="center"/>
          </w:tcPr>
          <w:p>
            <w:pPr>
              <w:pStyle w:val="TableText"/>
              <w:keepNext/>
              <w:jc w:val="center"/>
            </w:pPr>
            <w:r>
              <w:rPr>
                <w:sz w:val="17"/>
                <w:szCs w:val="17"/>
                <w:b/>
                <w:bCs/>
              </w:rPr>
              <w:t xml:space="preserve">Emp. A</w:t>
            </w:r>
          </w:p>
        </w:tc>
        <w:tc>
          <w:tcPr>
            <w:tcW w:w="637" w:type="dxa"/>
            <w:shd w:val="clear" w:color="auto" w:fill="D9E2F3"/>
            <w:vAlign w:val="center"/>
          </w:tcPr>
          <w:p>
            <w:pPr>
              <w:pStyle w:val="TableText"/>
              <w:keepNext/>
              <w:jc w:val="center"/>
            </w:pPr>
            <w:r>
              <w:rPr>
                <w:sz w:val="17"/>
                <w:szCs w:val="17"/>
                <w:b/>
                <w:bCs/>
              </w:rPr>
              <w:t xml:space="preserve">Emp. B</w:t>
            </w:r>
          </w:p>
        </w:tc>
      </w:tr>
      <w:tr>
        <w:trPr>
          <w:cantSplit/>
        </w:trPr>
        <w:tc>
          <w:tcPr>
            <w:tcW w:w="2681" w:type="dxa"/>
            <w:vAlign w:val="center"/>
          </w:tcPr>
          <w:p>
            <w:pPr>
              <w:pStyle w:val="TableText"/>
              <w:keepNext/>
              <w:jc w:val="left"/>
            </w:pPr>
            <w:r>
              <w:rPr>
                <w:sz w:val="17"/>
                <w:szCs w:val="17"/>
              </w:rPr>
              <w:t xml:space="preserve">Ours (hierarchical tests)</w:t>
            </w:r>
          </w:p>
        </w:tc>
        <w:tc>
          <w:tcPr>
            <w:tcW w:w="524" w:type="dxa"/>
            <w:vAlign w:val="center"/>
          </w:tcPr>
          <w:p>
            <w:pPr>
              <w:pStyle w:val="TableText"/>
              <w:keepNext/>
              <w:jc w:val="right"/>
            </w:pPr>
            <w:r>
              <w:rPr>
                <w:sz w:val="17"/>
                <w:szCs w:val="17"/>
              </w:rPr>
              <w:t xml:space="preserve">94.3</w:t>
            </w:r>
          </w:p>
        </w:tc>
        <w:tc>
          <w:tcPr>
            <w:tcW w:w="524" w:type="dxa"/>
            <w:vAlign w:val="center"/>
          </w:tcPr>
          <w:p>
            <w:pPr>
              <w:pStyle w:val="TableText"/>
              <w:keepNext/>
              <w:jc w:val="right"/>
            </w:pPr>
            <w:r>
              <w:rPr>
                <w:sz w:val="17"/>
                <w:szCs w:val="17"/>
              </w:rPr>
              <w:t xml:space="preserve">62.4</w:t>
            </w:r>
          </w:p>
        </w:tc>
        <w:tc>
          <w:tcPr>
            <w:tcW w:w="637" w:type="dxa"/>
            <w:vAlign w:val="center"/>
          </w:tcPr>
          <w:p>
            <w:pPr>
              <w:pStyle w:val="TableText"/>
              <w:keepNext/>
              <w:jc w:val="right"/>
            </w:pPr>
            <w:r>
              <w:rPr>
                <w:sz w:val="17"/>
                <w:szCs w:val="17"/>
              </w:rPr>
              <w:t xml:space="preserve">85.7</w:t>
            </w:r>
          </w:p>
        </w:tc>
        <w:tc>
          <w:tcPr>
            <w:tcW w:w="637" w:type="dxa"/>
            <w:vAlign w:val="center"/>
          </w:tcPr>
          <w:p>
            <w:pPr>
              <w:pStyle w:val="TableText"/>
              <w:keepNext/>
              <w:jc w:val="right"/>
            </w:pPr>
            <w:r>
              <w:rPr>
                <w:sz w:val="17"/>
                <w:szCs w:val="17"/>
              </w:rPr>
              <w:t xml:space="preserve">80.5</w:t>
            </w:r>
          </w:p>
        </w:tc>
        <w:tc>
          <w:tcPr>
            <w:tcW w:w="524" w:type="dxa"/>
            <w:vAlign w:val="center"/>
          </w:tcPr>
          <w:p>
            <w:pPr>
              <w:pStyle w:val="TableText"/>
              <w:keepNext/>
              <w:jc w:val="right"/>
            </w:pPr>
            <w:r>
              <w:rPr>
                <w:sz w:val="17"/>
                <w:szCs w:val="17"/>
              </w:rPr>
              <w:t xml:space="preserve">94.2</w:t>
            </w:r>
          </w:p>
        </w:tc>
        <w:tc>
          <w:tcPr>
            <w:tcW w:w="524" w:type="dxa"/>
            <w:vAlign w:val="center"/>
          </w:tcPr>
          <w:p>
            <w:pPr>
              <w:pStyle w:val="TableText"/>
              <w:keepNext/>
              <w:jc w:val="right"/>
            </w:pPr>
            <w:r>
              <w:rPr>
                <w:sz w:val="17"/>
                <w:szCs w:val="17"/>
              </w:rPr>
              <w:t xml:space="preserve">63.2</w:t>
            </w:r>
          </w:p>
        </w:tc>
        <w:tc>
          <w:tcPr>
            <w:tcW w:w="637" w:type="dxa"/>
            <w:vAlign w:val="center"/>
          </w:tcPr>
          <w:p>
            <w:pPr>
              <w:pStyle w:val="TableText"/>
              <w:keepNext/>
              <w:jc w:val="right"/>
            </w:pPr>
            <w:r>
              <w:rPr>
                <w:sz w:val="17"/>
                <w:szCs w:val="17"/>
              </w:rPr>
              <w:t xml:space="preserve">90.5</w:t>
            </w:r>
          </w:p>
        </w:tc>
        <w:tc>
          <w:tcPr>
            <w:tcW w:w="637" w:type="dxa"/>
            <w:vAlign w:val="center"/>
          </w:tcPr>
          <w:p>
            <w:pPr>
              <w:pStyle w:val="TableText"/>
              <w:keepNext/>
              <w:jc w:val="right"/>
            </w:pPr>
            <w:r>
              <w:rPr>
                <w:sz w:val="17"/>
                <w:szCs w:val="17"/>
              </w:rPr>
              <w:t xml:space="preserve">81.5</w:t>
            </w:r>
          </w:p>
        </w:tc>
      </w:tr>
      <w:tr>
        <w:trPr>
          <w:cantSplit/>
        </w:trPr>
        <w:tc>
          <w:tcPr>
            <w:tcW w:w="2681" w:type="dxa"/>
            <w:vAlign w:val="center"/>
          </w:tcPr>
          <w:p>
            <w:pPr>
              <w:pStyle w:val="TableText"/>
              <w:jc w:val="left"/>
            </w:pPr>
            <w:r>
              <w:rPr>
                <w:sz w:val="17"/>
                <w:szCs w:val="17"/>
              </w:rPr>
              <w:t xml:space="preserve">Input monitoring</w:t>
            </w:r>
          </w:p>
        </w:tc>
        <w:tc>
          <w:tcPr>
            <w:tcW w:w="524" w:type="dxa"/>
            <w:vAlign w:val="center"/>
          </w:tcPr>
          <w:p>
            <w:pPr>
              <w:pStyle w:val="TableText"/>
              <w:jc w:val="right"/>
            </w:pPr>
            <w:r>
              <w:rPr>
                <w:sz w:val="17"/>
                <w:szCs w:val="17"/>
              </w:rPr>
              <w:t xml:space="preserve">30.3↓</w:t>
            </w:r>
          </w:p>
        </w:tc>
        <w:tc>
          <w:tcPr>
            <w:tcW w:w="524" w:type="dxa"/>
            <w:vAlign w:val="center"/>
          </w:tcPr>
          <w:p>
            <w:pPr>
              <w:pStyle w:val="TableText"/>
              <w:jc w:val="right"/>
            </w:pPr>
            <w:r>
              <w:rPr>
                <w:sz w:val="17"/>
                <w:szCs w:val="17"/>
              </w:rPr>
              <w:t xml:space="preserve">20.0↓</w:t>
            </w:r>
          </w:p>
        </w:tc>
        <w:tc>
          <w:tcPr>
            <w:tcW w:w="637" w:type="dxa"/>
            <w:vAlign w:val="center"/>
          </w:tcPr>
          <w:p>
            <w:pPr>
              <w:pStyle w:val="TableText"/>
              <w:jc w:val="right"/>
            </w:pPr>
            <w:r>
              <w:rPr>
                <w:sz w:val="17"/>
                <w:szCs w:val="17"/>
              </w:rPr>
              <w:t xml:space="preserve">30.5↓</w:t>
            </w:r>
          </w:p>
        </w:tc>
        <w:tc>
          <w:tcPr>
            <w:tcW w:w="637" w:type="dxa"/>
            <w:vAlign w:val="center"/>
          </w:tcPr>
          <w:p>
            <w:pPr>
              <w:pStyle w:val="TableText"/>
              <w:jc w:val="right"/>
            </w:pPr>
            <w:r>
              <w:rPr>
                <w:sz w:val="17"/>
                <w:szCs w:val="17"/>
              </w:rPr>
              <w:t xml:space="preserve">25.0↓</w:t>
            </w:r>
          </w:p>
        </w:tc>
        <w:tc>
          <w:tcPr>
            <w:tcW w:w="524" w:type="dxa"/>
            <w:vAlign w:val="center"/>
          </w:tcPr>
          <w:p>
            <w:pPr>
              <w:pStyle w:val="TableText"/>
              <w:jc w:val="right"/>
            </w:pPr>
            <w:r>
              <w:rPr>
                <w:sz w:val="17"/>
                <w:szCs w:val="17"/>
              </w:rPr>
              <w:t xml:space="preserve">30.3↓</w:t>
            </w:r>
          </w:p>
        </w:tc>
        <w:tc>
          <w:tcPr>
            <w:tcW w:w="524" w:type="dxa"/>
            <w:vAlign w:val="center"/>
          </w:tcPr>
          <w:p>
            <w:pPr>
              <w:pStyle w:val="TableText"/>
              <w:jc w:val="right"/>
            </w:pPr>
            <w:r>
              <w:rPr>
                <w:sz w:val="17"/>
                <w:szCs w:val="17"/>
              </w:rPr>
              <w:t xml:space="preserve">20.0↓</w:t>
            </w:r>
          </w:p>
        </w:tc>
        <w:tc>
          <w:tcPr>
            <w:tcW w:w="637" w:type="dxa"/>
            <w:vAlign w:val="center"/>
          </w:tcPr>
          <w:p>
            <w:pPr>
              <w:pStyle w:val="TableText"/>
              <w:jc w:val="right"/>
            </w:pPr>
            <w:r>
              <w:rPr>
                <w:sz w:val="17"/>
                <w:szCs w:val="17"/>
              </w:rPr>
              <w:t xml:space="preserve">30.5↓</w:t>
            </w:r>
          </w:p>
        </w:tc>
        <w:tc>
          <w:tcPr>
            <w:tcW w:w="637" w:type="dxa"/>
            <w:vAlign w:val="center"/>
          </w:tcPr>
          <w:p>
            <w:pPr>
              <w:pStyle w:val="TableText"/>
              <w:jc w:val="right"/>
            </w:pPr>
            <w:r>
              <w:rPr>
                <w:sz w:val="17"/>
                <w:szCs w:val="17"/>
              </w:rPr>
              <w:t xml:space="preserve">25.0↓</w:t>
            </w:r>
          </w:p>
        </w:tc>
      </w:tr>
      <w:tr>
        <w:trPr>
          <w:cantSplit/>
        </w:trPr>
        <w:tc>
          <w:tcPr>
            <w:tcW w:w="2681" w:type="dxa"/>
            <w:vAlign w:val="center"/>
          </w:tcPr>
          <w:p>
            <w:pPr>
              <w:pStyle w:val="TableText"/>
              <w:jc w:val="left"/>
            </w:pPr>
            <w:r>
              <w:rPr>
                <w:sz w:val="17"/>
                <w:szCs w:val="17"/>
              </w:rPr>
              <w:t xml:space="preserve">BBSE first</w:t>
            </w:r>
          </w:p>
        </w:tc>
        <w:tc>
          <w:tcPr>
            <w:tcW w:w="524" w:type="dxa"/>
            <w:vAlign w:val="center"/>
          </w:tcPr>
          <w:p>
            <w:pPr>
              <w:pStyle w:val="TableText"/>
              <w:jc w:val="right"/>
            </w:pPr>
            <w:r>
              <w:rPr>
                <w:sz w:val="17"/>
                <w:szCs w:val="17"/>
              </w:rPr>
              <w:t xml:space="preserve">30.5↓</w:t>
            </w:r>
          </w:p>
        </w:tc>
        <w:tc>
          <w:tcPr>
            <w:tcW w:w="524" w:type="dxa"/>
            <w:vAlign w:val="center"/>
          </w:tcPr>
          <w:p>
            <w:pPr>
              <w:pStyle w:val="TableText"/>
              <w:jc w:val="right"/>
            </w:pPr>
            <w:r>
              <w:rPr>
                <w:sz w:val="17"/>
                <w:szCs w:val="17"/>
              </w:rPr>
              <w:t xml:space="preserve">27.7↓</w:t>
            </w:r>
          </w:p>
        </w:tc>
        <w:tc>
          <w:tcPr>
            <w:tcW w:w="637" w:type="dxa"/>
            <w:vAlign w:val="center"/>
          </w:tcPr>
          <w:p>
            <w:pPr>
              <w:pStyle w:val="TableText"/>
              <w:jc w:val="right"/>
            </w:pPr>
            <w:r>
              <w:rPr>
                <w:sz w:val="17"/>
                <w:szCs w:val="17"/>
              </w:rPr>
              <w:t xml:space="preserve">30.5↓</w:t>
            </w:r>
          </w:p>
        </w:tc>
        <w:tc>
          <w:tcPr>
            <w:tcW w:w="637" w:type="dxa"/>
            <w:vAlign w:val="center"/>
          </w:tcPr>
          <w:p>
            <w:pPr>
              <w:pStyle w:val="TableText"/>
              <w:jc w:val="right"/>
            </w:pPr>
            <w:r>
              <w:rPr>
                <w:sz w:val="17"/>
                <w:szCs w:val="17"/>
              </w:rPr>
              <w:t xml:space="preserve">39.2↓</w:t>
            </w:r>
          </w:p>
        </w:tc>
        <w:tc>
          <w:tcPr>
            <w:tcW w:w="524" w:type="dxa"/>
            <w:vAlign w:val="center"/>
          </w:tcPr>
          <w:p>
            <w:pPr>
              <w:pStyle w:val="TableText"/>
              <w:jc w:val="right"/>
            </w:pPr>
            <w:r>
              <w:rPr>
                <w:sz w:val="17"/>
                <w:szCs w:val="17"/>
              </w:rPr>
              <w:t xml:space="preserve">30.5↓</w:t>
            </w:r>
          </w:p>
        </w:tc>
        <w:tc>
          <w:tcPr>
            <w:tcW w:w="524" w:type="dxa"/>
            <w:vAlign w:val="center"/>
          </w:tcPr>
          <w:p>
            <w:pPr>
              <w:pStyle w:val="TableText"/>
              <w:jc w:val="right"/>
            </w:pPr>
            <w:r>
              <w:rPr>
                <w:sz w:val="17"/>
                <w:szCs w:val="17"/>
              </w:rPr>
              <w:t xml:space="preserve">28.1↓</w:t>
            </w:r>
          </w:p>
        </w:tc>
        <w:tc>
          <w:tcPr>
            <w:tcW w:w="637" w:type="dxa"/>
            <w:vAlign w:val="center"/>
          </w:tcPr>
          <w:p>
            <w:pPr>
              <w:pStyle w:val="TableText"/>
              <w:jc w:val="right"/>
            </w:pPr>
            <w:r>
              <w:rPr>
                <w:sz w:val="17"/>
                <w:szCs w:val="17"/>
              </w:rPr>
              <w:t xml:space="preserve">30.6↓</w:t>
            </w:r>
          </w:p>
        </w:tc>
        <w:tc>
          <w:tcPr>
            <w:tcW w:w="637" w:type="dxa"/>
            <w:vAlign w:val="center"/>
          </w:tcPr>
          <w:p>
            <w:pPr>
              <w:pStyle w:val="TableText"/>
              <w:jc w:val="right"/>
            </w:pPr>
            <w:r>
              <w:rPr>
                <w:sz w:val="17"/>
                <w:szCs w:val="17"/>
              </w:rPr>
              <w:t xml:space="preserve">40.3↓</w:t>
            </w:r>
          </w:p>
        </w:tc>
      </w:tr>
      <w:tr>
        <w:trPr>
          <w:cantSplit/>
        </w:trPr>
        <w:tc>
          <w:tcPr>
            <w:tcW w:w="2681" w:type="dxa"/>
            <w:vAlign w:val="center"/>
          </w:tcPr>
          <w:p>
            <w:pPr>
              <w:pStyle w:val="TableText"/>
              <w:jc w:val="left"/>
            </w:pPr>
            <w:r>
              <w:rPr>
                <w:sz w:val="17"/>
                <w:szCs w:val="17"/>
              </w:rPr>
              <w:t xml:space="preserve">Error-rate monitoring</w:t>
            </w:r>
          </w:p>
        </w:tc>
        <w:tc>
          <w:tcPr>
            <w:tcW w:w="524" w:type="dxa"/>
            <w:vAlign w:val="center"/>
          </w:tcPr>
          <w:p>
            <w:pPr>
              <w:pStyle w:val="TableText"/>
              <w:jc w:val="right"/>
            </w:pPr>
            <w:r>
              <w:rPr>
                <w:sz w:val="17"/>
                <w:szCs w:val="17"/>
              </w:rPr>
              <w:t xml:space="preserve">52.3↓</w:t>
            </w:r>
          </w:p>
        </w:tc>
        <w:tc>
          <w:tcPr>
            <w:tcW w:w="524" w:type="dxa"/>
            <w:vAlign w:val="center"/>
          </w:tcPr>
          <w:p>
            <w:pPr>
              <w:pStyle w:val="TableText"/>
              <w:jc w:val="right"/>
            </w:pPr>
            <w:r>
              <w:rPr>
                <w:sz w:val="17"/>
                <w:szCs w:val="17"/>
              </w:rPr>
              <w:t xml:space="preserve">48.5↓</w:t>
            </w:r>
          </w:p>
        </w:tc>
        <w:tc>
          <w:tcPr>
            <w:tcW w:w="637" w:type="dxa"/>
            <w:vAlign w:val="center"/>
          </w:tcPr>
          <w:p>
            <w:pPr>
              <w:pStyle w:val="TableText"/>
              <w:jc w:val="right"/>
            </w:pPr>
            <w:r>
              <w:rPr>
                <w:sz w:val="17"/>
                <w:szCs w:val="17"/>
              </w:rPr>
              <w:t xml:space="preserve">52.2↓</w:t>
            </w:r>
          </w:p>
        </w:tc>
        <w:tc>
          <w:tcPr>
            <w:tcW w:w="637" w:type="dxa"/>
            <w:vAlign w:val="center"/>
          </w:tcPr>
          <w:p>
            <w:pPr>
              <w:pStyle w:val="TableText"/>
              <w:jc w:val="right"/>
            </w:pPr>
            <w:r>
              <w:rPr>
                <w:sz w:val="17"/>
                <w:szCs w:val="17"/>
              </w:rPr>
              <w:t xml:space="preserve">62.8↓</w:t>
            </w:r>
          </w:p>
        </w:tc>
        <w:tc>
          <w:tcPr>
            <w:tcW w:w="524" w:type="dxa"/>
            <w:vAlign w:val="center"/>
          </w:tcPr>
          <w:p>
            <w:pPr>
              <w:pStyle w:val="TableText"/>
              <w:jc w:val="right"/>
            </w:pPr>
            <w:r>
              <w:rPr>
                <w:sz w:val="17"/>
                <w:szCs w:val="17"/>
              </w:rPr>
              <w:t xml:space="preserve">52.5↓</w:t>
            </w:r>
          </w:p>
        </w:tc>
        <w:tc>
          <w:tcPr>
            <w:tcW w:w="524" w:type="dxa"/>
            <w:vAlign w:val="center"/>
          </w:tcPr>
          <w:p>
            <w:pPr>
              <w:pStyle w:val="TableText"/>
              <w:jc w:val="right"/>
            </w:pPr>
            <w:r>
              <w:rPr>
                <w:sz w:val="17"/>
                <w:szCs w:val="17"/>
              </w:rPr>
              <w:t xml:space="preserve">49.6↓</w:t>
            </w:r>
          </w:p>
        </w:tc>
        <w:tc>
          <w:tcPr>
            <w:tcW w:w="637" w:type="dxa"/>
            <w:vAlign w:val="center"/>
          </w:tcPr>
          <w:p>
            <w:pPr>
              <w:pStyle w:val="TableText"/>
              <w:jc w:val="right"/>
            </w:pPr>
            <w:r>
              <w:rPr>
                <w:sz w:val="17"/>
                <w:szCs w:val="17"/>
              </w:rPr>
              <w:t xml:space="preserve">53.1↓</w:t>
            </w:r>
          </w:p>
        </w:tc>
        <w:tc>
          <w:tcPr>
            <w:tcW w:w="637" w:type="dxa"/>
            <w:vAlign w:val="center"/>
          </w:tcPr>
          <w:p>
            <w:pPr>
              <w:pStyle w:val="TableText"/>
              <w:jc w:val="right"/>
            </w:pPr>
            <w:r>
              <w:rPr>
                <w:sz w:val="17"/>
                <w:szCs w:val="17"/>
              </w:rPr>
              <w:t xml:space="preserve">64.8↓</w:t>
            </w:r>
          </w:p>
        </w:tc>
      </w:tr>
      <w:tr>
        <w:trPr>
          <w:cantSplit/>
        </w:trPr>
        <w:tc>
          <w:tcPr>
            <w:tcW w:w="2681" w:type="dxa"/>
            <w:vAlign w:val="center"/>
          </w:tcPr>
          <w:p>
            <w:pPr>
              <w:pStyle w:val="TableText"/>
              <w:jc w:val="left"/>
            </w:pPr>
            <w:r>
              <w:rPr>
                <w:sz w:val="17"/>
                <w:szCs w:val="17"/>
              </w:rPr>
              <w:t xml:space="preserve">Learned meta-classifier</w:t>
            </w:r>
          </w:p>
        </w:tc>
        <w:tc>
          <w:tcPr>
            <w:tcW w:w="524" w:type="dxa"/>
            <w:vAlign w:val="center"/>
          </w:tcPr>
          <w:p>
            <w:pPr>
              <w:pStyle w:val="TableText"/>
              <w:jc w:val="right"/>
            </w:pPr>
            <w:r>
              <w:rPr>
                <w:sz w:val="17"/>
                <w:szCs w:val="17"/>
              </w:rPr>
              <w:t xml:space="preserve">97.5</w:t>
            </w:r>
          </w:p>
        </w:tc>
        <w:tc>
          <w:tcPr>
            <w:tcW w:w="524" w:type="dxa"/>
            <w:vAlign w:val="center"/>
          </w:tcPr>
          <w:p>
            <w:pPr>
              <w:pStyle w:val="TableText"/>
              <w:jc w:val="right"/>
            </w:pPr>
            <w:r>
              <w:rPr>
                <w:sz w:val="17"/>
                <w:szCs w:val="17"/>
              </w:rPr>
              <w:t xml:space="preserve">31.1↓</w:t>
            </w:r>
          </w:p>
        </w:tc>
        <w:tc>
          <w:tcPr>
            <w:tcW w:w="637" w:type="dxa"/>
            <w:vAlign w:val="center"/>
          </w:tcPr>
          <w:p>
            <w:pPr>
              <w:pStyle w:val="TableText"/>
              <w:jc w:val="right"/>
            </w:pPr>
            <w:r>
              <w:rPr>
                <w:sz w:val="17"/>
                <w:szCs w:val="17"/>
              </w:rPr>
              <w:t xml:space="preserve">95.8↑</w:t>
            </w:r>
          </w:p>
        </w:tc>
        <w:tc>
          <w:tcPr>
            <w:tcW w:w="637" w:type="dxa"/>
            <w:vAlign w:val="center"/>
          </w:tcPr>
          <w:p>
            <w:pPr>
              <w:pStyle w:val="TableText"/>
              <w:jc w:val="right"/>
            </w:pPr>
            <w:r>
              <w:rPr>
                <w:sz w:val="17"/>
                <w:szCs w:val="17"/>
              </w:rPr>
              <w:t xml:space="preserve">48.2↓</w:t>
            </w:r>
          </w:p>
        </w:tc>
        <w:tc>
          <w:tcPr>
            <w:tcW w:w="524" w:type="dxa"/>
            <w:vAlign w:val="center"/>
          </w:tcPr>
          <w:p>
            <w:pPr>
              <w:pStyle w:val="TableText"/>
              <w:jc w:val="right"/>
            </w:pPr>
            <w:r>
              <w:rPr>
                <w:sz w:val="17"/>
                <w:szCs w:val="17"/>
              </w:rPr>
              <w:t xml:space="preserve">98.5↑</w:t>
            </w:r>
          </w:p>
        </w:tc>
        <w:tc>
          <w:tcPr>
            <w:tcW w:w="524" w:type="dxa"/>
            <w:vAlign w:val="center"/>
          </w:tcPr>
          <w:p>
            <w:pPr>
              <w:pStyle w:val="TableText"/>
              <w:jc w:val="right"/>
            </w:pPr>
            <w:r>
              <w:rPr>
                <w:sz w:val="17"/>
                <w:szCs w:val="17"/>
              </w:rPr>
              <w:t xml:space="preserve">39.2↓</w:t>
            </w:r>
          </w:p>
        </w:tc>
        <w:tc>
          <w:tcPr>
            <w:tcW w:w="637" w:type="dxa"/>
            <w:vAlign w:val="center"/>
          </w:tcPr>
          <w:p>
            <w:pPr>
              <w:pStyle w:val="TableText"/>
              <w:jc w:val="right"/>
            </w:pPr>
            <w:r>
              <w:rPr>
                <w:sz w:val="17"/>
                <w:szCs w:val="17"/>
              </w:rPr>
              <w:t xml:space="preserve">97.4↑</w:t>
            </w:r>
          </w:p>
        </w:tc>
        <w:tc>
          <w:tcPr>
            <w:tcW w:w="637" w:type="dxa"/>
            <w:vAlign w:val="center"/>
          </w:tcPr>
          <w:p>
            <w:pPr>
              <w:pStyle w:val="TableText"/>
              <w:jc w:val="right"/>
            </w:pPr>
            <w:r>
              <w:rPr>
                <w:sz w:val="17"/>
                <w:szCs w:val="17"/>
              </w:rPr>
              <w:t xml:space="preserve">51.2↓</w:t>
            </w:r>
          </w:p>
        </w:tc>
      </w:tr>
      <w:tr>
        <w:trPr>
          <w:cantSplit/>
        </w:trPr>
        <w:tc>
          <w:tcPr>
            <w:tcW w:w="2681" w:type="dxa"/>
            <w:vAlign w:val="center"/>
          </w:tcPr>
          <w:p>
            <w:pPr>
              <w:pStyle w:val="TableText"/>
              <w:jc w:val="left"/>
            </w:pPr>
            <w:r>
              <w:rPr>
                <w:sz w:val="17"/>
                <w:szCs w:val="17"/>
              </w:rPr>
              <w:t xml:space="preserve">Ours without MMD block</w:t>
            </w:r>
          </w:p>
        </w:tc>
        <w:tc>
          <w:tcPr>
            <w:tcW w:w="524" w:type="dxa"/>
            <w:vAlign w:val="center"/>
          </w:tcPr>
          <w:p>
            <w:pPr>
              <w:pStyle w:val="TableText"/>
              <w:jc w:val="right"/>
            </w:pPr>
            <w:r>
              <w:rPr>
                <w:sz w:val="17"/>
                <w:szCs w:val="17"/>
              </w:rPr>
              <w:t xml:space="preserve">95.2</w:t>
            </w:r>
          </w:p>
        </w:tc>
        <w:tc>
          <w:tcPr>
            <w:tcW w:w="524" w:type="dxa"/>
            <w:vAlign w:val="center"/>
          </w:tcPr>
          <w:p>
            <w:pPr>
              <w:pStyle w:val="TableText"/>
              <w:jc w:val="right"/>
            </w:pPr>
            <w:r>
              <w:rPr>
                <w:sz w:val="17"/>
                <w:szCs w:val="17"/>
              </w:rPr>
              <w:t xml:space="preserve">62.9</w:t>
            </w:r>
          </w:p>
        </w:tc>
        <w:tc>
          <w:tcPr>
            <w:tcW w:w="637" w:type="dxa"/>
            <w:vAlign w:val="center"/>
          </w:tcPr>
          <w:p>
            <w:pPr>
              <w:pStyle w:val="TableText"/>
              <w:jc w:val="right"/>
            </w:pPr>
            <w:r>
              <w:rPr>
                <w:sz w:val="17"/>
                <w:szCs w:val="17"/>
              </w:rPr>
              <w:t xml:space="preserve">86.6</w:t>
            </w:r>
          </w:p>
        </w:tc>
        <w:tc>
          <w:tcPr>
            <w:tcW w:w="637" w:type="dxa"/>
            <w:vAlign w:val="center"/>
          </w:tcPr>
          <w:p>
            <w:pPr>
              <w:pStyle w:val="TableText"/>
              <w:jc w:val="right"/>
            </w:pPr>
            <w:r>
              <w:rPr>
                <w:sz w:val="17"/>
                <w:szCs w:val="17"/>
              </w:rPr>
              <w:t xml:space="preserve">81.3</w:t>
            </w:r>
          </w:p>
        </w:tc>
        <w:tc>
          <w:tcPr>
            <w:tcW w:w="524" w:type="dxa"/>
            <w:vAlign w:val="center"/>
          </w:tcPr>
          <w:p>
            <w:pPr>
              <w:pStyle w:val="TableText"/>
              <w:jc w:val="right"/>
            </w:pPr>
            <w:r>
              <w:rPr>
                <w:sz w:val="17"/>
                <w:szCs w:val="17"/>
              </w:rPr>
              <w:t xml:space="preserve">95.1</w:t>
            </w:r>
          </w:p>
        </w:tc>
        <w:tc>
          <w:tcPr>
            <w:tcW w:w="524" w:type="dxa"/>
            <w:vAlign w:val="center"/>
          </w:tcPr>
          <w:p>
            <w:pPr>
              <w:pStyle w:val="TableText"/>
              <w:jc w:val="right"/>
            </w:pPr>
            <w:r>
              <w:rPr>
                <w:sz w:val="17"/>
                <w:szCs w:val="17"/>
              </w:rPr>
              <w:t xml:space="preserve">63.9</w:t>
            </w:r>
          </w:p>
        </w:tc>
        <w:tc>
          <w:tcPr>
            <w:tcW w:w="637" w:type="dxa"/>
            <w:vAlign w:val="center"/>
          </w:tcPr>
          <w:p>
            <w:pPr>
              <w:pStyle w:val="TableText"/>
              <w:jc w:val="right"/>
            </w:pPr>
            <w:r>
              <w:rPr>
                <w:sz w:val="17"/>
                <w:szCs w:val="17"/>
              </w:rPr>
              <w:t xml:space="preserve">90.5</w:t>
            </w:r>
          </w:p>
        </w:tc>
        <w:tc>
          <w:tcPr>
            <w:tcW w:w="637" w:type="dxa"/>
            <w:vAlign w:val="center"/>
          </w:tcPr>
          <w:p>
            <w:pPr>
              <w:pStyle w:val="TableText"/>
              <w:jc w:val="right"/>
            </w:pPr>
            <w:r>
              <w:rPr>
                <w:sz w:val="17"/>
                <w:szCs w:val="17"/>
              </w:rPr>
              <w:t xml:space="preserve">81.3</w:t>
            </w:r>
          </w:p>
        </w:tc>
      </w:tr>
      <w:tr>
        <w:trPr>
          <w:cantSplit/>
        </w:trPr>
        <w:tc>
          <w:tcPr>
            <w:tcW w:w="2681" w:type="dxa"/>
            <w:vAlign w:val="center"/>
          </w:tcPr>
          <w:p>
            <w:pPr>
              <w:pStyle w:val="TableText"/>
              <w:jc w:val="left"/>
            </w:pPr>
            <w:r>
              <w:rPr>
                <w:sz w:val="17"/>
                <w:szCs w:val="17"/>
              </w:rPr>
              <w:t xml:space="preserve">Ours, audit null without confidence</w:t>
            </w:r>
          </w:p>
        </w:tc>
        <w:tc>
          <w:tcPr>
            <w:tcW w:w="524" w:type="dxa"/>
            <w:vAlign w:val="center"/>
          </w:tcPr>
          <w:p>
            <w:pPr>
              <w:pStyle w:val="TableText"/>
              <w:jc w:val="right"/>
            </w:pPr>
            <w:r>
              <w:rPr>
                <w:sz w:val="17"/>
                <w:szCs w:val="17"/>
              </w:rPr>
              <w:t xml:space="preserve">79.1↓</w:t>
            </w:r>
          </w:p>
        </w:tc>
        <w:tc>
          <w:tcPr>
            <w:tcW w:w="524" w:type="dxa"/>
            <w:vAlign w:val="center"/>
          </w:tcPr>
          <w:p>
            <w:pPr>
              <w:pStyle w:val="TableText"/>
              <w:jc w:val="right"/>
            </w:pPr>
            <w:r>
              <w:rPr>
                <w:sz w:val="17"/>
                <w:szCs w:val="17"/>
              </w:rPr>
              <w:t xml:space="preserve">62.9</w:t>
            </w:r>
          </w:p>
        </w:tc>
        <w:tc>
          <w:tcPr>
            <w:tcW w:w="637" w:type="dxa"/>
            <w:vAlign w:val="center"/>
          </w:tcPr>
          <w:p>
            <w:pPr>
              <w:pStyle w:val="TableText"/>
              <w:jc w:val="right"/>
            </w:pPr>
            <w:r>
              <w:rPr>
                <w:sz w:val="17"/>
                <w:szCs w:val="17"/>
              </w:rPr>
              <w:t xml:space="preserve">83.7↓</w:t>
            </w:r>
          </w:p>
        </w:tc>
        <w:tc>
          <w:tcPr>
            <w:tcW w:w="637" w:type="dxa"/>
            <w:vAlign w:val="center"/>
          </w:tcPr>
          <w:p>
            <w:pPr>
              <w:pStyle w:val="TableText"/>
              <w:jc w:val="right"/>
            </w:pPr>
            <w:r>
              <w:rPr>
                <w:sz w:val="17"/>
                <w:szCs w:val="17"/>
              </w:rPr>
              <w:t xml:space="preserve">80.7</w:t>
            </w:r>
          </w:p>
        </w:tc>
        <w:tc>
          <w:tcPr>
            <w:tcW w:w="524" w:type="dxa"/>
            <w:vAlign w:val="center"/>
          </w:tcPr>
          <w:p>
            <w:pPr>
              <w:pStyle w:val="TableText"/>
              <w:jc w:val="right"/>
            </w:pPr>
            <w:r>
              <w:rPr>
                <w:sz w:val="17"/>
                <w:szCs w:val="17"/>
              </w:rPr>
              <w:t xml:space="preserve">78.0↓</w:t>
            </w:r>
          </w:p>
        </w:tc>
        <w:tc>
          <w:tcPr>
            <w:tcW w:w="524" w:type="dxa"/>
            <w:vAlign w:val="center"/>
          </w:tcPr>
          <w:p>
            <w:pPr>
              <w:pStyle w:val="TableText"/>
              <w:jc w:val="right"/>
            </w:pPr>
            <w:r>
              <w:rPr>
                <w:sz w:val="17"/>
                <w:szCs w:val="17"/>
              </w:rPr>
              <w:t xml:space="preserve">62.9</w:t>
            </w:r>
          </w:p>
        </w:tc>
        <w:tc>
          <w:tcPr>
            <w:tcW w:w="637" w:type="dxa"/>
            <w:vAlign w:val="center"/>
          </w:tcPr>
          <w:p>
            <w:pPr>
              <w:pStyle w:val="TableText"/>
              <w:jc w:val="right"/>
            </w:pPr>
            <w:r>
              <w:rPr>
                <w:sz w:val="17"/>
                <w:szCs w:val="17"/>
              </w:rPr>
              <w:t xml:space="preserve">85.4↓</w:t>
            </w:r>
          </w:p>
        </w:tc>
        <w:tc>
          <w:tcPr>
            <w:tcW w:w="637" w:type="dxa"/>
            <w:vAlign w:val="center"/>
          </w:tcPr>
          <w:p>
            <w:pPr>
              <w:pStyle w:val="TableText"/>
              <w:jc w:val="right"/>
            </w:pPr>
            <w:r>
              <w:rPr>
                <w:sz w:val="17"/>
                <w:szCs w:val="17"/>
              </w:rPr>
              <w:t xml:space="preserve">82.0</w:t>
            </w:r>
          </w:p>
        </w:tc>
      </w:tr>
      <w:tr>
        <w:trPr>
          <w:cantSplit/>
        </w:trPr>
        <w:tc>
          <w:tcPr>
            <w:tcW w:w="2681" w:type="dxa"/>
            <w:vAlign w:val="center"/>
          </w:tcPr>
          <w:p>
            <w:pPr>
              <w:pStyle w:val="TableText"/>
              <w:jc w:val="left"/>
            </w:pPr>
            <w:r>
              <w:rPr>
                <w:sz w:val="17"/>
                <w:szCs w:val="17"/>
              </w:rPr>
              <w:t xml:space="preserve">Ours, audit null with class cells</w:t>
            </w:r>
          </w:p>
        </w:tc>
        <w:tc>
          <w:tcPr>
            <w:tcW w:w="524" w:type="dxa"/>
            <w:vAlign w:val="center"/>
          </w:tcPr>
          <w:p>
            <w:pPr>
              <w:pStyle w:val="TableText"/>
              <w:jc w:val="right"/>
            </w:pPr>
            <w:r>
              <w:rPr>
                <w:sz w:val="17"/>
                <w:szCs w:val="17"/>
              </w:rPr>
              <w:t xml:space="preserve">93.1</w:t>
            </w:r>
          </w:p>
        </w:tc>
        <w:tc>
          <w:tcPr>
            <w:tcW w:w="524" w:type="dxa"/>
            <w:vAlign w:val="center"/>
          </w:tcPr>
          <w:p>
            <w:pPr>
              <w:pStyle w:val="TableText"/>
              <w:jc w:val="right"/>
            </w:pPr>
            <w:r>
              <w:rPr>
                <w:sz w:val="17"/>
                <w:szCs w:val="17"/>
              </w:rPr>
              <w:t xml:space="preserve">65.6↑</w:t>
            </w:r>
          </w:p>
        </w:tc>
        <w:tc>
          <w:tcPr>
            <w:tcW w:w="637" w:type="dxa"/>
            <w:vAlign w:val="center"/>
          </w:tcPr>
          <w:p>
            <w:pPr>
              <w:pStyle w:val="TableText"/>
              <w:jc w:val="right"/>
            </w:pPr>
            <w:r>
              <w:rPr>
                <w:sz w:val="17"/>
                <w:szCs w:val="17"/>
              </w:rPr>
              <w:t xml:space="preserve">86.2</w:t>
            </w:r>
          </w:p>
        </w:tc>
        <w:tc>
          <w:tcPr>
            <w:tcW w:w="637" w:type="dxa"/>
            <w:vAlign w:val="center"/>
          </w:tcPr>
          <w:p>
            <w:pPr>
              <w:pStyle w:val="TableText"/>
              <w:jc w:val="right"/>
            </w:pPr>
            <w:r>
              <w:rPr>
                <w:sz w:val="17"/>
                <w:szCs w:val="17"/>
              </w:rPr>
              <w:t xml:space="preserve">91.8↑</w:t>
            </w:r>
          </w:p>
        </w:tc>
        <w:tc>
          <w:tcPr>
            <w:tcW w:w="524" w:type="dxa"/>
            <w:vAlign w:val="center"/>
          </w:tcPr>
          <w:p>
            <w:pPr>
              <w:pStyle w:val="TableText"/>
              <w:jc w:val="right"/>
            </w:pPr>
            <w:r>
              <w:rPr>
                <w:sz w:val="17"/>
                <w:szCs w:val="17"/>
              </w:rPr>
              <w:t xml:space="preserve">92.9↓</w:t>
            </w:r>
          </w:p>
        </w:tc>
        <w:tc>
          <w:tcPr>
            <w:tcW w:w="524" w:type="dxa"/>
            <w:vAlign w:val="center"/>
          </w:tcPr>
          <w:p>
            <w:pPr>
              <w:pStyle w:val="TableText"/>
              <w:jc w:val="right"/>
            </w:pPr>
            <w:r>
              <w:rPr>
                <w:sz w:val="17"/>
                <w:szCs w:val="17"/>
              </w:rPr>
              <w:t xml:space="preserve">66.5↑</w:t>
            </w:r>
          </w:p>
        </w:tc>
        <w:tc>
          <w:tcPr>
            <w:tcW w:w="637" w:type="dxa"/>
            <w:vAlign w:val="center"/>
          </w:tcPr>
          <w:p>
            <w:pPr>
              <w:pStyle w:val="TableText"/>
              <w:jc w:val="right"/>
            </w:pPr>
            <w:r>
              <w:rPr>
                <w:sz w:val="17"/>
                <w:szCs w:val="17"/>
              </w:rPr>
              <w:t xml:space="preserve">90.6</w:t>
            </w:r>
          </w:p>
        </w:tc>
        <w:tc>
          <w:tcPr>
            <w:tcW w:w="637" w:type="dxa"/>
            <w:vAlign w:val="center"/>
          </w:tcPr>
          <w:p>
            <w:pPr>
              <w:pStyle w:val="TableText"/>
              <w:jc w:val="right"/>
            </w:pPr>
            <w:r>
              <w:rPr>
                <w:sz w:val="17"/>
                <w:szCs w:val="17"/>
              </w:rPr>
              <w:t xml:space="preserve">93.7↑</w:t>
            </w:r>
          </w:p>
        </w:tc>
      </w:tr>
    </w:tbl>
    <w:p>
      <w:pPr>
        <w:spacing w:before="0" w:after="120" w:line="240" w:lineRule="auto"/>
      </w:pPr>
    </w:p>
    <w:p>
      <w:pPr>
        <w:pStyle w:val="Normal"/>
      </w:pPr>
      <w:r>
        <w:t xml:space="preserve">Inc. and Emp. stand for ACS Income and ACS Employment and A and B are the two benchmark designs. An arrow marks a method that differs significantly from ours after Holm correction: a down arrow means that ours is better and an up arrow that ours is worse. The upper block lists the competing methods and the lower block the ablations of our procedure.</w:t>
      </w:r>
    </w:p>
    <w:p>
      <w:pPr>
        <w:pStyle w:val="Normal"/>
      </w:pPr>
      <w:r>
        <w:t xml:space="preserve">With LR on ACS Income, our procedure names the type in 94.3% of design A windows (95% interval [92.3, 95.8]), while the best rule baseline reaches 52.3%. The rules are held back by design, since each can name only some of the five outcomes. Over all eight configurations our procedure is significantly better in 28 of the 32 comparisons with a baseline or the learned rule and significantly worse in 3, all against the learned meta-classifier on design A (ACS Employment LR, ACS Income GB and ACS Employment GB).</w:t>
      </w:r>
    </w:p>
    <w:p>
      <w:pPr>
        <w:pStyle w:val="Normal"/>
      </w:pPr>
      <w:r>
        <w:t xml:space="preserve">On design A the learned meta-classifier is the strongest competitor. Validated on states it has not seen, it reaches 97.5% on ACS Income, above our 94.3%. The held-out mechanisms of design B turn this around. Trained on design A, the meta-classifier drops to 31.1% on ACS Income and 48.2% on ACS Employment, while our procedure keeps 62.4% and 80.5%. The learned rule had tied each type to the size and shape of the injected shift; it had learned, for example, that covariate shift means a large shift in two features and so it missed selection bias, which moves many features a little. This is the main argument for tests over a learned rule: the tests encode what the drift types are, not what the training examples happened to look like. Fig. </w:t>
      </w:r>
      <w:r>
        <w:t xml:space="preserve">7.12</w:t>
      </w:r>
      <w:r>
        <w:t xml:space="preserve"> breaks the results down by type for LR.</w:t>
      </w:r>
    </w:p>
    <w:p>
      <w:pPr>
        <w:pStyle w:val="FigureBody"/>
      </w:pPr>
      <w:r>
        <w:drawing>
          <wp:inline distT="0" distB="0" distL="0" distR="0">
            <wp:extent cx="3960000" cy="3313799"/>
            <wp:docPr id="1023" name="Figure 7.12" descr="Figure 7.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3" name="confusion.png"/>
                    <pic:cNvPicPr/>
                  </pic:nvPicPr>
                  <pic:blipFill>
                    <a:blip r:embed="rIdI23"/>
                    <a:stretch>
                      <a:fillRect/>
                    </a:stretch>
                  </pic:blipFill>
                  <pic:spPr>
                    <a:xfrm>
                      <a:off x="0" y="0"/>
                      <a:ext cx="3960000" cy="3313799"/>
                    </a:xfrm>
                    <a:prstGeom prst="rect">
                      <a:avLst/>
                    </a:prstGeom>
                  </pic:spPr>
                </pic:pic>
              </a:graphicData>
            </a:graphic>
          </wp:inline>
        </w:drawing>
      </w:r>
    </w:p>
    <w:p>
      <w:pPr>
        <w:pStyle w:val="FigureCaption"/>
        <w:jc w:val="both"/>
      </w:pPr>
      <w:r>
        <w:rPr>
          <w:b/>
          <w:bCs/>
        </w:rPr>
        <w:t xml:space="preserve">Fig. 7.12: </w:t>
      </w:r>
      <w:r>
        <w:t xml:space="preserve">Injected (rows) and diagnosed (columns) drift types on the benchmark with LR, in counts of windows; darker cells hold a larger share of their row</w:t>
      </w:r>
    </w:p>
    <w:p>
      <w:pPr>
        <w:pStyle w:val="Normal"/>
      </w:pPr>
      <w:r>
        <w:t xml:space="preserve">A perfect diagnosis would fill only the diagonal. Design B has no control windows, so false alarms are measured on design A, where most errors sit in the label noise row: noise is read either as concept drift or as no drift. Our procedure raised a false alarm on 13 of 200 control windows (6.5%, 95% CI [3.8, 10.8]), 7 in the label-free stage and 6 in the audit, below the bound of 10%.</w:t>
      </w:r>
    </w:p>
    <w:p>
      <w:pPr>
        <w:pStyle w:val="Normal"/>
      </w:pPr>
      <w:r>
        <w:t xml:space="preserve">The ablations show which parts of the procedure carry the weight. Without the confidence term in the audit null, accuracy on ACS Income design A falls by 15.2 points, because uniform label noise then looks like concept drift. Dropping the MMD block changes little on the benchmark (−0.9 points), whose shifts are visible feature by feature; its value shows on the image embeddings of CLEAR-10. Replacing the confidence bins by cells of predicted class and confidence helps on ACS Employment design B (91.8% against 80.5%) but costs accuracy on ACS Income design A (93.1%). Switching to it after seeing design B would bias the comparison, so it stays an ablation and a direction for future work.</w:t>
      </w:r>
    </w:p>
    <w:p>
      <w:pPr>
        <w:pStyle w:val="Heading3"/>
      </w:pPr>
      <w:r>
        <w:t xml:space="preserve">7.4.2 Held-out Mechanisms</w:t>
      </w:r>
    </w:p>
    <w:p>
      <w:pPr>
        <w:pStyle w:val="Normal"/>
      </w:pPr>
      <w:r>
        <w:t xml:space="preserve">Design B asks whether the procedure carries over to drift it was not built for. Table </w:t>
      </w:r>
      <w:r>
        <w:t xml:space="preserve">7.3</w:t>
      </w:r>
      <w:r>
        <w:t xml:space="preserve"> gives the result per mechanism.</w:t>
      </w:r>
    </w:p>
    <w:p>
      <w:pPr>
        <w:pStyle w:val="TableCaption"/>
      </w:pPr>
      <w:r>
        <w:rPr>
          <w:b/>
          <w:bCs/>
        </w:rPr>
        <w:t xml:space="preserve">Table 7.3: </w:t>
      </w:r>
      <w:r>
        <w:t xml:space="preserve">Correct-type rate (Corr., %) and mean accuracy drop (Drop, points) per held-out mechanism of design B</w:t>
      </w:r>
    </w:p>
    <w:tbl>
      <w:tblPr>
        <w:tblW w:w="599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30" w:type="dxa"/>
          <w:left w:w="80" w:type="dxa"/>
          <w:bottom w:w="30" w:type="dxa"/>
          <w:right w:w="80" w:type="dxa"/>
        </w:tblCellMar>
        <w:tblLook w:val="0000"/>
      </w:tblPr>
      <w:tblGrid>
        <w:gridCol w:w="2175"/>
        <w:gridCol w:w="474"/>
        <w:gridCol w:w="480"/>
        <w:gridCol w:w="474"/>
        <w:gridCol w:w="480"/>
        <w:gridCol w:w="474"/>
        <w:gridCol w:w="480"/>
        <w:gridCol w:w="474"/>
        <w:gridCol w:w="480"/>
      </w:tblGrid>
      <w:tr>
        <w:trPr>
          <w:cantSplit/>
          <w:tblHeader/>
        </w:trPr>
        <w:tc>
          <w:tcPr>
            <w:tcW w:w="2175" w:type="dxa"/>
            <w:shd w:val="clear" w:color="auto" w:fill="D9E2F3"/>
            <w:vAlign w:val="center"/>
          </w:tcPr>
          <w:p>
            <w:pPr>
              <w:pStyle w:val="TableText"/>
              <w:keepNext/>
              <w:jc w:val="center"/>
            </w:pPr>
          </w:p>
        </w:tc>
        <w:tc>
          <w:tcPr>
            <w:tcW w:w="1908" w:type="dxa"/>
            <w:gridSpan w:val="4"/>
            <w:shd w:val="clear" w:color="auto" w:fill="D9E2F3"/>
            <w:vAlign w:val="center"/>
          </w:tcPr>
          <w:p>
            <w:pPr>
              <w:pStyle w:val="TableText"/>
              <w:keepNext/>
              <w:jc w:val="center"/>
            </w:pPr>
            <w:r>
              <w:rPr>
                <w:sz w:val="18"/>
                <w:szCs w:val="18"/>
                <w:b/>
                <w:bCs/>
              </w:rPr>
              <w:t xml:space="preserve">ACS Income</w:t>
            </w:r>
          </w:p>
        </w:tc>
        <w:tc>
          <w:tcPr>
            <w:tcW w:w="1908" w:type="dxa"/>
            <w:gridSpan w:val="4"/>
            <w:shd w:val="clear" w:color="auto" w:fill="D9E2F3"/>
            <w:vAlign w:val="center"/>
          </w:tcPr>
          <w:p>
            <w:pPr>
              <w:pStyle w:val="TableText"/>
              <w:keepNext/>
              <w:jc w:val="center"/>
            </w:pPr>
            <w:r>
              <w:rPr>
                <w:sz w:val="18"/>
                <w:szCs w:val="18"/>
                <w:b/>
                <w:bCs/>
              </w:rPr>
              <w:t xml:space="preserve">ACS Employment</w:t>
            </w:r>
          </w:p>
        </w:tc>
      </w:tr>
      <w:tr>
        <w:trPr>
          <w:cantSplit/>
          <w:tblHeader/>
        </w:trPr>
        <w:tc>
          <w:tcPr>
            <w:tcW w:w="2175" w:type="dxa"/>
            <w:shd w:val="clear" w:color="auto" w:fill="D9E2F3"/>
            <w:vAlign w:val="center"/>
          </w:tcPr>
          <w:p>
            <w:pPr>
              <w:pStyle w:val="TableText"/>
              <w:keepNext/>
              <w:jc w:val="center"/>
            </w:pPr>
          </w:p>
        </w:tc>
        <w:tc>
          <w:tcPr>
            <w:tcW w:w="954" w:type="dxa"/>
            <w:gridSpan w:val="2"/>
            <w:shd w:val="clear" w:color="auto" w:fill="D9E2F3"/>
            <w:vAlign w:val="center"/>
          </w:tcPr>
          <w:p>
            <w:pPr>
              <w:pStyle w:val="TableText"/>
              <w:keepNext/>
              <w:jc w:val="center"/>
            </w:pPr>
            <w:r>
              <w:rPr>
                <w:sz w:val="18"/>
                <w:szCs w:val="18"/>
                <w:b/>
                <w:bCs/>
              </w:rPr>
              <w:t xml:space="preserve">LR</w:t>
            </w:r>
          </w:p>
        </w:tc>
        <w:tc>
          <w:tcPr>
            <w:tcW w:w="954" w:type="dxa"/>
            <w:gridSpan w:val="2"/>
            <w:shd w:val="clear" w:color="auto" w:fill="D9E2F3"/>
            <w:vAlign w:val="center"/>
          </w:tcPr>
          <w:p>
            <w:pPr>
              <w:pStyle w:val="TableText"/>
              <w:keepNext/>
              <w:jc w:val="center"/>
            </w:pPr>
            <w:r>
              <w:rPr>
                <w:sz w:val="18"/>
                <w:szCs w:val="18"/>
                <w:b/>
                <w:bCs/>
              </w:rPr>
              <w:t xml:space="preserve">GB</w:t>
            </w:r>
          </w:p>
        </w:tc>
        <w:tc>
          <w:tcPr>
            <w:tcW w:w="954" w:type="dxa"/>
            <w:gridSpan w:val="2"/>
            <w:shd w:val="clear" w:color="auto" w:fill="D9E2F3"/>
            <w:vAlign w:val="center"/>
          </w:tcPr>
          <w:p>
            <w:pPr>
              <w:pStyle w:val="TableText"/>
              <w:keepNext/>
              <w:jc w:val="center"/>
            </w:pPr>
            <w:r>
              <w:rPr>
                <w:sz w:val="18"/>
                <w:szCs w:val="18"/>
                <w:b/>
                <w:bCs/>
              </w:rPr>
              <w:t xml:space="preserve">LR</w:t>
            </w:r>
          </w:p>
        </w:tc>
        <w:tc>
          <w:tcPr>
            <w:tcW w:w="954" w:type="dxa"/>
            <w:gridSpan w:val="2"/>
            <w:shd w:val="clear" w:color="auto" w:fill="D9E2F3"/>
            <w:vAlign w:val="center"/>
          </w:tcPr>
          <w:p>
            <w:pPr>
              <w:pStyle w:val="TableText"/>
              <w:keepNext/>
              <w:jc w:val="center"/>
            </w:pPr>
            <w:r>
              <w:rPr>
                <w:sz w:val="18"/>
                <w:szCs w:val="18"/>
                <w:b/>
                <w:bCs/>
              </w:rPr>
              <w:t xml:space="preserve">GB</w:t>
            </w:r>
          </w:p>
        </w:tc>
      </w:tr>
      <w:tr>
        <w:trPr>
          <w:cantSplit/>
          <w:tblHeader/>
        </w:trPr>
        <w:tc>
          <w:tcPr>
            <w:tcW w:w="2175" w:type="dxa"/>
            <w:shd w:val="clear" w:color="auto" w:fill="D9E2F3"/>
            <w:vAlign w:val="center"/>
          </w:tcPr>
          <w:p>
            <w:pPr>
              <w:pStyle w:val="TableText"/>
              <w:keepNext/>
              <w:jc w:val="center"/>
            </w:pPr>
            <w:r>
              <w:rPr>
                <w:sz w:val="18"/>
                <w:szCs w:val="18"/>
                <w:b/>
                <w:bCs/>
              </w:rPr>
              <w:t xml:space="preserve">Mechanism</w:t>
            </w:r>
          </w:p>
        </w:tc>
        <w:tc>
          <w:tcPr>
            <w:tcW w:w="474" w:type="dxa"/>
            <w:shd w:val="clear" w:color="auto" w:fill="D9E2F3"/>
            <w:vAlign w:val="center"/>
          </w:tcPr>
          <w:p>
            <w:pPr>
              <w:pStyle w:val="TableText"/>
              <w:keepNext/>
              <w:jc w:val="center"/>
            </w:pPr>
            <w:r>
              <w:rPr>
                <w:sz w:val="18"/>
                <w:szCs w:val="18"/>
                <w:b/>
                <w:bCs/>
              </w:rPr>
              <w:t xml:space="preserve">Corr.</w:t>
            </w:r>
          </w:p>
        </w:tc>
        <w:tc>
          <w:tcPr>
            <w:tcW w:w="480" w:type="dxa"/>
            <w:shd w:val="clear" w:color="auto" w:fill="D9E2F3"/>
            <w:vAlign w:val="center"/>
          </w:tcPr>
          <w:p>
            <w:pPr>
              <w:pStyle w:val="TableText"/>
              <w:keepNext/>
              <w:jc w:val="center"/>
            </w:pPr>
            <w:r>
              <w:rPr>
                <w:sz w:val="18"/>
                <w:szCs w:val="18"/>
                <w:b/>
                <w:bCs/>
              </w:rPr>
              <w:t xml:space="preserve">Drop</w:t>
            </w:r>
          </w:p>
        </w:tc>
        <w:tc>
          <w:tcPr>
            <w:tcW w:w="474" w:type="dxa"/>
            <w:shd w:val="clear" w:color="auto" w:fill="D9E2F3"/>
            <w:vAlign w:val="center"/>
          </w:tcPr>
          <w:p>
            <w:pPr>
              <w:pStyle w:val="TableText"/>
              <w:keepNext/>
              <w:jc w:val="center"/>
            </w:pPr>
            <w:r>
              <w:rPr>
                <w:sz w:val="18"/>
                <w:szCs w:val="18"/>
                <w:b/>
                <w:bCs/>
              </w:rPr>
              <w:t xml:space="preserve">Corr.</w:t>
            </w:r>
          </w:p>
        </w:tc>
        <w:tc>
          <w:tcPr>
            <w:tcW w:w="480" w:type="dxa"/>
            <w:shd w:val="clear" w:color="auto" w:fill="D9E2F3"/>
            <w:vAlign w:val="center"/>
          </w:tcPr>
          <w:p>
            <w:pPr>
              <w:pStyle w:val="TableText"/>
              <w:keepNext/>
              <w:jc w:val="center"/>
            </w:pPr>
            <w:r>
              <w:rPr>
                <w:sz w:val="18"/>
                <w:szCs w:val="18"/>
                <w:b/>
                <w:bCs/>
              </w:rPr>
              <w:t xml:space="preserve">Drop</w:t>
            </w:r>
          </w:p>
        </w:tc>
        <w:tc>
          <w:tcPr>
            <w:tcW w:w="474" w:type="dxa"/>
            <w:shd w:val="clear" w:color="auto" w:fill="D9E2F3"/>
            <w:vAlign w:val="center"/>
          </w:tcPr>
          <w:p>
            <w:pPr>
              <w:pStyle w:val="TableText"/>
              <w:keepNext/>
              <w:jc w:val="center"/>
            </w:pPr>
            <w:r>
              <w:rPr>
                <w:sz w:val="18"/>
                <w:szCs w:val="18"/>
                <w:b/>
                <w:bCs/>
              </w:rPr>
              <w:t xml:space="preserve">Corr.</w:t>
            </w:r>
          </w:p>
        </w:tc>
        <w:tc>
          <w:tcPr>
            <w:tcW w:w="480" w:type="dxa"/>
            <w:shd w:val="clear" w:color="auto" w:fill="D9E2F3"/>
            <w:vAlign w:val="center"/>
          </w:tcPr>
          <w:p>
            <w:pPr>
              <w:pStyle w:val="TableText"/>
              <w:keepNext/>
              <w:jc w:val="center"/>
            </w:pPr>
            <w:r>
              <w:rPr>
                <w:sz w:val="18"/>
                <w:szCs w:val="18"/>
                <w:b/>
                <w:bCs/>
              </w:rPr>
              <w:t xml:space="preserve">Drop</w:t>
            </w:r>
          </w:p>
        </w:tc>
        <w:tc>
          <w:tcPr>
            <w:tcW w:w="474" w:type="dxa"/>
            <w:shd w:val="clear" w:color="auto" w:fill="D9E2F3"/>
            <w:vAlign w:val="center"/>
          </w:tcPr>
          <w:p>
            <w:pPr>
              <w:pStyle w:val="TableText"/>
              <w:keepNext/>
              <w:jc w:val="center"/>
            </w:pPr>
            <w:r>
              <w:rPr>
                <w:sz w:val="18"/>
                <w:szCs w:val="18"/>
                <w:b/>
                <w:bCs/>
              </w:rPr>
              <w:t xml:space="preserve">Corr.</w:t>
            </w:r>
          </w:p>
        </w:tc>
        <w:tc>
          <w:tcPr>
            <w:tcW w:w="480" w:type="dxa"/>
            <w:shd w:val="clear" w:color="auto" w:fill="D9E2F3"/>
            <w:vAlign w:val="center"/>
          </w:tcPr>
          <w:p>
            <w:pPr>
              <w:pStyle w:val="TableText"/>
              <w:keepNext/>
              <w:jc w:val="center"/>
            </w:pPr>
            <w:r>
              <w:rPr>
                <w:sz w:val="18"/>
                <w:szCs w:val="18"/>
                <w:b/>
                <w:bCs/>
              </w:rPr>
              <w:t xml:space="preserve">Drop</w:t>
            </w:r>
          </w:p>
        </w:tc>
      </w:tr>
      <w:tr>
        <w:trPr>
          <w:cantSplit/>
        </w:trPr>
        <w:tc>
          <w:tcPr>
            <w:tcW w:w="2175" w:type="dxa"/>
            <w:vAlign w:val="center"/>
          </w:tcPr>
          <w:p>
            <w:pPr>
              <w:pStyle w:val="TableText"/>
              <w:jc w:val="left"/>
            </w:pPr>
            <w:r>
              <w:rPr>
                <w:sz w:val="18"/>
                <w:szCs w:val="18"/>
              </w:rPr>
              <w:t xml:space="preserve">Covariate: selection bias</w:t>
            </w:r>
          </w:p>
        </w:tc>
        <w:tc>
          <w:tcPr>
            <w:tcW w:w="474" w:type="dxa"/>
            <w:vAlign w:val="center"/>
          </w:tcPr>
          <w:p>
            <w:pPr>
              <w:pStyle w:val="TableText"/>
              <w:jc w:val="right"/>
            </w:pPr>
            <w:r>
              <w:rPr>
                <w:sz w:val="18"/>
                <w:szCs w:val="18"/>
              </w:rPr>
              <w:t xml:space="preserve">99</w:t>
            </w:r>
          </w:p>
        </w:tc>
        <w:tc>
          <w:tcPr>
            <w:tcW w:w="480" w:type="dxa"/>
            <w:vAlign w:val="center"/>
          </w:tcPr>
          <w:p>
            <w:pPr>
              <w:pStyle w:val="TableText"/>
              <w:jc w:val="right"/>
            </w:pPr>
            <w:r>
              <w:rPr>
                <w:sz w:val="18"/>
                <w:szCs w:val="18"/>
              </w:rPr>
              <w:t xml:space="preserve">0.2</w:t>
            </w:r>
          </w:p>
        </w:tc>
        <w:tc>
          <w:tcPr>
            <w:tcW w:w="474" w:type="dxa"/>
            <w:vAlign w:val="center"/>
          </w:tcPr>
          <w:p>
            <w:pPr>
              <w:pStyle w:val="TableText"/>
              <w:jc w:val="right"/>
            </w:pPr>
            <w:r>
              <w:rPr>
                <w:sz w:val="18"/>
                <w:szCs w:val="18"/>
              </w:rPr>
              <w:t xml:space="preserve">99</w:t>
            </w:r>
          </w:p>
        </w:tc>
        <w:tc>
          <w:tcPr>
            <w:tcW w:w="480" w:type="dxa"/>
            <w:vAlign w:val="center"/>
          </w:tcPr>
          <w:p>
            <w:pPr>
              <w:pStyle w:val="TableText"/>
              <w:jc w:val="right"/>
            </w:pPr>
            <w:r>
              <w:rPr>
                <w:sz w:val="18"/>
                <w:szCs w:val="18"/>
              </w:rPr>
              <w:t xml:space="preserve">0.3</w:t>
            </w:r>
          </w:p>
        </w:tc>
        <w:tc>
          <w:tcPr>
            <w:tcW w:w="474" w:type="dxa"/>
            <w:vAlign w:val="center"/>
          </w:tcPr>
          <w:p>
            <w:pPr>
              <w:pStyle w:val="TableText"/>
              <w:jc w:val="right"/>
            </w:pPr>
            <w:r>
              <w:rPr>
                <w:sz w:val="18"/>
                <w:szCs w:val="18"/>
              </w:rPr>
              <w:t xml:space="preserve">100</w:t>
            </w:r>
          </w:p>
        </w:tc>
        <w:tc>
          <w:tcPr>
            <w:tcW w:w="480" w:type="dxa"/>
            <w:vAlign w:val="center"/>
          </w:tcPr>
          <w:p>
            <w:pPr>
              <w:pStyle w:val="TableText"/>
              <w:jc w:val="right"/>
            </w:pPr>
            <w:r>
              <w:rPr>
                <w:sz w:val="18"/>
                <w:szCs w:val="18"/>
              </w:rPr>
              <w:t xml:space="preserve">−0.3</w:t>
            </w:r>
          </w:p>
        </w:tc>
        <w:tc>
          <w:tcPr>
            <w:tcW w:w="474" w:type="dxa"/>
            <w:vAlign w:val="center"/>
          </w:tcPr>
          <w:p>
            <w:pPr>
              <w:pStyle w:val="TableText"/>
              <w:jc w:val="right"/>
            </w:pPr>
            <w:r>
              <w:rPr>
                <w:sz w:val="18"/>
                <w:szCs w:val="18"/>
              </w:rPr>
              <w:t xml:space="preserve">100</w:t>
            </w:r>
          </w:p>
        </w:tc>
        <w:tc>
          <w:tcPr>
            <w:tcW w:w="480" w:type="dxa"/>
            <w:vAlign w:val="center"/>
          </w:tcPr>
          <w:p>
            <w:pPr>
              <w:pStyle w:val="TableText"/>
              <w:jc w:val="right"/>
            </w:pPr>
            <w:r>
              <w:rPr>
                <w:sz w:val="18"/>
                <w:szCs w:val="18"/>
              </w:rPr>
              <w:t xml:space="preserve">−0.3</w:t>
            </w:r>
          </w:p>
        </w:tc>
      </w:tr>
      <w:tr>
        <w:trPr>
          <w:cantSplit/>
        </w:trPr>
        <w:tc>
          <w:tcPr>
            <w:tcW w:w="2175" w:type="dxa"/>
            <w:vAlign w:val="center"/>
          </w:tcPr>
          <w:p>
            <w:pPr>
              <w:pStyle w:val="TableText"/>
              <w:jc w:val="left"/>
            </w:pPr>
            <w:r>
              <w:rPr>
                <w:sz w:val="18"/>
                <w:szCs w:val="18"/>
              </w:rPr>
              <w:t xml:space="preserve">Prior: decrease</w:t>
            </w:r>
          </w:p>
        </w:tc>
        <w:tc>
          <w:tcPr>
            <w:tcW w:w="474" w:type="dxa"/>
            <w:vAlign w:val="center"/>
          </w:tcPr>
          <w:p>
            <w:pPr>
              <w:pStyle w:val="TableText"/>
              <w:jc w:val="right"/>
            </w:pPr>
            <w:r>
              <w:rPr>
                <w:sz w:val="18"/>
                <w:szCs w:val="18"/>
              </w:rPr>
              <w:t xml:space="preserve">92</w:t>
            </w:r>
          </w:p>
        </w:tc>
        <w:tc>
          <w:tcPr>
            <w:tcW w:w="480" w:type="dxa"/>
            <w:vAlign w:val="center"/>
          </w:tcPr>
          <w:p>
            <w:pPr>
              <w:pStyle w:val="TableText"/>
              <w:jc w:val="right"/>
            </w:pPr>
            <w:r>
              <w:rPr>
                <w:sz w:val="18"/>
                <w:szCs w:val="18"/>
              </w:rPr>
              <w:t xml:space="preserve">−2.8</w:t>
            </w:r>
          </w:p>
        </w:tc>
        <w:tc>
          <w:tcPr>
            <w:tcW w:w="474" w:type="dxa"/>
            <w:vAlign w:val="center"/>
          </w:tcPr>
          <w:p>
            <w:pPr>
              <w:pStyle w:val="TableText"/>
              <w:jc w:val="right"/>
            </w:pPr>
            <w:r>
              <w:rPr>
                <w:sz w:val="18"/>
                <w:szCs w:val="18"/>
              </w:rPr>
              <w:t xml:space="preserve">93</w:t>
            </w:r>
          </w:p>
        </w:tc>
        <w:tc>
          <w:tcPr>
            <w:tcW w:w="480" w:type="dxa"/>
            <w:vAlign w:val="center"/>
          </w:tcPr>
          <w:p>
            <w:pPr>
              <w:pStyle w:val="TableText"/>
              <w:jc w:val="right"/>
            </w:pPr>
            <w:r>
              <w:rPr>
                <w:sz w:val="18"/>
                <w:szCs w:val="18"/>
              </w:rPr>
              <w:t xml:space="preserve">−2.4</w:t>
            </w:r>
          </w:p>
        </w:tc>
        <w:tc>
          <w:tcPr>
            <w:tcW w:w="474" w:type="dxa"/>
            <w:vAlign w:val="center"/>
          </w:tcPr>
          <w:p>
            <w:pPr>
              <w:pStyle w:val="TableText"/>
              <w:jc w:val="right"/>
            </w:pPr>
            <w:r>
              <w:rPr>
                <w:sz w:val="18"/>
                <w:szCs w:val="18"/>
              </w:rPr>
              <w:t xml:space="preserve">97</w:t>
            </w:r>
          </w:p>
        </w:tc>
        <w:tc>
          <w:tcPr>
            <w:tcW w:w="480" w:type="dxa"/>
            <w:vAlign w:val="center"/>
          </w:tcPr>
          <w:p>
            <w:pPr>
              <w:pStyle w:val="TableText"/>
              <w:jc w:val="right"/>
            </w:pPr>
            <w:r>
              <w:rPr>
                <w:sz w:val="18"/>
                <w:szCs w:val="18"/>
              </w:rPr>
              <w:t xml:space="preserve">2.5</w:t>
            </w:r>
          </w:p>
        </w:tc>
        <w:tc>
          <w:tcPr>
            <w:tcW w:w="474" w:type="dxa"/>
            <w:vAlign w:val="center"/>
          </w:tcPr>
          <w:p>
            <w:pPr>
              <w:pStyle w:val="TableText"/>
              <w:jc w:val="right"/>
            </w:pPr>
            <w:r>
              <w:rPr>
                <w:sz w:val="18"/>
                <w:szCs w:val="18"/>
              </w:rPr>
              <w:t xml:space="preserve">97</w:t>
            </w:r>
          </w:p>
        </w:tc>
        <w:tc>
          <w:tcPr>
            <w:tcW w:w="480" w:type="dxa"/>
            <w:vAlign w:val="center"/>
          </w:tcPr>
          <w:p>
            <w:pPr>
              <w:pStyle w:val="TableText"/>
              <w:jc w:val="right"/>
            </w:pPr>
            <w:r>
              <w:rPr>
                <w:sz w:val="18"/>
                <w:szCs w:val="18"/>
              </w:rPr>
              <w:t xml:space="preserve">1.9</w:t>
            </w:r>
          </w:p>
        </w:tc>
      </w:tr>
      <w:tr>
        <w:trPr>
          <w:cantSplit/>
        </w:trPr>
        <w:tc>
          <w:tcPr>
            <w:tcW w:w="2175" w:type="dxa"/>
            <w:vAlign w:val="center"/>
          </w:tcPr>
          <w:p>
            <w:pPr>
              <w:pStyle w:val="TableText"/>
              <w:jc w:val="left"/>
            </w:pPr>
            <w:r>
              <w:rPr>
                <w:sz w:val="18"/>
                <w:szCs w:val="18"/>
              </w:rPr>
              <w:t xml:space="preserve">Concept: oblique region</w:t>
            </w:r>
          </w:p>
        </w:tc>
        <w:tc>
          <w:tcPr>
            <w:tcW w:w="474" w:type="dxa"/>
            <w:vAlign w:val="center"/>
          </w:tcPr>
          <w:p>
            <w:pPr>
              <w:pStyle w:val="TableText"/>
              <w:jc w:val="right"/>
            </w:pPr>
            <w:r>
              <w:rPr>
                <w:sz w:val="18"/>
                <w:szCs w:val="18"/>
              </w:rPr>
              <w:t xml:space="preserve">95</w:t>
            </w:r>
          </w:p>
        </w:tc>
        <w:tc>
          <w:tcPr>
            <w:tcW w:w="480" w:type="dxa"/>
            <w:vAlign w:val="center"/>
          </w:tcPr>
          <w:p>
            <w:pPr>
              <w:pStyle w:val="TableText"/>
              <w:jc w:val="right"/>
            </w:pPr>
            <w:r>
              <w:rPr>
                <w:sz w:val="18"/>
                <w:szCs w:val="18"/>
              </w:rPr>
              <w:t xml:space="preserve">21.9</w:t>
            </w:r>
          </w:p>
        </w:tc>
        <w:tc>
          <w:tcPr>
            <w:tcW w:w="474" w:type="dxa"/>
            <w:vAlign w:val="center"/>
          </w:tcPr>
          <w:p>
            <w:pPr>
              <w:pStyle w:val="TableText"/>
              <w:jc w:val="right"/>
            </w:pPr>
            <w:r>
              <w:rPr>
                <w:sz w:val="18"/>
                <w:szCs w:val="18"/>
              </w:rPr>
              <w:t xml:space="preserve">95</w:t>
            </w:r>
          </w:p>
        </w:tc>
        <w:tc>
          <w:tcPr>
            <w:tcW w:w="480" w:type="dxa"/>
            <w:vAlign w:val="center"/>
          </w:tcPr>
          <w:p>
            <w:pPr>
              <w:pStyle w:val="TableText"/>
              <w:jc w:val="right"/>
            </w:pPr>
            <w:r>
              <w:rPr>
                <w:sz w:val="18"/>
                <w:szCs w:val="18"/>
              </w:rPr>
              <w:t xml:space="preserve">22.5</w:t>
            </w:r>
          </w:p>
        </w:tc>
        <w:tc>
          <w:tcPr>
            <w:tcW w:w="474" w:type="dxa"/>
            <w:vAlign w:val="center"/>
          </w:tcPr>
          <w:p>
            <w:pPr>
              <w:pStyle w:val="TableText"/>
              <w:jc w:val="right"/>
            </w:pPr>
            <w:r>
              <w:rPr>
                <w:sz w:val="18"/>
                <w:szCs w:val="18"/>
              </w:rPr>
              <w:t xml:space="preserve">91</w:t>
            </w:r>
          </w:p>
        </w:tc>
        <w:tc>
          <w:tcPr>
            <w:tcW w:w="480" w:type="dxa"/>
            <w:vAlign w:val="center"/>
          </w:tcPr>
          <w:p>
            <w:pPr>
              <w:pStyle w:val="TableText"/>
              <w:jc w:val="right"/>
            </w:pPr>
            <w:r>
              <w:rPr>
                <w:sz w:val="18"/>
                <w:szCs w:val="18"/>
              </w:rPr>
              <w:t xml:space="preserve">15.7</w:t>
            </w:r>
          </w:p>
        </w:tc>
        <w:tc>
          <w:tcPr>
            <w:tcW w:w="474" w:type="dxa"/>
            <w:vAlign w:val="center"/>
          </w:tcPr>
          <w:p>
            <w:pPr>
              <w:pStyle w:val="TableText"/>
              <w:jc w:val="right"/>
            </w:pPr>
            <w:r>
              <w:rPr>
                <w:sz w:val="18"/>
                <w:szCs w:val="18"/>
              </w:rPr>
              <w:t xml:space="preserve">97</w:t>
            </w:r>
          </w:p>
        </w:tc>
        <w:tc>
          <w:tcPr>
            <w:tcW w:w="480" w:type="dxa"/>
            <w:vAlign w:val="center"/>
          </w:tcPr>
          <w:p>
            <w:pPr>
              <w:pStyle w:val="TableText"/>
              <w:jc w:val="right"/>
            </w:pPr>
            <w:r>
              <w:rPr>
                <w:sz w:val="18"/>
                <w:szCs w:val="18"/>
              </w:rPr>
              <w:t xml:space="preserve">17.7</w:t>
            </w:r>
          </w:p>
        </w:tc>
      </w:tr>
      <w:tr>
        <w:trPr>
          <w:cantSplit/>
        </w:trPr>
        <w:tc>
          <w:tcPr>
            <w:tcW w:w="2175" w:type="dxa"/>
            <w:vAlign w:val="center"/>
          </w:tcPr>
          <w:p>
            <w:pPr>
              <w:pStyle w:val="TableText"/>
              <w:jc w:val="left"/>
            </w:pPr>
            <w:r>
              <w:rPr>
                <w:sz w:val="18"/>
                <w:szCs w:val="18"/>
              </w:rPr>
              <w:t xml:space="preserve">Concept: income threshold</w:t>
            </w:r>
          </w:p>
        </w:tc>
        <w:tc>
          <w:tcPr>
            <w:tcW w:w="474" w:type="dxa"/>
            <w:vAlign w:val="center"/>
          </w:tcPr>
          <w:p>
            <w:pPr>
              <w:pStyle w:val="TableText"/>
              <w:jc w:val="right"/>
            </w:pPr>
            <w:r>
              <w:rPr>
                <w:sz w:val="18"/>
                <w:szCs w:val="18"/>
              </w:rPr>
              <w:t xml:space="preserve">4</w:t>
            </w:r>
          </w:p>
        </w:tc>
        <w:tc>
          <w:tcPr>
            <w:tcW w:w="480" w:type="dxa"/>
            <w:vAlign w:val="center"/>
          </w:tcPr>
          <w:p>
            <w:pPr>
              <w:pStyle w:val="TableText"/>
              <w:jc w:val="right"/>
            </w:pPr>
            <w:r>
              <w:rPr>
                <w:sz w:val="18"/>
                <w:szCs w:val="18"/>
              </w:rPr>
              <w:t xml:space="preserve">−0.3</w:t>
            </w:r>
          </w:p>
        </w:tc>
        <w:tc>
          <w:tcPr>
            <w:tcW w:w="474" w:type="dxa"/>
            <w:vAlign w:val="center"/>
          </w:tcPr>
          <w:p>
            <w:pPr>
              <w:pStyle w:val="TableText"/>
              <w:jc w:val="right"/>
            </w:pPr>
            <w:r>
              <w:rPr>
                <w:sz w:val="18"/>
                <w:szCs w:val="18"/>
              </w:rPr>
              <w:t xml:space="preserve">6</w:t>
            </w:r>
          </w:p>
        </w:tc>
        <w:tc>
          <w:tcPr>
            <w:tcW w:w="480" w:type="dxa"/>
            <w:vAlign w:val="center"/>
          </w:tcPr>
          <w:p>
            <w:pPr>
              <w:pStyle w:val="TableText"/>
              <w:jc w:val="right"/>
            </w:pPr>
            <w:r>
              <w:rPr>
                <w:sz w:val="18"/>
                <w:szCs w:val="18"/>
              </w:rPr>
              <w:t xml:space="preserve">0.2</w:t>
            </w:r>
          </w:p>
        </w:tc>
        <w:tc>
          <w:tcPr>
            <w:tcW w:w="474" w:type="dxa"/>
            <w:vAlign w:val="center"/>
          </w:tcPr>
          <w:p>
            <w:pPr>
              <w:pStyle w:val="TableText"/>
              <w:jc w:val="right"/>
            </w:pPr>
            <w:r>
              <w:rPr>
                <w:sz w:val="18"/>
                <w:szCs w:val="18"/>
              </w:rPr>
              <w:t xml:space="preserve">–</w:t>
            </w:r>
          </w:p>
        </w:tc>
        <w:tc>
          <w:tcPr>
            <w:tcW w:w="480" w:type="dxa"/>
            <w:vAlign w:val="center"/>
          </w:tcPr>
          <w:p>
            <w:pPr>
              <w:pStyle w:val="TableText"/>
              <w:jc w:val="right"/>
            </w:pPr>
            <w:r>
              <w:rPr>
                <w:sz w:val="18"/>
                <w:szCs w:val="18"/>
              </w:rPr>
              <w:t xml:space="preserve">–</w:t>
            </w:r>
          </w:p>
        </w:tc>
        <w:tc>
          <w:tcPr>
            <w:tcW w:w="474" w:type="dxa"/>
            <w:vAlign w:val="center"/>
          </w:tcPr>
          <w:p>
            <w:pPr>
              <w:pStyle w:val="TableText"/>
              <w:jc w:val="right"/>
            </w:pPr>
            <w:r>
              <w:rPr>
                <w:sz w:val="18"/>
                <w:szCs w:val="18"/>
              </w:rPr>
              <w:t xml:space="preserve">–</w:t>
            </w:r>
          </w:p>
        </w:tc>
        <w:tc>
          <w:tcPr>
            <w:tcW w:w="480" w:type="dxa"/>
            <w:vAlign w:val="center"/>
          </w:tcPr>
          <w:p>
            <w:pPr>
              <w:pStyle w:val="TableText"/>
              <w:jc w:val="right"/>
            </w:pPr>
            <w:r>
              <w:rPr>
                <w:sz w:val="18"/>
                <w:szCs w:val="18"/>
              </w:rPr>
              <w:t xml:space="preserve">–</w:t>
            </w:r>
          </w:p>
        </w:tc>
      </w:tr>
      <w:tr>
        <w:trPr>
          <w:cantSplit/>
        </w:trPr>
        <w:tc>
          <w:tcPr>
            <w:tcW w:w="2175" w:type="dxa"/>
            <w:vAlign w:val="center"/>
          </w:tcPr>
          <w:p>
            <w:pPr>
              <w:pStyle w:val="TableText"/>
              <w:jc w:val="left"/>
            </w:pPr>
            <w:r>
              <w:rPr>
                <w:sz w:val="18"/>
                <w:szCs w:val="18"/>
              </w:rPr>
              <w:t xml:space="preserve">Noise: class-conditional</w:t>
            </w:r>
          </w:p>
        </w:tc>
        <w:tc>
          <w:tcPr>
            <w:tcW w:w="474" w:type="dxa"/>
            <w:vAlign w:val="center"/>
          </w:tcPr>
          <w:p>
            <w:pPr>
              <w:pStyle w:val="TableText"/>
              <w:jc w:val="right"/>
            </w:pPr>
            <w:r>
              <w:rPr>
                <w:sz w:val="18"/>
                <w:szCs w:val="18"/>
              </w:rPr>
              <w:t xml:space="preserve">21</w:t>
            </w:r>
          </w:p>
        </w:tc>
        <w:tc>
          <w:tcPr>
            <w:tcW w:w="480" w:type="dxa"/>
            <w:vAlign w:val="center"/>
          </w:tcPr>
          <w:p>
            <w:pPr>
              <w:pStyle w:val="TableText"/>
              <w:jc w:val="right"/>
            </w:pPr>
            <w:r>
              <w:rPr>
                <w:sz w:val="18"/>
                <w:szCs w:val="18"/>
              </w:rPr>
              <w:t xml:space="preserve">2.8</w:t>
            </w:r>
          </w:p>
        </w:tc>
        <w:tc>
          <w:tcPr>
            <w:tcW w:w="474" w:type="dxa"/>
            <w:vAlign w:val="center"/>
          </w:tcPr>
          <w:p>
            <w:pPr>
              <w:pStyle w:val="TableText"/>
              <w:jc w:val="right"/>
            </w:pPr>
            <w:r>
              <w:rPr>
                <w:sz w:val="18"/>
                <w:szCs w:val="18"/>
              </w:rPr>
              <w:t xml:space="preserve">23</w:t>
            </w:r>
          </w:p>
        </w:tc>
        <w:tc>
          <w:tcPr>
            <w:tcW w:w="480" w:type="dxa"/>
            <w:vAlign w:val="center"/>
          </w:tcPr>
          <w:p>
            <w:pPr>
              <w:pStyle w:val="TableText"/>
              <w:jc w:val="right"/>
            </w:pPr>
            <w:r>
              <w:rPr>
                <w:sz w:val="18"/>
                <w:szCs w:val="18"/>
              </w:rPr>
              <w:t xml:space="preserve">3.1</w:t>
            </w:r>
          </w:p>
        </w:tc>
        <w:tc>
          <w:tcPr>
            <w:tcW w:w="474" w:type="dxa"/>
            <w:vAlign w:val="center"/>
          </w:tcPr>
          <w:p>
            <w:pPr>
              <w:pStyle w:val="TableText"/>
              <w:jc w:val="right"/>
            </w:pPr>
            <w:r>
              <w:rPr>
                <w:sz w:val="18"/>
                <w:szCs w:val="18"/>
              </w:rPr>
              <w:t xml:space="preserve">35</w:t>
            </w:r>
          </w:p>
        </w:tc>
        <w:tc>
          <w:tcPr>
            <w:tcW w:w="480" w:type="dxa"/>
            <w:vAlign w:val="center"/>
          </w:tcPr>
          <w:p>
            <w:pPr>
              <w:pStyle w:val="TableText"/>
              <w:jc w:val="right"/>
            </w:pPr>
            <w:r>
              <w:rPr>
                <w:sz w:val="18"/>
                <w:szCs w:val="18"/>
              </w:rPr>
              <w:t xml:space="preserve">7.7</w:t>
            </w:r>
          </w:p>
        </w:tc>
        <w:tc>
          <w:tcPr>
            <w:tcW w:w="474" w:type="dxa"/>
            <w:vAlign w:val="center"/>
          </w:tcPr>
          <w:p>
            <w:pPr>
              <w:pStyle w:val="TableText"/>
              <w:jc w:val="right"/>
            </w:pPr>
            <w:r>
              <w:rPr>
                <w:sz w:val="18"/>
                <w:szCs w:val="18"/>
              </w:rPr>
              <w:t xml:space="preserve">33</w:t>
            </w:r>
          </w:p>
        </w:tc>
        <w:tc>
          <w:tcPr>
            <w:tcW w:w="480" w:type="dxa"/>
            <w:vAlign w:val="center"/>
          </w:tcPr>
          <w:p>
            <w:pPr>
              <w:pStyle w:val="TableText"/>
              <w:jc w:val="right"/>
            </w:pPr>
            <w:r>
              <w:rPr>
                <w:sz w:val="18"/>
                <w:szCs w:val="18"/>
              </w:rPr>
              <w:t xml:space="preserve">8.0</w:t>
            </w:r>
          </w:p>
        </w:tc>
      </w:tr>
    </w:tbl>
    <w:p>
      <w:pPr>
        <w:spacing w:before="0" w:after="120" w:line="240" w:lineRule="auto"/>
      </w:pPr>
    </w:p>
    <w:p>
      <w:pPr>
        <w:pStyle w:val="Normal"/>
      </w:pPr>
      <w:r>
        <w:t xml:space="preserve">Three of the five mechanisms carry over well. Selection bias is named covariate shift in 99% of ACS Income windows with LR, even though no value is distorted and the shift is spread across all features. A lower positive rate is named prior shift in 92% and concept drift in an oblique region, which no single feature bounds, is still recognized in 95%.</w:t>
      </w:r>
    </w:p>
    <w:p>
      <w:pPr>
        <w:pStyle w:val="Normal"/>
      </w:pPr>
      <w:r>
        <w:t xml:space="preserve">The other two are harder. A higher income threshold relabels some rows, yet model accuracy hardly moves (mean drop −0.3 points), so the audit stops at its first question and reports no drift in 132 of the 150 windows. This is intended: the procedure looks for drift that costs accuracy and this drift costs almost none. Class-conditional label noise is recognized in only 21% of ACS Income windows. At low flip rates the loss is too small to show in 600 labels and at high rates the errors follow the true class, which is itself correlated with the features, so the error-structure test reads the pattern as concept drift. A null model built on confidence alone cannot separate the two, a true limitation of the method.</w:t>
      </w:r>
    </w:p>
    <w:p>
      <w:pPr>
        <w:pStyle w:val="Heading3"/>
      </w:pPr>
      <w:r>
        <w:t xml:space="preserve">7.4.3 Size of the Delayed Audit</w:t>
      </w:r>
    </w:p>
    <w:p>
      <w:pPr>
        <w:pStyle w:val="Normal"/>
      </w:pPr>
      <w:r>
        <w:t xml:space="preserve">Labels cost money, so it matters how many the audit needs. We varied the audit size on ACS Income design A with LR. Fig. </w:t>
      </w:r>
      <w:r>
        <w:t xml:space="preserve">7.13</w:t>
      </w:r>
      <w:r>
        <w:t xml:space="preserve"> shows the result.</w:t>
      </w:r>
    </w:p>
    <w:p>
      <w:pPr>
        <w:pStyle w:val="FigureBody"/>
      </w:pPr>
      <w:r>
        <w:drawing>
          <wp:inline distT="0" distB="0" distL="0" distR="0">
            <wp:extent cx="3960000" cy="2646745"/>
            <wp:docPr id="1024" name="Figure 7.13" descr="Figure 7.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 name="audit_budget.png"/>
                    <pic:cNvPicPr/>
                  </pic:nvPicPr>
                  <pic:blipFill>
                    <a:blip r:embed="rIdI24"/>
                    <a:stretch>
                      <a:fillRect/>
                    </a:stretch>
                  </pic:blipFill>
                  <pic:spPr>
                    <a:xfrm>
                      <a:off x="0" y="0"/>
                      <a:ext cx="3960000" cy="2646745"/>
                    </a:xfrm>
                    <a:prstGeom prst="rect">
                      <a:avLst/>
                    </a:prstGeom>
                  </pic:spPr>
                </pic:pic>
              </a:graphicData>
            </a:graphic>
          </wp:inline>
        </w:drawing>
      </w:r>
    </w:p>
    <w:p>
      <w:pPr>
        <w:pStyle w:val="FigureCaption"/>
        <w:jc w:val="both"/>
      </w:pPr>
      <w:r>
        <w:rPr>
          <w:b/>
          <w:bCs/>
        </w:rPr>
        <w:t xml:space="preserve">Fig. 7.13: </w:t>
      </w:r>
      <w:r>
        <w:t xml:space="preserve">Share of concept drift and label noise windows identified correctly at audit sizes of 200, 600 and 1000 labels (ACS Income, design A, LR), with 95% intervals</w:t>
      </w:r>
    </w:p>
    <w:p>
      <w:pPr>
        <w:pStyle w:val="Normal"/>
      </w:pPr>
      <w:r>
        <w:t xml:space="preserve">With 200 labels concept drift is identified in 80% of windows and label noise in 79%. With 600 labels the two rates reach 95% and 87% and going on to 1,000 labels adds little (96% and 82%). The 600 labels used throughout therefore sit where more labels stop paying off.</w:t>
      </w:r>
    </w:p>
    <w:p>
      <w:pPr>
        <w:pStyle w:val="Heading3"/>
      </w:pPr>
      <w:r>
        <w:t xml:space="preserve">7.4.4 Detection and Accuracy Estimation</w:t>
      </w:r>
    </w:p>
    <w:p>
      <w:pPr>
        <w:pStyle w:val="Normal"/>
      </w:pPr>
      <w:r>
        <w:t xml:space="preserve">The diagnosis rests on the detectors and on the accuracy estimate, so both were checked on the benchmark. Table </w:t>
      </w:r>
      <w:r>
        <w:t xml:space="preserve">7.4</w:t>
      </w:r>
      <w:r>
        <w:t xml:space="preserve"> gives the alarm rate of every detector by injected type.</w:t>
      </w:r>
    </w:p>
    <w:p>
      <w:pPr>
        <w:pStyle w:val="TableCaption"/>
      </w:pPr>
      <w:r>
        <w:rPr>
          <w:b/>
          <w:bCs/>
        </w:rPr>
        <w:t xml:space="preserve">Table 7.4: </w:t>
      </w:r>
      <w:r>
        <w:t xml:space="preserve">Alarm rate of each detector by injected type on design A (%), with the 95% interval on the control windows</w:t>
      </w:r>
    </w:p>
    <w:tbl>
      <w:tblPr>
        <w:tblW w:w="585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30" w:type="dxa"/>
          <w:left w:w="80" w:type="dxa"/>
          <w:bottom w:w="30" w:type="dxa"/>
          <w:right w:w="80" w:type="dxa"/>
        </w:tblCellMar>
        <w:tblLook w:val="0000"/>
      </w:tblPr>
      <w:tblGrid>
        <w:gridCol w:w="1537"/>
        <w:gridCol w:w="1560"/>
        <w:gridCol w:w="882"/>
        <w:gridCol w:w="546"/>
        <w:gridCol w:w="768"/>
        <w:gridCol w:w="564"/>
      </w:tblGrid>
      <w:tr>
        <w:trPr>
          <w:cantSplit/>
          <w:tblHeader/>
        </w:trPr>
        <w:tc>
          <w:tcPr>
            <w:tcW w:w="1537" w:type="dxa"/>
            <w:shd w:val="clear" w:color="auto" w:fill="D9E2F3"/>
            <w:vAlign w:val="center"/>
          </w:tcPr>
          <w:p>
            <w:pPr>
              <w:pStyle w:val="TableText"/>
              <w:keepNext/>
              <w:jc w:val="center"/>
            </w:pPr>
          </w:p>
        </w:tc>
        <w:tc>
          <w:tcPr>
            <w:tcW w:w="4320" w:type="dxa"/>
            <w:gridSpan w:val="5"/>
            <w:shd w:val="clear" w:color="auto" w:fill="D9E2F3"/>
            <w:vAlign w:val="center"/>
          </w:tcPr>
          <w:p>
            <w:pPr>
              <w:pStyle w:val="TableText"/>
              <w:keepNext/>
              <w:jc w:val="center"/>
            </w:pPr>
            <w:r>
              <w:rPr>
                <w:sz w:val="19"/>
                <w:szCs w:val="19"/>
                <w:b/>
                <w:bCs/>
              </w:rPr>
              <w:t xml:space="preserve">Alarm rate (%) by injected type</w:t>
            </w:r>
          </w:p>
        </w:tc>
      </w:tr>
      <w:tr>
        <w:trPr>
          <w:cantSplit/>
          <w:tblHeader/>
        </w:trPr>
        <w:tc>
          <w:tcPr>
            <w:tcW w:w="1537" w:type="dxa"/>
            <w:shd w:val="clear" w:color="auto" w:fill="D9E2F3"/>
            <w:vAlign w:val="center"/>
          </w:tcPr>
          <w:p>
            <w:pPr>
              <w:pStyle w:val="TableText"/>
              <w:keepNext/>
              <w:jc w:val="center"/>
            </w:pPr>
            <w:r>
              <w:rPr>
                <w:sz w:val="19"/>
                <w:szCs w:val="19"/>
                <w:b/>
                <w:bCs/>
              </w:rPr>
              <w:t xml:space="preserve">Detector</w:t>
            </w:r>
          </w:p>
        </w:tc>
        <w:tc>
          <w:tcPr>
            <w:tcW w:w="1560" w:type="dxa"/>
            <w:shd w:val="clear" w:color="auto" w:fill="D9E2F3"/>
            <w:vAlign w:val="center"/>
          </w:tcPr>
          <w:p>
            <w:pPr>
              <w:pStyle w:val="TableText"/>
              <w:keepNext/>
              <w:jc w:val="center"/>
            </w:pPr>
            <w:r>
              <w:rPr>
                <w:sz w:val="19"/>
                <w:szCs w:val="19"/>
                <w:b/>
                <w:bCs/>
              </w:rPr>
              <w:t xml:space="preserve">No drift [95% CI]</w:t>
            </w:r>
          </w:p>
        </w:tc>
        <w:tc>
          <w:tcPr>
            <w:tcW w:w="882" w:type="dxa"/>
            <w:shd w:val="clear" w:color="auto" w:fill="D9E2F3"/>
            <w:vAlign w:val="center"/>
          </w:tcPr>
          <w:p>
            <w:pPr>
              <w:pStyle w:val="TableText"/>
              <w:keepNext/>
              <w:jc w:val="center"/>
            </w:pPr>
            <w:r>
              <w:rPr>
                <w:sz w:val="19"/>
                <w:szCs w:val="19"/>
                <w:b/>
                <w:bCs/>
              </w:rPr>
              <w:t xml:space="preserve">Covariate</w:t>
            </w:r>
          </w:p>
        </w:tc>
        <w:tc>
          <w:tcPr>
            <w:tcW w:w="546" w:type="dxa"/>
            <w:shd w:val="clear" w:color="auto" w:fill="D9E2F3"/>
            <w:vAlign w:val="center"/>
          </w:tcPr>
          <w:p>
            <w:pPr>
              <w:pStyle w:val="TableText"/>
              <w:keepNext/>
              <w:jc w:val="center"/>
            </w:pPr>
            <w:r>
              <w:rPr>
                <w:sz w:val="19"/>
                <w:szCs w:val="19"/>
                <w:b/>
                <w:bCs/>
              </w:rPr>
              <w:t xml:space="preserve">Prior</w:t>
            </w:r>
          </w:p>
        </w:tc>
        <w:tc>
          <w:tcPr>
            <w:tcW w:w="768" w:type="dxa"/>
            <w:shd w:val="clear" w:color="auto" w:fill="D9E2F3"/>
            <w:vAlign w:val="center"/>
          </w:tcPr>
          <w:p>
            <w:pPr>
              <w:pStyle w:val="TableText"/>
              <w:keepNext/>
              <w:jc w:val="center"/>
            </w:pPr>
            <w:r>
              <w:rPr>
                <w:sz w:val="19"/>
                <w:szCs w:val="19"/>
                <w:b/>
                <w:bCs/>
              </w:rPr>
              <w:t xml:space="preserve">Concept</w:t>
            </w:r>
          </w:p>
        </w:tc>
        <w:tc>
          <w:tcPr>
            <w:tcW w:w="564" w:type="dxa"/>
            <w:shd w:val="clear" w:color="auto" w:fill="D9E2F3"/>
            <w:vAlign w:val="center"/>
          </w:tcPr>
          <w:p>
            <w:pPr>
              <w:pStyle w:val="TableText"/>
              <w:keepNext/>
              <w:jc w:val="center"/>
            </w:pPr>
            <w:r>
              <w:rPr>
                <w:sz w:val="19"/>
                <w:szCs w:val="19"/>
                <w:b/>
                <w:bCs/>
              </w:rPr>
              <w:t xml:space="preserve">Noise</w:t>
            </w:r>
          </w:p>
        </w:tc>
      </w:tr>
      <w:tr>
        <w:trPr>
          <w:cantSplit/>
        </w:trPr>
        <w:tc>
          <w:tcPr>
            <w:tcW w:w="1537" w:type="dxa"/>
            <w:vAlign w:val="center"/>
          </w:tcPr>
          <w:p>
            <w:pPr>
              <w:pStyle w:val="TableText"/>
              <w:keepNext/>
              <w:jc w:val="left"/>
            </w:pPr>
            <w:r>
              <w:rPr>
                <w:sz w:val="19"/>
                <w:szCs w:val="19"/>
              </w:rPr>
              <w:t xml:space="preserve">KS</w:t>
            </w:r>
          </w:p>
        </w:tc>
        <w:tc>
          <w:tcPr>
            <w:tcW w:w="1560" w:type="dxa"/>
            <w:vAlign w:val="center"/>
          </w:tcPr>
          <w:p>
            <w:pPr>
              <w:pStyle w:val="TableText"/>
              <w:keepNext/>
              <w:jc w:val="right"/>
            </w:pPr>
            <w:r>
              <w:rPr>
                <w:sz w:val="19"/>
                <w:szCs w:val="19"/>
              </w:rPr>
              <w:t xml:space="preserve">1.0 [0.3, 3.6]</w:t>
            </w:r>
          </w:p>
        </w:tc>
        <w:tc>
          <w:tcPr>
            <w:tcW w:w="882" w:type="dxa"/>
            <w:vAlign w:val="center"/>
          </w:tcPr>
          <w:p>
            <w:pPr>
              <w:pStyle w:val="TableText"/>
              <w:keepNext/>
              <w:jc w:val="right"/>
            </w:pPr>
            <w:r>
              <w:rPr>
                <w:sz w:val="19"/>
                <w:szCs w:val="19"/>
              </w:rPr>
              <w:t xml:space="preserve">100.0</w:t>
            </w:r>
          </w:p>
        </w:tc>
        <w:tc>
          <w:tcPr>
            <w:tcW w:w="546" w:type="dxa"/>
            <w:vAlign w:val="center"/>
          </w:tcPr>
          <w:p>
            <w:pPr>
              <w:pStyle w:val="TableText"/>
              <w:keepNext/>
              <w:jc w:val="right"/>
            </w:pPr>
            <w:r>
              <w:rPr>
                <w:sz w:val="19"/>
                <w:szCs w:val="19"/>
              </w:rPr>
              <w:t xml:space="preserve">100.0</w:t>
            </w:r>
          </w:p>
        </w:tc>
        <w:tc>
          <w:tcPr>
            <w:tcW w:w="768" w:type="dxa"/>
            <w:vAlign w:val="center"/>
          </w:tcPr>
          <w:p>
            <w:pPr>
              <w:pStyle w:val="TableText"/>
              <w:keepNext/>
              <w:jc w:val="right"/>
            </w:pPr>
            <w:r>
              <w:rPr>
                <w:sz w:val="19"/>
                <w:szCs w:val="19"/>
              </w:rPr>
              <w:t xml:space="preserve">1.0</w:t>
            </w:r>
          </w:p>
        </w:tc>
        <w:tc>
          <w:tcPr>
            <w:tcW w:w="564" w:type="dxa"/>
            <w:vAlign w:val="center"/>
          </w:tcPr>
          <w:p>
            <w:pPr>
              <w:pStyle w:val="TableText"/>
              <w:keepNext/>
              <w:jc w:val="right"/>
            </w:pPr>
            <w:r>
              <w:rPr>
                <w:sz w:val="19"/>
                <w:szCs w:val="19"/>
              </w:rPr>
              <w:t xml:space="preserve">1.0</w:t>
            </w:r>
          </w:p>
        </w:tc>
      </w:tr>
      <w:tr>
        <w:trPr>
          <w:cantSplit/>
        </w:trPr>
        <w:tc>
          <w:tcPr>
            <w:tcW w:w="1537" w:type="dxa"/>
            <w:vAlign w:val="center"/>
          </w:tcPr>
          <w:p>
            <w:pPr>
              <w:pStyle w:val="TableText"/>
              <w:jc w:val="left"/>
            </w:pPr>
            <w:r>
              <w:rPr>
                <w:sz w:val="19"/>
                <w:szCs w:val="19"/>
              </w:rPr>
              <w:t xml:space="preserve">PSI</w:t>
            </w:r>
          </w:p>
        </w:tc>
        <w:tc>
          <w:tcPr>
            <w:tcW w:w="1560" w:type="dxa"/>
            <w:vAlign w:val="center"/>
          </w:tcPr>
          <w:p>
            <w:pPr>
              <w:pStyle w:val="TableText"/>
              <w:jc w:val="right"/>
            </w:pPr>
            <w:r>
              <w:rPr>
                <w:sz w:val="19"/>
                <w:szCs w:val="19"/>
              </w:rPr>
              <w:t xml:space="preserve">0.0 [0.0, 1.9]</w:t>
            </w:r>
          </w:p>
        </w:tc>
        <w:tc>
          <w:tcPr>
            <w:tcW w:w="882" w:type="dxa"/>
            <w:vAlign w:val="center"/>
          </w:tcPr>
          <w:p>
            <w:pPr>
              <w:pStyle w:val="TableText"/>
              <w:jc w:val="right"/>
            </w:pPr>
            <w:r>
              <w:rPr>
                <w:sz w:val="19"/>
                <w:szCs w:val="19"/>
              </w:rPr>
              <w:t xml:space="preserve">99.7</w:t>
            </w:r>
          </w:p>
        </w:tc>
        <w:tc>
          <w:tcPr>
            <w:tcW w:w="546" w:type="dxa"/>
            <w:vAlign w:val="center"/>
          </w:tcPr>
          <w:p>
            <w:pPr>
              <w:pStyle w:val="TableText"/>
              <w:jc w:val="right"/>
            </w:pPr>
            <w:r>
              <w:rPr>
                <w:sz w:val="19"/>
                <w:szCs w:val="19"/>
              </w:rPr>
              <w:t xml:space="preserve">0.3</w:t>
            </w:r>
          </w:p>
        </w:tc>
        <w:tc>
          <w:tcPr>
            <w:tcW w:w="768" w:type="dxa"/>
            <w:vAlign w:val="center"/>
          </w:tcPr>
          <w:p>
            <w:pPr>
              <w:pStyle w:val="TableText"/>
              <w:jc w:val="right"/>
            </w:pPr>
            <w:r>
              <w:rPr>
                <w:sz w:val="19"/>
                <w:szCs w:val="19"/>
              </w:rPr>
              <w:t xml:space="preserve">0.0</w:t>
            </w:r>
          </w:p>
        </w:tc>
        <w:tc>
          <w:tcPr>
            <w:tcW w:w="564" w:type="dxa"/>
            <w:vAlign w:val="center"/>
          </w:tcPr>
          <w:p>
            <w:pPr>
              <w:pStyle w:val="TableText"/>
              <w:jc w:val="right"/>
            </w:pPr>
            <w:r>
              <w:rPr>
                <w:sz w:val="19"/>
                <w:szCs w:val="19"/>
              </w:rPr>
              <w:t xml:space="preserve">0.0</w:t>
            </w:r>
          </w:p>
        </w:tc>
      </w:tr>
      <w:tr>
        <w:trPr>
          <w:cantSplit/>
        </w:trPr>
        <w:tc>
          <w:tcPr>
            <w:tcW w:w="1537" w:type="dxa"/>
            <w:vAlign w:val="center"/>
          </w:tcPr>
          <w:p>
            <w:pPr>
              <w:pStyle w:val="TableText"/>
              <w:jc w:val="left"/>
            </w:pPr>
            <w:r>
              <w:rPr>
                <w:sz w:val="19"/>
                <w:szCs w:val="19"/>
              </w:rPr>
              <w:t xml:space="preserve">MMD</w:t>
            </w:r>
          </w:p>
        </w:tc>
        <w:tc>
          <w:tcPr>
            <w:tcW w:w="1560" w:type="dxa"/>
            <w:vAlign w:val="center"/>
          </w:tcPr>
          <w:p>
            <w:pPr>
              <w:pStyle w:val="TableText"/>
              <w:jc w:val="right"/>
            </w:pPr>
            <w:r>
              <w:rPr>
                <w:sz w:val="19"/>
                <w:szCs w:val="19"/>
              </w:rPr>
              <w:t xml:space="preserve">7.0 [4.2, 11.4]</w:t>
            </w:r>
          </w:p>
        </w:tc>
        <w:tc>
          <w:tcPr>
            <w:tcW w:w="882" w:type="dxa"/>
            <w:vAlign w:val="center"/>
          </w:tcPr>
          <w:p>
            <w:pPr>
              <w:pStyle w:val="TableText"/>
              <w:jc w:val="right"/>
            </w:pPr>
            <w:r>
              <w:rPr>
                <w:sz w:val="19"/>
                <w:szCs w:val="19"/>
              </w:rPr>
              <w:t xml:space="preserve">100.0</w:t>
            </w:r>
          </w:p>
        </w:tc>
        <w:tc>
          <w:tcPr>
            <w:tcW w:w="546" w:type="dxa"/>
            <w:vAlign w:val="center"/>
          </w:tcPr>
          <w:p>
            <w:pPr>
              <w:pStyle w:val="TableText"/>
              <w:jc w:val="right"/>
            </w:pPr>
            <w:r>
              <w:rPr>
                <w:sz w:val="19"/>
                <w:szCs w:val="19"/>
              </w:rPr>
              <w:t xml:space="preserve">100.0</w:t>
            </w:r>
          </w:p>
        </w:tc>
        <w:tc>
          <w:tcPr>
            <w:tcW w:w="768" w:type="dxa"/>
            <w:vAlign w:val="center"/>
          </w:tcPr>
          <w:p>
            <w:pPr>
              <w:pStyle w:val="TableText"/>
              <w:jc w:val="right"/>
            </w:pPr>
            <w:r>
              <w:rPr>
                <w:sz w:val="19"/>
                <w:szCs w:val="19"/>
              </w:rPr>
              <w:t xml:space="preserve">7.0</w:t>
            </w:r>
          </w:p>
        </w:tc>
        <w:tc>
          <w:tcPr>
            <w:tcW w:w="564" w:type="dxa"/>
            <w:vAlign w:val="center"/>
          </w:tcPr>
          <w:p>
            <w:pPr>
              <w:pStyle w:val="TableText"/>
              <w:jc w:val="right"/>
            </w:pPr>
            <w:r>
              <w:rPr>
                <w:sz w:val="19"/>
                <w:szCs w:val="19"/>
              </w:rPr>
              <w:t xml:space="preserve">7.0</w:t>
            </w:r>
          </w:p>
        </w:tc>
      </w:tr>
      <w:tr>
        <w:trPr>
          <w:cantSplit/>
        </w:trPr>
        <w:tc>
          <w:tcPr>
            <w:tcW w:w="1537" w:type="dxa"/>
            <w:vAlign w:val="center"/>
          </w:tcPr>
          <w:p>
            <w:pPr>
              <w:pStyle w:val="TableText"/>
              <w:jc w:val="left"/>
            </w:pPr>
            <w:r>
              <w:rPr>
                <w:sz w:val="19"/>
                <w:szCs w:val="19"/>
              </w:rPr>
              <w:t xml:space="preserve">Confidence</w:t>
            </w:r>
          </w:p>
        </w:tc>
        <w:tc>
          <w:tcPr>
            <w:tcW w:w="1560" w:type="dxa"/>
            <w:vAlign w:val="center"/>
          </w:tcPr>
          <w:p>
            <w:pPr>
              <w:pStyle w:val="TableText"/>
              <w:jc w:val="right"/>
            </w:pPr>
            <w:r>
              <w:rPr>
                <w:sz w:val="19"/>
                <w:szCs w:val="19"/>
              </w:rPr>
              <w:t xml:space="preserve">5.0 [2.7, 9.0]</w:t>
            </w:r>
          </w:p>
        </w:tc>
        <w:tc>
          <w:tcPr>
            <w:tcW w:w="882" w:type="dxa"/>
            <w:vAlign w:val="center"/>
          </w:tcPr>
          <w:p>
            <w:pPr>
              <w:pStyle w:val="TableText"/>
              <w:jc w:val="right"/>
            </w:pPr>
            <w:r>
              <w:rPr>
                <w:sz w:val="19"/>
                <w:szCs w:val="19"/>
              </w:rPr>
              <w:t xml:space="preserve">93.8</w:t>
            </w:r>
          </w:p>
        </w:tc>
        <w:tc>
          <w:tcPr>
            <w:tcW w:w="546" w:type="dxa"/>
            <w:vAlign w:val="center"/>
          </w:tcPr>
          <w:p>
            <w:pPr>
              <w:pStyle w:val="TableText"/>
              <w:jc w:val="right"/>
            </w:pPr>
            <w:r>
              <w:rPr>
                <w:sz w:val="19"/>
                <w:szCs w:val="19"/>
              </w:rPr>
              <w:t xml:space="preserve">86.7</w:t>
            </w:r>
          </w:p>
        </w:tc>
        <w:tc>
          <w:tcPr>
            <w:tcW w:w="768" w:type="dxa"/>
            <w:vAlign w:val="center"/>
          </w:tcPr>
          <w:p>
            <w:pPr>
              <w:pStyle w:val="TableText"/>
              <w:jc w:val="right"/>
            </w:pPr>
            <w:r>
              <w:rPr>
                <w:sz w:val="19"/>
                <w:szCs w:val="19"/>
              </w:rPr>
              <w:t xml:space="preserve">5.0</w:t>
            </w:r>
          </w:p>
        </w:tc>
        <w:tc>
          <w:tcPr>
            <w:tcW w:w="564" w:type="dxa"/>
            <w:vAlign w:val="center"/>
          </w:tcPr>
          <w:p>
            <w:pPr>
              <w:pStyle w:val="TableText"/>
              <w:jc w:val="right"/>
            </w:pPr>
            <w:r>
              <w:rPr>
                <w:sz w:val="19"/>
                <w:szCs w:val="19"/>
              </w:rPr>
              <w:t xml:space="preserve">5.0</w:t>
            </w:r>
          </w:p>
        </w:tc>
      </w:tr>
      <w:tr>
        <w:trPr>
          <w:cantSplit/>
        </w:trPr>
        <w:tc>
          <w:tcPr>
            <w:tcW w:w="1537" w:type="dxa"/>
            <w:vAlign w:val="center"/>
          </w:tcPr>
          <w:p>
            <w:pPr>
              <w:pStyle w:val="TableText"/>
              <w:jc w:val="left"/>
            </w:pPr>
            <w:r>
              <w:rPr>
                <w:sz w:val="19"/>
                <w:szCs w:val="19"/>
              </w:rPr>
              <w:t xml:space="preserve">BBSD</w:t>
            </w:r>
          </w:p>
        </w:tc>
        <w:tc>
          <w:tcPr>
            <w:tcW w:w="1560" w:type="dxa"/>
            <w:vAlign w:val="center"/>
          </w:tcPr>
          <w:p>
            <w:pPr>
              <w:pStyle w:val="TableText"/>
              <w:jc w:val="right"/>
            </w:pPr>
            <w:r>
              <w:rPr>
                <w:sz w:val="19"/>
                <w:szCs w:val="19"/>
              </w:rPr>
              <w:t xml:space="preserve">2.5 [1.1, 5.7]</w:t>
            </w:r>
          </w:p>
        </w:tc>
        <w:tc>
          <w:tcPr>
            <w:tcW w:w="882" w:type="dxa"/>
            <w:vAlign w:val="center"/>
          </w:tcPr>
          <w:p>
            <w:pPr>
              <w:pStyle w:val="TableText"/>
              <w:jc w:val="right"/>
            </w:pPr>
            <w:r>
              <w:rPr>
                <w:sz w:val="19"/>
                <w:szCs w:val="19"/>
              </w:rPr>
              <w:t xml:space="preserve">100.0</w:t>
            </w:r>
          </w:p>
        </w:tc>
        <w:tc>
          <w:tcPr>
            <w:tcW w:w="546" w:type="dxa"/>
            <w:vAlign w:val="center"/>
          </w:tcPr>
          <w:p>
            <w:pPr>
              <w:pStyle w:val="TableText"/>
              <w:jc w:val="right"/>
            </w:pPr>
            <w:r>
              <w:rPr>
                <w:sz w:val="19"/>
                <w:szCs w:val="19"/>
              </w:rPr>
              <w:t xml:space="preserve">100.0</w:t>
            </w:r>
          </w:p>
        </w:tc>
        <w:tc>
          <w:tcPr>
            <w:tcW w:w="768" w:type="dxa"/>
            <w:vAlign w:val="center"/>
          </w:tcPr>
          <w:p>
            <w:pPr>
              <w:pStyle w:val="TableText"/>
              <w:jc w:val="right"/>
            </w:pPr>
            <w:r>
              <w:rPr>
                <w:sz w:val="19"/>
                <w:szCs w:val="19"/>
              </w:rPr>
              <w:t xml:space="preserve">2.5</w:t>
            </w:r>
          </w:p>
        </w:tc>
        <w:tc>
          <w:tcPr>
            <w:tcW w:w="564" w:type="dxa"/>
            <w:vAlign w:val="center"/>
          </w:tcPr>
          <w:p>
            <w:pPr>
              <w:pStyle w:val="TableText"/>
              <w:jc w:val="right"/>
            </w:pPr>
            <w:r>
              <w:rPr>
                <w:sz w:val="19"/>
                <w:szCs w:val="19"/>
              </w:rPr>
              <w:t xml:space="preserve">2.5</w:t>
            </w:r>
          </w:p>
        </w:tc>
      </w:tr>
      <w:tr>
        <w:trPr>
          <w:cantSplit/>
        </w:trPr>
        <w:tc>
          <w:tcPr>
            <w:tcW w:w="1537" w:type="dxa"/>
            <w:vAlign w:val="center"/>
          </w:tcPr>
          <w:p>
            <w:pPr>
              <w:pStyle w:val="TableText"/>
              <w:jc w:val="left"/>
            </w:pPr>
            <w:r>
              <w:rPr>
                <w:sz w:val="19"/>
                <w:szCs w:val="19"/>
              </w:rPr>
              <w:t xml:space="preserve">Domain classifier</w:t>
            </w:r>
          </w:p>
        </w:tc>
        <w:tc>
          <w:tcPr>
            <w:tcW w:w="1560" w:type="dxa"/>
            <w:vAlign w:val="center"/>
          </w:tcPr>
          <w:p>
            <w:pPr>
              <w:pStyle w:val="TableText"/>
              <w:jc w:val="right"/>
            </w:pPr>
            <w:r>
              <w:rPr>
                <w:sz w:val="19"/>
                <w:szCs w:val="19"/>
              </w:rPr>
              <w:t xml:space="preserve">6.0 [3.5, 10.2]</w:t>
            </w:r>
          </w:p>
        </w:tc>
        <w:tc>
          <w:tcPr>
            <w:tcW w:w="882" w:type="dxa"/>
            <w:vAlign w:val="center"/>
          </w:tcPr>
          <w:p>
            <w:pPr>
              <w:pStyle w:val="TableText"/>
              <w:jc w:val="right"/>
            </w:pPr>
            <w:r>
              <w:rPr>
                <w:sz w:val="19"/>
                <w:szCs w:val="19"/>
              </w:rPr>
              <w:t xml:space="preserve">100.0</w:t>
            </w:r>
          </w:p>
        </w:tc>
        <w:tc>
          <w:tcPr>
            <w:tcW w:w="546" w:type="dxa"/>
            <w:vAlign w:val="center"/>
          </w:tcPr>
          <w:p>
            <w:pPr>
              <w:pStyle w:val="TableText"/>
              <w:jc w:val="right"/>
            </w:pPr>
            <w:r>
              <w:rPr>
                <w:sz w:val="19"/>
                <w:szCs w:val="19"/>
              </w:rPr>
              <w:t xml:space="preserve">72.0</w:t>
            </w:r>
          </w:p>
        </w:tc>
        <w:tc>
          <w:tcPr>
            <w:tcW w:w="768" w:type="dxa"/>
            <w:vAlign w:val="center"/>
          </w:tcPr>
          <w:p>
            <w:pPr>
              <w:pStyle w:val="TableText"/>
              <w:jc w:val="right"/>
            </w:pPr>
            <w:r>
              <w:rPr>
                <w:sz w:val="19"/>
                <w:szCs w:val="19"/>
              </w:rPr>
              <w:t xml:space="preserve">6.0</w:t>
            </w:r>
          </w:p>
        </w:tc>
        <w:tc>
          <w:tcPr>
            <w:tcW w:w="564" w:type="dxa"/>
            <w:vAlign w:val="center"/>
          </w:tcPr>
          <w:p>
            <w:pPr>
              <w:pStyle w:val="TableText"/>
              <w:jc w:val="right"/>
            </w:pPr>
            <w:r>
              <w:rPr>
                <w:sz w:val="19"/>
                <w:szCs w:val="19"/>
              </w:rPr>
              <w:t xml:space="preserve">6.0</w:t>
            </w:r>
          </w:p>
        </w:tc>
      </w:tr>
    </w:tbl>
    <w:p>
      <w:pPr>
        <w:spacing w:before="0" w:after="120" w:line="240" w:lineRule="auto"/>
      </w:pPr>
    </w:p>
    <w:p>
      <w:pPr>
        <w:pStyle w:val="Normal"/>
      </w:pPr>
      <w:r>
        <w:t xml:space="preserve">On the 200 control windows the 95% interval of every detector’s false alarm rate contains α = 0.05 or lies below it. All detectors catch covariate shift and all except PSI catch most prior shifts. In concept drift and label noise windows the inputs are the same as in the control window of their replicate, so no detector can see them; their alarm rates equal the control rates. This is why the audit is needed. Table </w:t>
      </w:r>
      <w:r>
        <w:t xml:space="preserve">7.5</w:t>
      </w:r>
      <w:r>
        <w:t xml:space="preserve"> compares the four accuracy estimates.</w:t>
      </w:r>
    </w:p>
    <w:p>
      <w:pPr>
        <w:pStyle w:val="TableCaption"/>
      </w:pPr>
      <w:r>
        <w:rPr>
          <w:b/>
          <w:bCs/>
        </w:rPr>
        <w:t xml:space="preserve">Table 7.5: </w:t>
      </w:r>
      <w:r>
        <w:t xml:space="preserve">Mean absolute error of the four accuracy estimates (percentage points); the best value in each column is in bold</w:t>
      </w:r>
    </w:p>
    <w:tbl>
      <w:tblPr>
        <w:tblW w:w="742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30" w:type="dxa"/>
          <w:left w:w="80" w:type="dxa"/>
          <w:bottom w:w="30" w:type="dxa"/>
          <w:right w:w="80" w:type="dxa"/>
        </w:tblCellMar>
        <w:tblLook w:val="0000"/>
      </w:tblPr>
      <w:tblGrid>
        <w:gridCol w:w="882"/>
        <w:gridCol w:w="739"/>
        <w:gridCol w:w="882"/>
        <w:gridCol w:w="495"/>
        <w:gridCol w:w="1305"/>
        <w:gridCol w:w="849"/>
        <w:gridCol w:w="973"/>
        <w:gridCol w:w="546"/>
        <w:gridCol w:w="757"/>
      </w:tblGrid>
      <w:tr>
        <w:trPr>
          <w:cantSplit/>
          <w:tblHeader/>
        </w:trPr>
        <w:tc>
          <w:tcPr>
            <w:tcW w:w="882" w:type="dxa"/>
            <w:shd w:val="clear" w:color="auto" w:fill="D9E2F3"/>
            <w:vAlign w:val="center"/>
          </w:tcPr>
          <w:p>
            <w:pPr>
              <w:pStyle w:val="TableText"/>
              <w:keepNext/>
              <w:jc w:val="center"/>
            </w:pPr>
          </w:p>
        </w:tc>
        <w:tc>
          <w:tcPr>
            <w:tcW w:w="3421" w:type="dxa"/>
            <w:gridSpan w:val="4"/>
            <w:shd w:val="clear" w:color="auto" w:fill="D9E2F3"/>
            <w:vAlign w:val="center"/>
          </w:tcPr>
          <w:p>
            <w:pPr>
              <w:pStyle w:val="TableText"/>
              <w:keepNext/>
              <w:jc w:val="center"/>
            </w:pPr>
            <w:r>
              <w:rPr>
                <w:sz w:val="19"/>
                <w:szCs w:val="19"/>
                <w:b/>
                <w:bCs/>
              </w:rPr>
              <w:t xml:space="preserve">Benchmark, design A</w:t>
            </w:r>
          </w:p>
        </w:tc>
        <w:tc>
          <w:tcPr>
            <w:tcW w:w="3125" w:type="dxa"/>
            <w:gridSpan w:val="4"/>
            <w:shd w:val="clear" w:color="auto" w:fill="D9E2F3"/>
            <w:vAlign w:val="center"/>
          </w:tcPr>
          <w:p>
            <w:pPr>
              <w:pStyle w:val="TableText"/>
              <w:keepNext/>
              <w:jc w:val="center"/>
            </w:pPr>
            <w:r>
              <w:rPr>
                <w:sz w:val="19"/>
                <w:szCs w:val="19"/>
                <w:b/>
                <w:bCs/>
              </w:rPr>
              <w:t xml:space="preserve">Real windows</w:t>
            </w:r>
          </w:p>
        </w:tc>
      </w:tr>
      <w:tr>
        <w:trPr>
          <w:cantSplit/>
          <w:tblHeader/>
        </w:trPr>
        <w:tc>
          <w:tcPr>
            <w:tcW w:w="882" w:type="dxa"/>
            <w:shd w:val="clear" w:color="auto" w:fill="D9E2F3"/>
            <w:vAlign w:val="center"/>
          </w:tcPr>
          <w:p>
            <w:pPr>
              <w:pStyle w:val="TableText"/>
              <w:keepNext/>
              <w:jc w:val="center"/>
            </w:pPr>
            <w:r>
              <w:rPr>
                <w:sz w:val="19"/>
                <w:szCs w:val="19"/>
                <w:b/>
                <w:bCs/>
              </w:rPr>
              <w:t xml:space="preserve">Estimator</w:t>
            </w:r>
          </w:p>
        </w:tc>
        <w:tc>
          <w:tcPr>
            <w:tcW w:w="739" w:type="dxa"/>
            <w:shd w:val="clear" w:color="auto" w:fill="D9E2F3"/>
            <w:vAlign w:val="center"/>
          </w:tcPr>
          <w:p>
            <w:pPr>
              <w:pStyle w:val="TableText"/>
              <w:keepNext/>
              <w:jc w:val="center"/>
            </w:pPr>
            <w:r>
              <w:rPr>
                <w:sz w:val="19"/>
                <w:szCs w:val="19"/>
                <w:b/>
                <w:bCs/>
              </w:rPr>
              <w:t xml:space="preserve">No drift</w:t>
            </w:r>
          </w:p>
        </w:tc>
        <w:tc>
          <w:tcPr>
            <w:tcW w:w="882" w:type="dxa"/>
            <w:shd w:val="clear" w:color="auto" w:fill="D9E2F3"/>
            <w:vAlign w:val="center"/>
          </w:tcPr>
          <w:p>
            <w:pPr>
              <w:pStyle w:val="TableText"/>
              <w:keepNext/>
              <w:jc w:val="center"/>
            </w:pPr>
            <w:r>
              <w:rPr>
                <w:sz w:val="19"/>
                <w:szCs w:val="19"/>
                <w:b/>
                <w:bCs/>
              </w:rPr>
              <w:t xml:space="preserve">Covariate</w:t>
            </w:r>
          </w:p>
        </w:tc>
        <w:tc>
          <w:tcPr>
            <w:tcW w:w="495" w:type="dxa"/>
            <w:shd w:val="clear" w:color="auto" w:fill="D9E2F3"/>
            <w:vAlign w:val="center"/>
          </w:tcPr>
          <w:p>
            <w:pPr>
              <w:pStyle w:val="TableText"/>
              <w:keepNext/>
              <w:jc w:val="center"/>
            </w:pPr>
            <w:r>
              <w:rPr>
                <w:sz w:val="19"/>
                <w:szCs w:val="19"/>
                <w:b/>
                <w:bCs/>
              </w:rPr>
              <w:t xml:space="preserve">Prior</w:t>
            </w:r>
          </w:p>
        </w:tc>
        <w:tc>
          <w:tcPr>
            <w:tcW w:w="1305" w:type="dxa"/>
            <w:shd w:val="clear" w:color="auto" w:fill="D9E2F3"/>
            <w:vAlign w:val="center"/>
          </w:tcPr>
          <w:p>
            <w:pPr>
              <w:pStyle w:val="TableText"/>
              <w:keepNext/>
              <w:jc w:val="center"/>
            </w:pPr>
            <w:r>
              <w:rPr>
                <w:sz w:val="19"/>
                <w:szCs w:val="19"/>
                <w:b/>
                <w:bCs/>
              </w:rPr>
              <w:t xml:space="preserve">Concept, noise</w:t>
            </w:r>
          </w:p>
        </w:tc>
        <w:tc>
          <w:tcPr>
            <w:tcW w:w="849" w:type="dxa"/>
            <w:shd w:val="clear" w:color="auto" w:fill="D9E2F3"/>
            <w:vAlign w:val="center"/>
          </w:tcPr>
          <w:p>
            <w:pPr>
              <w:pStyle w:val="TableText"/>
              <w:keepNext/>
              <w:jc w:val="center"/>
            </w:pPr>
            <w:r>
              <w:rPr>
                <w:sz w:val="19"/>
                <w:szCs w:val="19"/>
                <w:b/>
                <w:bCs/>
              </w:rPr>
              <w:t xml:space="preserve">ACS Inc.</w:t>
            </w:r>
          </w:p>
        </w:tc>
        <w:tc>
          <w:tcPr>
            <w:tcW w:w="973" w:type="dxa"/>
            <w:shd w:val="clear" w:color="auto" w:fill="D9E2F3"/>
            <w:vAlign w:val="center"/>
          </w:tcPr>
          <w:p>
            <w:pPr>
              <w:pStyle w:val="TableText"/>
              <w:keepNext/>
              <w:jc w:val="center"/>
            </w:pPr>
            <w:r>
              <w:rPr>
                <w:sz w:val="19"/>
                <w:szCs w:val="19"/>
                <w:b/>
                <w:bCs/>
              </w:rPr>
              <w:t xml:space="preserve">ACS Emp.</w:t>
            </w:r>
          </w:p>
        </w:tc>
        <w:tc>
          <w:tcPr>
            <w:tcW w:w="546" w:type="dxa"/>
            <w:shd w:val="clear" w:color="auto" w:fill="D9E2F3"/>
            <w:vAlign w:val="center"/>
          </w:tcPr>
          <w:p>
            <w:pPr>
              <w:pStyle w:val="TableText"/>
              <w:keepNext/>
              <w:jc w:val="center"/>
            </w:pPr>
            <w:r>
              <w:rPr>
                <w:sz w:val="19"/>
                <w:szCs w:val="19"/>
                <w:b/>
                <w:bCs/>
              </w:rPr>
              <w:t xml:space="preserve">Gas</w:t>
            </w:r>
          </w:p>
        </w:tc>
        <w:tc>
          <w:tcPr>
            <w:tcW w:w="757" w:type="dxa"/>
            <w:shd w:val="clear" w:color="auto" w:fill="D9E2F3"/>
            <w:vAlign w:val="center"/>
          </w:tcPr>
          <w:p>
            <w:pPr>
              <w:pStyle w:val="TableText"/>
              <w:keepNext/>
              <w:jc w:val="center"/>
            </w:pPr>
            <w:r>
              <w:rPr>
                <w:sz w:val="19"/>
                <w:szCs w:val="19"/>
                <w:b/>
                <w:bCs/>
              </w:rPr>
              <w:t xml:space="preserve">CLEAR</w:t>
            </w:r>
          </w:p>
        </w:tc>
      </w:tr>
      <w:tr>
        <w:trPr>
          <w:cantSplit/>
        </w:trPr>
        <w:tc>
          <w:tcPr>
            <w:tcW w:w="882" w:type="dxa"/>
            <w:vAlign w:val="center"/>
          </w:tcPr>
          <w:p>
            <w:pPr>
              <w:pStyle w:val="TableText"/>
              <w:keepNext/>
              <w:jc w:val="left"/>
            </w:pPr>
            <w:r>
              <w:rPr>
                <w:sz w:val="19"/>
                <w:szCs w:val="19"/>
              </w:rPr>
              <w:t xml:space="preserve">CBPE</w:t>
            </w:r>
          </w:p>
        </w:tc>
        <w:tc>
          <w:tcPr>
            <w:tcW w:w="739" w:type="dxa"/>
            <w:vAlign w:val="center"/>
          </w:tcPr>
          <w:p>
            <w:pPr>
              <w:pStyle w:val="TableText"/>
              <w:keepNext/>
              <w:jc w:val="right"/>
            </w:pPr>
            <w:r>
              <w:rPr>
                <w:sz w:val="19"/>
                <w:szCs w:val="19"/>
                <w:b/>
                <w:bCs/>
              </w:rPr>
              <w:t xml:space="preserve">0.50</w:t>
            </w:r>
          </w:p>
        </w:tc>
        <w:tc>
          <w:tcPr>
            <w:tcW w:w="882" w:type="dxa"/>
            <w:vAlign w:val="center"/>
          </w:tcPr>
          <w:p>
            <w:pPr>
              <w:pStyle w:val="TableText"/>
              <w:keepNext/>
              <w:jc w:val="right"/>
            </w:pPr>
            <w:r>
              <w:rPr>
                <w:sz w:val="19"/>
                <w:szCs w:val="19"/>
                <w:b/>
                <w:bCs/>
              </w:rPr>
              <w:t xml:space="preserve">9.20</w:t>
            </w:r>
          </w:p>
        </w:tc>
        <w:tc>
          <w:tcPr>
            <w:tcW w:w="495" w:type="dxa"/>
            <w:vAlign w:val="center"/>
          </w:tcPr>
          <w:p>
            <w:pPr>
              <w:pStyle w:val="TableText"/>
              <w:keepNext/>
              <w:jc w:val="right"/>
            </w:pPr>
            <w:r>
              <w:rPr>
                <w:sz w:val="19"/>
                <w:szCs w:val="19"/>
              </w:rPr>
              <w:t xml:space="preserve">3.15</w:t>
            </w:r>
          </w:p>
        </w:tc>
        <w:tc>
          <w:tcPr>
            <w:tcW w:w="1305" w:type="dxa"/>
            <w:vAlign w:val="center"/>
          </w:tcPr>
          <w:p>
            <w:pPr>
              <w:pStyle w:val="TableText"/>
              <w:keepNext/>
              <w:jc w:val="right"/>
            </w:pPr>
            <w:r>
              <w:rPr>
                <w:sz w:val="19"/>
                <w:szCs w:val="19"/>
              </w:rPr>
              <w:t xml:space="preserve">14.71</w:t>
            </w:r>
          </w:p>
        </w:tc>
        <w:tc>
          <w:tcPr>
            <w:tcW w:w="849" w:type="dxa"/>
            <w:vAlign w:val="center"/>
          </w:tcPr>
          <w:p>
            <w:pPr>
              <w:pStyle w:val="TableText"/>
              <w:keepNext/>
              <w:jc w:val="right"/>
            </w:pPr>
            <w:r>
              <w:rPr>
                <w:sz w:val="19"/>
                <w:szCs w:val="19"/>
              </w:rPr>
              <w:t xml:space="preserve">1.86</w:t>
            </w:r>
          </w:p>
        </w:tc>
        <w:tc>
          <w:tcPr>
            <w:tcW w:w="973" w:type="dxa"/>
            <w:vAlign w:val="center"/>
          </w:tcPr>
          <w:p>
            <w:pPr>
              <w:pStyle w:val="TableText"/>
              <w:keepNext/>
              <w:jc w:val="right"/>
            </w:pPr>
            <w:r>
              <w:rPr>
                <w:sz w:val="19"/>
                <w:szCs w:val="19"/>
              </w:rPr>
              <w:t xml:space="preserve">1.06</w:t>
            </w:r>
          </w:p>
        </w:tc>
        <w:tc>
          <w:tcPr>
            <w:tcW w:w="546" w:type="dxa"/>
            <w:vAlign w:val="center"/>
          </w:tcPr>
          <w:p>
            <w:pPr>
              <w:pStyle w:val="TableText"/>
              <w:keepNext/>
              <w:jc w:val="right"/>
            </w:pPr>
            <w:r>
              <w:rPr>
                <w:sz w:val="19"/>
                <w:szCs w:val="19"/>
              </w:rPr>
              <w:t xml:space="preserve">30.98</w:t>
            </w:r>
          </w:p>
        </w:tc>
        <w:tc>
          <w:tcPr>
            <w:tcW w:w="757" w:type="dxa"/>
            <w:vAlign w:val="center"/>
          </w:tcPr>
          <w:p>
            <w:pPr>
              <w:pStyle w:val="TableText"/>
              <w:keepNext/>
              <w:jc w:val="right"/>
            </w:pPr>
            <w:r>
              <w:rPr>
                <w:sz w:val="19"/>
                <w:szCs w:val="19"/>
              </w:rPr>
              <w:t xml:space="preserve">0.82</w:t>
            </w:r>
          </w:p>
        </w:tc>
      </w:tr>
      <w:tr>
        <w:trPr>
          <w:cantSplit/>
        </w:trPr>
        <w:tc>
          <w:tcPr>
            <w:tcW w:w="882" w:type="dxa"/>
            <w:vAlign w:val="center"/>
          </w:tcPr>
          <w:p>
            <w:pPr>
              <w:pStyle w:val="TableText"/>
              <w:jc w:val="left"/>
            </w:pPr>
            <w:r>
              <w:rPr>
                <w:sz w:val="19"/>
                <w:szCs w:val="19"/>
              </w:rPr>
              <w:t xml:space="preserve">AC</w:t>
            </w:r>
          </w:p>
        </w:tc>
        <w:tc>
          <w:tcPr>
            <w:tcW w:w="739" w:type="dxa"/>
            <w:vAlign w:val="center"/>
          </w:tcPr>
          <w:p>
            <w:pPr>
              <w:pStyle w:val="TableText"/>
              <w:jc w:val="right"/>
            </w:pPr>
            <w:r>
              <w:rPr>
                <w:sz w:val="19"/>
                <w:szCs w:val="19"/>
              </w:rPr>
              <w:t xml:space="preserve">0.83</w:t>
            </w:r>
          </w:p>
        </w:tc>
        <w:tc>
          <w:tcPr>
            <w:tcW w:w="882" w:type="dxa"/>
            <w:vAlign w:val="center"/>
          </w:tcPr>
          <w:p>
            <w:pPr>
              <w:pStyle w:val="TableText"/>
              <w:jc w:val="right"/>
            </w:pPr>
            <w:r>
              <w:rPr>
                <w:sz w:val="19"/>
                <w:szCs w:val="19"/>
              </w:rPr>
              <w:t xml:space="preserve">9.58</w:t>
            </w:r>
          </w:p>
        </w:tc>
        <w:tc>
          <w:tcPr>
            <w:tcW w:w="495" w:type="dxa"/>
            <w:vAlign w:val="center"/>
          </w:tcPr>
          <w:p>
            <w:pPr>
              <w:pStyle w:val="TableText"/>
              <w:jc w:val="right"/>
            </w:pPr>
            <w:r>
              <w:rPr>
                <w:sz w:val="19"/>
                <w:szCs w:val="19"/>
              </w:rPr>
              <w:t xml:space="preserve">3.65</w:t>
            </w:r>
          </w:p>
        </w:tc>
        <w:tc>
          <w:tcPr>
            <w:tcW w:w="1305" w:type="dxa"/>
            <w:vAlign w:val="center"/>
          </w:tcPr>
          <w:p>
            <w:pPr>
              <w:pStyle w:val="TableText"/>
              <w:jc w:val="right"/>
            </w:pPr>
            <w:r>
              <w:rPr>
                <w:sz w:val="19"/>
                <w:szCs w:val="19"/>
                <w:b/>
                <w:bCs/>
              </w:rPr>
              <w:t xml:space="preserve">14.66</w:t>
            </w:r>
          </w:p>
        </w:tc>
        <w:tc>
          <w:tcPr>
            <w:tcW w:w="849" w:type="dxa"/>
            <w:vAlign w:val="center"/>
          </w:tcPr>
          <w:p>
            <w:pPr>
              <w:pStyle w:val="TableText"/>
              <w:jc w:val="right"/>
            </w:pPr>
            <w:r>
              <w:rPr>
                <w:sz w:val="19"/>
                <w:szCs w:val="19"/>
              </w:rPr>
              <w:t xml:space="preserve">1.87</w:t>
            </w:r>
          </w:p>
        </w:tc>
        <w:tc>
          <w:tcPr>
            <w:tcW w:w="973" w:type="dxa"/>
            <w:vAlign w:val="center"/>
          </w:tcPr>
          <w:p>
            <w:pPr>
              <w:pStyle w:val="TableText"/>
              <w:jc w:val="right"/>
            </w:pPr>
            <w:r>
              <w:rPr>
                <w:sz w:val="19"/>
                <w:szCs w:val="19"/>
              </w:rPr>
              <w:t xml:space="preserve">1.25</w:t>
            </w:r>
          </w:p>
        </w:tc>
        <w:tc>
          <w:tcPr>
            <w:tcW w:w="546" w:type="dxa"/>
            <w:vAlign w:val="center"/>
          </w:tcPr>
          <w:p>
            <w:pPr>
              <w:pStyle w:val="TableText"/>
              <w:jc w:val="right"/>
            </w:pPr>
            <w:r>
              <w:rPr>
                <w:sz w:val="19"/>
                <w:szCs w:val="19"/>
              </w:rPr>
              <w:t xml:space="preserve">30.36</w:t>
            </w:r>
          </w:p>
        </w:tc>
        <w:tc>
          <w:tcPr>
            <w:tcW w:w="757" w:type="dxa"/>
            <w:vAlign w:val="center"/>
          </w:tcPr>
          <w:p>
            <w:pPr>
              <w:pStyle w:val="TableText"/>
              <w:jc w:val="right"/>
            </w:pPr>
            <w:r>
              <w:rPr>
                <w:sz w:val="19"/>
                <w:szCs w:val="19"/>
              </w:rPr>
              <w:t xml:space="preserve">5.32</w:t>
            </w:r>
          </w:p>
        </w:tc>
      </w:tr>
      <w:tr>
        <w:trPr>
          <w:cantSplit/>
        </w:trPr>
        <w:tc>
          <w:tcPr>
            <w:tcW w:w="882" w:type="dxa"/>
            <w:vAlign w:val="center"/>
          </w:tcPr>
          <w:p>
            <w:pPr>
              <w:pStyle w:val="TableText"/>
              <w:jc w:val="left"/>
            </w:pPr>
            <w:r>
              <w:rPr>
                <w:sz w:val="19"/>
                <w:szCs w:val="19"/>
              </w:rPr>
              <w:t xml:space="preserve">DoC</w:t>
            </w:r>
          </w:p>
        </w:tc>
        <w:tc>
          <w:tcPr>
            <w:tcW w:w="739" w:type="dxa"/>
            <w:vAlign w:val="center"/>
          </w:tcPr>
          <w:p>
            <w:pPr>
              <w:pStyle w:val="TableText"/>
              <w:jc w:val="right"/>
            </w:pPr>
            <w:r>
              <w:rPr>
                <w:sz w:val="19"/>
                <w:szCs w:val="19"/>
                <w:b/>
                <w:bCs/>
              </w:rPr>
              <w:t xml:space="preserve">0.50</w:t>
            </w:r>
          </w:p>
        </w:tc>
        <w:tc>
          <w:tcPr>
            <w:tcW w:w="882" w:type="dxa"/>
            <w:vAlign w:val="center"/>
          </w:tcPr>
          <w:p>
            <w:pPr>
              <w:pStyle w:val="TableText"/>
              <w:jc w:val="right"/>
            </w:pPr>
            <w:r>
              <w:rPr>
                <w:sz w:val="19"/>
                <w:szCs w:val="19"/>
              </w:rPr>
              <w:t xml:space="preserve">9.63</w:t>
            </w:r>
          </w:p>
        </w:tc>
        <w:tc>
          <w:tcPr>
            <w:tcW w:w="495" w:type="dxa"/>
            <w:vAlign w:val="center"/>
          </w:tcPr>
          <w:p>
            <w:pPr>
              <w:pStyle w:val="TableText"/>
              <w:jc w:val="right"/>
            </w:pPr>
            <w:r>
              <w:rPr>
                <w:sz w:val="19"/>
                <w:szCs w:val="19"/>
              </w:rPr>
              <w:t xml:space="preserve">3.12</w:t>
            </w:r>
          </w:p>
        </w:tc>
        <w:tc>
          <w:tcPr>
            <w:tcW w:w="1305" w:type="dxa"/>
            <w:vAlign w:val="center"/>
          </w:tcPr>
          <w:p>
            <w:pPr>
              <w:pStyle w:val="TableText"/>
              <w:jc w:val="right"/>
            </w:pPr>
            <w:r>
              <w:rPr>
                <w:sz w:val="19"/>
                <w:szCs w:val="19"/>
              </w:rPr>
              <w:t xml:space="preserve">14.71</w:t>
            </w:r>
          </w:p>
        </w:tc>
        <w:tc>
          <w:tcPr>
            <w:tcW w:w="849" w:type="dxa"/>
            <w:vAlign w:val="center"/>
          </w:tcPr>
          <w:p>
            <w:pPr>
              <w:pStyle w:val="TableText"/>
              <w:jc w:val="right"/>
            </w:pPr>
            <w:r>
              <w:rPr>
                <w:sz w:val="19"/>
                <w:szCs w:val="19"/>
              </w:rPr>
              <w:t xml:space="preserve">1.77</w:t>
            </w:r>
          </w:p>
        </w:tc>
        <w:tc>
          <w:tcPr>
            <w:tcW w:w="973" w:type="dxa"/>
            <w:vAlign w:val="center"/>
          </w:tcPr>
          <w:p>
            <w:pPr>
              <w:pStyle w:val="TableText"/>
              <w:jc w:val="right"/>
            </w:pPr>
            <w:r>
              <w:rPr>
                <w:sz w:val="19"/>
                <w:szCs w:val="19"/>
              </w:rPr>
              <w:t xml:space="preserve">1.06</w:t>
            </w:r>
          </w:p>
        </w:tc>
        <w:tc>
          <w:tcPr>
            <w:tcW w:w="546" w:type="dxa"/>
            <w:vAlign w:val="center"/>
          </w:tcPr>
          <w:p>
            <w:pPr>
              <w:pStyle w:val="TableText"/>
              <w:jc w:val="right"/>
            </w:pPr>
            <w:r>
              <w:rPr>
                <w:sz w:val="19"/>
                <w:szCs w:val="19"/>
              </w:rPr>
              <w:t xml:space="preserve">29.78</w:t>
            </w:r>
          </w:p>
        </w:tc>
        <w:tc>
          <w:tcPr>
            <w:tcW w:w="757" w:type="dxa"/>
            <w:vAlign w:val="center"/>
          </w:tcPr>
          <w:p>
            <w:pPr>
              <w:pStyle w:val="TableText"/>
              <w:jc w:val="right"/>
            </w:pPr>
            <w:r>
              <w:rPr>
                <w:sz w:val="19"/>
                <w:szCs w:val="19"/>
              </w:rPr>
              <w:t xml:space="preserve">0.76</w:t>
            </w:r>
          </w:p>
        </w:tc>
      </w:tr>
      <w:tr>
        <w:trPr>
          <w:cantSplit/>
        </w:trPr>
        <w:tc>
          <w:tcPr>
            <w:tcW w:w="882" w:type="dxa"/>
            <w:vAlign w:val="center"/>
          </w:tcPr>
          <w:p>
            <w:pPr>
              <w:pStyle w:val="TableText"/>
              <w:jc w:val="left"/>
            </w:pPr>
            <w:r>
              <w:rPr>
                <w:sz w:val="19"/>
                <w:szCs w:val="19"/>
              </w:rPr>
              <w:t xml:space="preserve">ATC</w:t>
            </w:r>
          </w:p>
        </w:tc>
        <w:tc>
          <w:tcPr>
            <w:tcW w:w="739" w:type="dxa"/>
            <w:vAlign w:val="center"/>
          </w:tcPr>
          <w:p>
            <w:pPr>
              <w:pStyle w:val="TableText"/>
              <w:jc w:val="right"/>
            </w:pPr>
            <w:r>
              <w:rPr>
                <w:sz w:val="19"/>
                <w:szCs w:val="19"/>
              </w:rPr>
              <w:t xml:space="preserve">0.63</w:t>
            </w:r>
          </w:p>
        </w:tc>
        <w:tc>
          <w:tcPr>
            <w:tcW w:w="882" w:type="dxa"/>
            <w:vAlign w:val="center"/>
          </w:tcPr>
          <w:p>
            <w:pPr>
              <w:pStyle w:val="TableText"/>
              <w:jc w:val="right"/>
            </w:pPr>
            <w:r>
              <w:rPr>
                <w:sz w:val="19"/>
                <w:szCs w:val="19"/>
              </w:rPr>
              <w:t xml:space="preserve">10.31</w:t>
            </w:r>
          </w:p>
        </w:tc>
        <w:tc>
          <w:tcPr>
            <w:tcW w:w="495" w:type="dxa"/>
            <w:vAlign w:val="center"/>
          </w:tcPr>
          <w:p>
            <w:pPr>
              <w:pStyle w:val="TableText"/>
              <w:jc w:val="right"/>
            </w:pPr>
            <w:r>
              <w:rPr>
                <w:sz w:val="19"/>
                <w:szCs w:val="19"/>
                <w:b/>
                <w:bCs/>
              </w:rPr>
              <w:t xml:space="preserve">2.43</w:t>
            </w:r>
          </w:p>
        </w:tc>
        <w:tc>
          <w:tcPr>
            <w:tcW w:w="1305" w:type="dxa"/>
            <w:vAlign w:val="center"/>
          </w:tcPr>
          <w:p>
            <w:pPr>
              <w:pStyle w:val="TableText"/>
              <w:jc w:val="right"/>
            </w:pPr>
            <w:r>
              <w:rPr>
                <w:sz w:val="19"/>
                <w:szCs w:val="19"/>
                <w:b/>
                <w:bCs/>
              </w:rPr>
              <w:t xml:space="preserve">14.66</w:t>
            </w:r>
          </w:p>
        </w:tc>
        <w:tc>
          <w:tcPr>
            <w:tcW w:w="849" w:type="dxa"/>
            <w:vAlign w:val="center"/>
          </w:tcPr>
          <w:p>
            <w:pPr>
              <w:pStyle w:val="TableText"/>
              <w:jc w:val="right"/>
            </w:pPr>
            <w:r>
              <w:rPr>
                <w:sz w:val="19"/>
                <w:szCs w:val="19"/>
                <w:b/>
                <w:bCs/>
              </w:rPr>
              <w:t xml:space="preserve">1.15</w:t>
            </w:r>
          </w:p>
        </w:tc>
        <w:tc>
          <w:tcPr>
            <w:tcW w:w="973" w:type="dxa"/>
            <w:vAlign w:val="center"/>
          </w:tcPr>
          <w:p>
            <w:pPr>
              <w:pStyle w:val="TableText"/>
              <w:jc w:val="right"/>
            </w:pPr>
            <w:r>
              <w:rPr>
                <w:sz w:val="19"/>
                <w:szCs w:val="19"/>
                <w:b/>
                <w:bCs/>
              </w:rPr>
              <w:t xml:space="preserve">1.02</w:t>
            </w:r>
          </w:p>
        </w:tc>
        <w:tc>
          <w:tcPr>
            <w:tcW w:w="546" w:type="dxa"/>
            <w:vAlign w:val="center"/>
          </w:tcPr>
          <w:p>
            <w:pPr>
              <w:pStyle w:val="TableText"/>
              <w:jc w:val="right"/>
            </w:pPr>
            <w:r>
              <w:rPr>
                <w:sz w:val="19"/>
                <w:szCs w:val="19"/>
                <w:b/>
                <w:bCs/>
              </w:rPr>
              <w:t xml:space="preserve">26.95</w:t>
            </w:r>
          </w:p>
        </w:tc>
        <w:tc>
          <w:tcPr>
            <w:tcW w:w="757" w:type="dxa"/>
            <w:vAlign w:val="center"/>
          </w:tcPr>
          <w:p>
            <w:pPr>
              <w:pStyle w:val="TableText"/>
              <w:jc w:val="right"/>
            </w:pPr>
            <w:r>
              <w:rPr>
                <w:sz w:val="19"/>
                <w:szCs w:val="19"/>
                <w:b/>
                <w:bCs/>
              </w:rPr>
              <w:t xml:space="preserve">0.62</w:t>
            </w:r>
          </w:p>
        </w:tc>
      </w:tr>
    </w:tbl>
    <w:p>
      <w:pPr>
        <w:spacing w:before="0" w:after="120" w:line="240" w:lineRule="auto"/>
      </w:pPr>
    </w:p>
    <w:p>
      <w:pPr>
        <w:pStyle w:val="Normal"/>
      </w:pPr>
      <w:r>
        <w:t xml:space="preserve">On design A all four estimates stay within 0.83 points without drift and within 10.31 points under covariate shift. Under concept drift and label noise every error equals the whole loss, about 14.71 points, because the inputs do not change. Across the 8 columns ATC has the smallest error in 6 and CBPE in 2. On the gas sensor data all four miss by 26.95 to 30.98 points on average: in batch 8 the mean confidence of the LR model falls from 0.973 to 0.595 and its accuracy to 0.330, yet CBPE estimates 0.618. The estimate is best read as an upper bound on accuracy.</w:t>
      </w:r>
    </w:p>
    <w:p>
      <w:pPr>
        <w:pStyle w:val="Heading3"/>
      </w:pPr>
      <w:r>
        <w:t xml:space="preserve">7.4.5 Real Drift</w:t>
      </w:r>
    </w:p>
    <w:p>
      <w:pPr>
        <w:pStyle w:val="Normal"/>
      </w:pPr>
      <w:r>
        <w:t xml:space="preserve">On real data the type of drift is not known, but its causes are on record. The question is whether the verdicts agree with those causes and whether the control windows stay quiet. Fig. </w:t>
      </w:r>
      <w:r>
        <w:t xml:space="preserve">7.14</w:t>
      </w:r>
      <w:r>
        <w:t xml:space="preserve"> shows how accuracy changes over time in all four datasets.</w:t>
      </w:r>
    </w:p>
    <w:p>
      <w:pPr>
        <w:pStyle w:val="FigureBody"/>
      </w:pPr>
      <w:r>
        <w:drawing>
          <wp:inline distT="0" distB="0" distL="0" distR="0">
            <wp:extent cx="5760000" cy="2400000"/>
            <wp:docPr id="1025" name="Figure 7.14" descr="Figure 7.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5" name="gen_timelines.png"/>
                    <pic:cNvPicPr/>
                  </pic:nvPicPr>
                  <pic:blipFill>
                    <a:blip r:embed="rIdI25"/>
                    <a:stretch>
                      <a:fillRect/>
                    </a:stretch>
                  </pic:blipFill>
                  <pic:spPr>
                    <a:xfrm>
                      <a:off x="0" y="0"/>
                      <a:ext cx="5760000" cy="2400000"/>
                    </a:xfrm>
                    <a:prstGeom prst="rect">
                      <a:avLst/>
                    </a:prstGeom>
                  </pic:spPr>
                </pic:pic>
              </a:graphicData>
            </a:graphic>
          </wp:inline>
        </w:drawing>
      </w:r>
    </w:p>
    <w:p>
      <w:pPr>
        <w:pStyle w:val="FigureCaption"/>
      </w:pPr>
      <w:r>
        <w:rPr>
          <w:b/>
          <w:bCs/>
        </w:rPr>
        <w:t xml:space="preserve">Fig. 7.14: </w:t>
      </w:r>
      <w:r>
        <w:t xml:space="preserve">Measured accuracy of both models and the label-free CBPE estimate on the temporal windows of the four datasets</w:t>
      </w:r>
    </w:p>
    <w:p>
      <w:pPr>
        <w:pStyle w:val="Normal"/>
      </w:pPr>
      <w:r>
        <w:t xml:space="preserve">C marks the control window and the numbers mark years (ACS), batches (gas sensor) or buckets (CLEAR-10). The gap in the ACS lines is the missing 2020 release. Across the four datasets no real window was named prior shift, concept drift or label noise. Most of the documented causes act on the inputs, from new codes and a redesigned question to aging sensors, so covariate verdicts are what one would expect. Table </w:t>
      </w:r>
      <w:r>
        <w:t xml:space="preserve">7.6</w:t>
      </w:r>
      <w:r>
        <w:t xml:space="preserve"> gives the details for ACS Income, which shows the clearest trend.</w:t>
      </w:r>
    </w:p>
    <w:p>
      <w:pPr>
        <w:pStyle w:val="TableCaption"/>
      </w:pPr>
      <w:r>
        <w:rPr>
          <w:b/>
          <w:bCs/>
        </w:rPr>
        <w:t xml:space="preserve">Table 7.6: </w:t>
      </w:r>
      <w:r>
        <w:t xml:space="preserve">Detection and diagnosis on the ACS Income windows. The alarms are those of the LR model; Conf. is the confidence test and DC the domain classifier</w:t>
      </w:r>
    </w:p>
    <w:tbl>
      <w:tblPr>
        <w:tblW w:w="723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30" w:type="dxa"/>
          <w:left w:w="80" w:type="dxa"/>
          <w:bottom w:w="30" w:type="dxa"/>
          <w:right w:w="80" w:type="dxa"/>
        </w:tblCellMar>
        <w:tblLook w:val="0000"/>
      </w:tblPr>
      <w:tblGrid>
        <w:gridCol w:w="1339"/>
        <w:gridCol w:w="460"/>
        <w:gridCol w:w="403"/>
        <w:gridCol w:w="423"/>
        <w:gridCol w:w="604"/>
        <w:gridCol w:w="292"/>
        <w:gridCol w:w="504"/>
        <w:gridCol w:w="460"/>
        <w:gridCol w:w="523"/>
        <w:gridCol w:w="312"/>
        <w:gridCol w:w="1128"/>
        <w:gridCol w:w="392"/>
        <w:gridCol w:w="392"/>
      </w:tblGrid>
      <w:tr>
        <w:trPr>
          <w:cantSplit/>
          <w:tblHeader/>
        </w:trPr>
        <w:tc>
          <w:tcPr>
            <w:tcW w:w="1339" w:type="dxa"/>
            <w:shd w:val="clear" w:color="auto" w:fill="D9E2F3"/>
            <w:vAlign w:val="center"/>
          </w:tcPr>
          <w:p>
            <w:pPr>
              <w:pStyle w:val="TableText"/>
              <w:keepNext/>
              <w:jc w:val="center"/>
            </w:pPr>
          </w:p>
        </w:tc>
        <w:tc>
          <w:tcPr>
            <w:tcW w:w="1890" w:type="dxa"/>
            <w:gridSpan w:val="4"/>
            <w:shd w:val="clear" w:color="auto" w:fill="D9E2F3"/>
            <w:vAlign w:val="center"/>
          </w:tcPr>
          <w:p>
            <w:pPr>
              <w:pStyle w:val="TableText"/>
              <w:keepNext/>
              <w:jc w:val="center"/>
            </w:pPr>
            <w:r>
              <w:rPr>
                <w:sz w:val="16"/>
                <w:szCs w:val="16"/>
                <w:b/>
                <w:bCs/>
              </w:rPr>
              <w:t xml:space="preserve">Accuracy</w:t>
            </w:r>
          </w:p>
        </w:tc>
        <w:tc>
          <w:tcPr>
            <w:tcW w:w="2091" w:type="dxa"/>
            <w:gridSpan w:val="5"/>
            <w:shd w:val="clear" w:color="auto" w:fill="D9E2F3"/>
            <w:vAlign w:val="center"/>
          </w:tcPr>
          <w:p>
            <w:pPr>
              <w:pStyle w:val="TableText"/>
              <w:keepNext/>
              <w:jc w:val="center"/>
            </w:pPr>
            <w:r>
              <w:rPr>
                <w:sz w:val="16"/>
                <w:szCs w:val="16"/>
                <w:b/>
                <w:bCs/>
              </w:rPr>
              <w:t xml:space="preserve">Alarms (LR)</w:t>
            </w:r>
          </w:p>
        </w:tc>
        <w:tc>
          <w:tcPr>
            <w:tcW w:w="1128" w:type="dxa"/>
            <w:shd w:val="clear" w:color="auto" w:fill="D9E2F3"/>
            <w:vAlign w:val="center"/>
          </w:tcPr>
          <w:p>
            <w:pPr>
              <w:pStyle w:val="TableText"/>
              <w:keepNext/>
              <w:jc w:val="center"/>
            </w:pPr>
          </w:p>
        </w:tc>
        <w:tc>
          <w:tcPr>
            <w:tcW w:w="784" w:type="dxa"/>
            <w:gridSpan w:val="2"/>
            <w:shd w:val="clear" w:color="auto" w:fill="D9E2F3"/>
            <w:vAlign w:val="center"/>
          </w:tcPr>
          <w:p>
            <w:pPr>
              <w:pStyle w:val="TableText"/>
              <w:keepNext/>
              <w:jc w:val="center"/>
            </w:pPr>
            <w:r>
              <w:rPr>
                <w:sz w:val="16"/>
                <w:szCs w:val="16"/>
                <w:b/>
                <w:bCs/>
              </w:rPr>
              <w:t xml:space="preserve">Type</w:t>
            </w:r>
          </w:p>
        </w:tc>
      </w:tr>
      <w:tr>
        <w:trPr>
          <w:cantSplit/>
          <w:tblHeader/>
        </w:trPr>
        <w:tc>
          <w:tcPr>
            <w:tcW w:w="1339" w:type="dxa"/>
            <w:shd w:val="clear" w:color="auto" w:fill="D9E2F3"/>
            <w:vAlign w:val="center"/>
          </w:tcPr>
          <w:p>
            <w:pPr>
              <w:pStyle w:val="TableText"/>
              <w:keepNext/>
              <w:jc w:val="center"/>
            </w:pPr>
            <w:r>
              <w:rPr>
                <w:sz w:val="16"/>
                <w:szCs w:val="16"/>
                <w:b/>
                <w:bCs/>
              </w:rPr>
              <w:t xml:space="preserve">Window</w:t>
            </w:r>
          </w:p>
        </w:tc>
        <w:tc>
          <w:tcPr>
            <w:tcW w:w="460" w:type="dxa"/>
            <w:shd w:val="clear" w:color="auto" w:fill="D9E2F3"/>
            <w:vAlign w:val="center"/>
          </w:tcPr>
          <w:p>
            <w:pPr>
              <w:pStyle w:val="TableText"/>
              <w:keepNext/>
              <w:jc w:val="center"/>
            </w:pPr>
            <w:r>
              <w:rPr>
                <w:sz w:val="16"/>
                <w:szCs w:val="16"/>
                <w:b/>
                <w:bCs/>
              </w:rPr>
              <w:t xml:space="preserve">LR</w:t>
            </w:r>
          </w:p>
        </w:tc>
        <w:tc>
          <w:tcPr>
            <w:tcW w:w="403" w:type="dxa"/>
            <w:shd w:val="clear" w:color="auto" w:fill="D9E2F3"/>
            <w:vAlign w:val="center"/>
          </w:tcPr>
          <w:p>
            <w:pPr>
              <w:pStyle w:val="TableText"/>
              <w:keepNext/>
              <w:jc w:val="center"/>
            </w:pPr>
            <w:r>
              <w:rPr>
                <w:sz w:val="16"/>
                <w:szCs w:val="16"/>
                <w:b/>
                <w:bCs/>
              </w:rPr>
              <w:t xml:space="preserve">ΔLR</w:t>
            </w:r>
          </w:p>
        </w:tc>
        <w:tc>
          <w:tcPr>
            <w:tcW w:w="423" w:type="dxa"/>
            <w:shd w:val="clear" w:color="auto" w:fill="D9E2F3"/>
            <w:vAlign w:val="center"/>
          </w:tcPr>
          <w:p>
            <w:pPr>
              <w:pStyle w:val="TableText"/>
              <w:keepNext/>
              <w:jc w:val="center"/>
            </w:pPr>
            <w:r>
              <w:rPr>
                <w:sz w:val="16"/>
                <w:szCs w:val="16"/>
                <w:b/>
                <w:bCs/>
              </w:rPr>
              <w:t xml:space="preserve">ΔGB</w:t>
            </w:r>
          </w:p>
        </w:tc>
        <w:tc>
          <w:tcPr>
            <w:tcW w:w="604" w:type="dxa"/>
            <w:shd w:val="clear" w:color="auto" w:fill="D9E2F3"/>
            <w:vAlign w:val="center"/>
          </w:tcPr>
          <w:p>
            <w:pPr>
              <w:pStyle w:val="TableText"/>
              <w:keepNext/>
              <w:jc w:val="center"/>
            </w:pPr>
            <w:r>
              <w:rPr>
                <w:sz w:val="16"/>
                <w:szCs w:val="16"/>
                <w:b/>
                <w:bCs/>
              </w:rPr>
              <w:t xml:space="preserve">Est. err.</w:t>
            </w:r>
          </w:p>
        </w:tc>
        <w:tc>
          <w:tcPr>
            <w:tcW w:w="292" w:type="dxa"/>
            <w:shd w:val="clear" w:color="auto" w:fill="D9E2F3"/>
            <w:vAlign w:val="center"/>
          </w:tcPr>
          <w:p>
            <w:pPr>
              <w:pStyle w:val="TableText"/>
              <w:keepNext/>
              <w:jc w:val="center"/>
            </w:pPr>
            <w:r>
              <w:rPr>
                <w:sz w:val="16"/>
                <w:szCs w:val="16"/>
                <w:b/>
                <w:bCs/>
              </w:rPr>
              <w:t xml:space="preserve">KS</w:t>
            </w:r>
          </w:p>
        </w:tc>
        <w:tc>
          <w:tcPr>
            <w:tcW w:w="504" w:type="dxa"/>
            <w:shd w:val="clear" w:color="auto" w:fill="D9E2F3"/>
            <w:vAlign w:val="center"/>
          </w:tcPr>
          <w:p>
            <w:pPr>
              <w:pStyle w:val="TableText"/>
              <w:keepNext/>
              <w:jc w:val="center"/>
            </w:pPr>
            <w:r>
              <w:rPr>
                <w:sz w:val="16"/>
                <w:szCs w:val="16"/>
                <w:b/>
                <w:bCs/>
              </w:rPr>
              <w:t xml:space="preserve">MMD</w:t>
            </w:r>
          </w:p>
        </w:tc>
        <w:tc>
          <w:tcPr>
            <w:tcW w:w="460" w:type="dxa"/>
            <w:shd w:val="clear" w:color="auto" w:fill="D9E2F3"/>
            <w:vAlign w:val="center"/>
          </w:tcPr>
          <w:p>
            <w:pPr>
              <w:pStyle w:val="TableText"/>
              <w:keepNext/>
              <w:jc w:val="center"/>
            </w:pPr>
            <w:r>
              <w:rPr>
                <w:sz w:val="16"/>
                <w:szCs w:val="16"/>
                <w:b/>
                <w:bCs/>
              </w:rPr>
              <w:t xml:space="preserve">Conf.</w:t>
            </w:r>
          </w:p>
        </w:tc>
        <w:tc>
          <w:tcPr>
            <w:tcW w:w="523" w:type="dxa"/>
            <w:shd w:val="clear" w:color="auto" w:fill="D9E2F3"/>
            <w:vAlign w:val="center"/>
          </w:tcPr>
          <w:p>
            <w:pPr>
              <w:pStyle w:val="TableText"/>
              <w:keepNext/>
              <w:jc w:val="center"/>
            </w:pPr>
            <w:r>
              <w:rPr>
                <w:sz w:val="16"/>
                <w:szCs w:val="16"/>
                <w:b/>
                <w:bCs/>
              </w:rPr>
              <w:t xml:space="preserve">BBSD</w:t>
            </w:r>
          </w:p>
        </w:tc>
        <w:tc>
          <w:tcPr>
            <w:tcW w:w="312" w:type="dxa"/>
            <w:shd w:val="clear" w:color="auto" w:fill="D9E2F3"/>
            <w:vAlign w:val="center"/>
          </w:tcPr>
          <w:p>
            <w:pPr>
              <w:pStyle w:val="TableText"/>
              <w:keepNext/>
              <w:jc w:val="center"/>
            </w:pPr>
            <w:r>
              <w:rPr>
                <w:sz w:val="16"/>
                <w:szCs w:val="16"/>
                <w:b/>
                <w:bCs/>
              </w:rPr>
              <w:t xml:space="preserve">DC</w:t>
            </w:r>
          </w:p>
        </w:tc>
        <w:tc>
          <w:tcPr>
            <w:tcW w:w="1128" w:type="dxa"/>
            <w:shd w:val="clear" w:color="auto" w:fill="D9E2F3"/>
            <w:vAlign w:val="center"/>
          </w:tcPr>
          <w:p>
            <w:pPr>
              <w:pStyle w:val="TableText"/>
              <w:keepNext/>
              <w:jc w:val="center"/>
            </w:pPr>
            <w:r>
              <w:rPr>
                <w:sz w:val="16"/>
                <w:szCs w:val="16"/>
                <w:b/>
                <w:bCs/>
              </w:rPr>
              <w:t xml:space="preserve">Top shifts</w:t>
            </w:r>
          </w:p>
        </w:tc>
        <w:tc>
          <w:tcPr>
            <w:tcW w:w="392" w:type="dxa"/>
            <w:shd w:val="clear" w:color="auto" w:fill="D9E2F3"/>
            <w:vAlign w:val="center"/>
          </w:tcPr>
          <w:p>
            <w:pPr>
              <w:pStyle w:val="TableText"/>
              <w:keepNext/>
              <w:jc w:val="center"/>
            </w:pPr>
            <w:r>
              <w:rPr>
                <w:sz w:val="16"/>
                <w:szCs w:val="16"/>
                <w:b/>
                <w:bCs/>
              </w:rPr>
              <w:t xml:space="preserve">LR</w:t>
            </w:r>
          </w:p>
        </w:tc>
        <w:tc>
          <w:tcPr>
            <w:tcW w:w="392" w:type="dxa"/>
            <w:shd w:val="clear" w:color="auto" w:fill="D9E2F3"/>
            <w:vAlign w:val="center"/>
          </w:tcPr>
          <w:p>
            <w:pPr>
              <w:pStyle w:val="TableText"/>
              <w:keepNext/>
              <w:jc w:val="center"/>
            </w:pPr>
            <w:r>
              <w:rPr>
                <w:sz w:val="16"/>
                <w:szCs w:val="16"/>
                <w:b/>
                <w:bCs/>
              </w:rPr>
              <w:t xml:space="preserve">GB</w:t>
            </w:r>
          </w:p>
        </w:tc>
      </w:tr>
      <w:tr>
        <w:trPr>
          <w:cantSplit/>
        </w:trPr>
        <w:tc>
          <w:tcPr>
            <w:tcW w:w="1339" w:type="dxa"/>
            <w:vAlign w:val="center"/>
          </w:tcPr>
          <w:p>
            <w:pPr>
              <w:pStyle w:val="TableText"/>
              <w:keepNext/>
              <w:jc w:val="left"/>
            </w:pPr>
            <w:r>
              <w:rPr>
                <w:sz w:val="16"/>
                <w:szCs w:val="16"/>
              </w:rPr>
              <w:t xml:space="preserve">CA 2014 (control)</w:t>
            </w:r>
          </w:p>
        </w:tc>
        <w:tc>
          <w:tcPr>
            <w:tcW w:w="460" w:type="dxa"/>
            <w:vAlign w:val="center"/>
          </w:tcPr>
          <w:p>
            <w:pPr>
              <w:pStyle w:val="TableText"/>
              <w:keepNext/>
              <w:jc w:val="right"/>
            </w:pPr>
            <w:r>
              <w:rPr>
                <w:sz w:val="16"/>
                <w:szCs w:val="16"/>
              </w:rPr>
              <w:t xml:space="preserve">0.826</w:t>
            </w:r>
          </w:p>
        </w:tc>
        <w:tc>
          <w:tcPr>
            <w:tcW w:w="403" w:type="dxa"/>
            <w:vAlign w:val="center"/>
          </w:tcPr>
          <w:p>
            <w:pPr>
              <w:pStyle w:val="TableText"/>
              <w:keepNext/>
              <w:jc w:val="right"/>
            </w:pPr>
            <w:r>
              <w:rPr>
                <w:sz w:val="16"/>
                <w:szCs w:val="16"/>
              </w:rPr>
              <w:t xml:space="preserve">0.0</w:t>
            </w:r>
          </w:p>
        </w:tc>
        <w:tc>
          <w:tcPr>
            <w:tcW w:w="423" w:type="dxa"/>
            <w:vAlign w:val="center"/>
          </w:tcPr>
          <w:p>
            <w:pPr>
              <w:pStyle w:val="TableText"/>
              <w:keepNext/>
              <w:jc w:val="right"/>
            </w:pPr>
            <w:r>
              <w:rPr>
                <w:sz w:val="16"/>
                <w:szCs w:val="16"/>
              </w:rPr>
              <w:t xml:space="preserve">0.0</w:t>
            </w:r>
          </w:p>
        </w:tc>
        <w:tc>
          <w:tcPr>
            <w:tcW w:w="604" w:type="dxa"/>
            <w:vAlign w:val="center"/>
          </w:tcPr>
          <w:p>
            <w:pPr>
              <w:pStyle w:val="TableText"/>
              <w:keepNext/>
              <w:jc w:val="right"/>
            </w:pPr>
            <w:r>
              <w:rPr>
                <w:sz w:val="16"/>
                <w:szCs w:val="16"/>
              </w:rPr>
              <w:t xml:space="preserve">0.0</w:t>
            </w:r>
          </w:p>
        </w:tc>
        <w:tc>
          <w:tcPr>
            <w:tcW w:w="292" w:type="dxa"/>
            <w:vAlign w:val="center"/>
          </w:tcPr>
          <w:p>
            <w:pPr>
              <w:pStyle w:val="TableText"/>
              <w:keepNext/>
              <w:jc w:val="center"/>
            </w:pPr>
            <w:r>
              <w:rPr>
                <w:sz w:val="16"/>
                <w:szCs w:val="16"/>
              </w:rPr>
              <w:t xml:space="preserve">–</w:t>
            </w:r>
          </w:p>
        </w:tc>
        <w:tc>
          <w:tcPr>
            <w:tcW w:w="504" w:type="dxa"/>
            <w:vAlign w:val="center"/>
          </w:tcPr>
          <w:p>
            <w:pPr>
              <w:pStyle w:val="TableText"/>
              <w:keepNext/>
              <w:jc w:val="center"/>
            </w:pPr>
            <w:r>
              <w:rPr>
                <w:sz w:val="16"/>
                <w:szCs w:val="16"/>
              </w:rPr>
              <w:t xml:space="preserve">–</w:t>
            </w:r>
          </w:p>
        </w:tc>
        <w:tc>
          <w:tcPr>
            <w:tcW w:w="460" w:type="dxa"/>
            <w:vAlign w:val="center"/>
          </w:tcPr>
          <w:p>
            <w:pPr>
              <w:pStyle w:val="TableText"/>
              <w:keepNext/>
              <w:jc w:val="center"/>
            </w:pPr>
            <w:r>
              <w:rPr>
                <w:sz w:val="16"/>
                <w:szCs w:val="16"/>
              </w:rPr>
              <w:t xml:space="preserve">–</w:t>
            </w:r>
          </w:p>
        </w:tc>
        <w:tc>
          <w:tcPr>
            <w:tcW w:w="523" w:type="dxa"/>
            <w:vAlign w:val="center"/>
          </w:tcPr>
          <w:p>
            <w:pPr>
              <w:pStyle w:val="TableText"/>
              <w:keepNext/>
              <w:jc w:val="center"/>
            </w:pPr>
            <w:r>
              <w:rPr>
                <w:sz w:val="16"/>
                <w:szCs w:val="16"/>
              </w:rPr>
              <w:t xml:space="preserve">–</w:t>
            </w:r>
          </w:p>
        </w:tc>
        <w:tc>
          <w:tcPr>
            <w:tcW w:w="312" w:type="dxa"/>
            <w:vAlign w:val="center"/>
          </w:tcPr>
          <w:p>
            <w:pPr>
              <w:pStyle w:val="TableText"/>
              <w:keepNext/>
              <w:jc w:val="center"/>
            </w:pPr>
            <w:r>
              <w:rPr>
                <w:sz w:val="16"/>
                <w:szCs w:val="16"/>
              </w:rPr>
              <w:t xml:space="preserve">–</w:t>
            </w:r>
          </w:p>
        </w:tc>
        <w:tc>
          <w:tcPr>
            <w:tcW w:w="1128" w:type="dxa"/>
            <w:vAlign w:val="center"/>
          </w:tcPr>
          <w:p>
            <w:pPr>
              <w:pStyle w:val="TableText"/>
              <w:keepNext/>
              <w:jc w:val="left"/>
            </w:pPr>
            <w:r>
              <w:rPr>
                <w:sz w:val="16"/>
                <w:szCs w:val="16"/>
              </w:rPr>
              <w:t xml:space="preserve">–</w:t>
            </w:r>
          </w:p>
        </w:tc>
        <w:tc>
          <w:tcPr>
            <w:tcW w:w="392" w:type="dxa"/>
            <w:vAlign w:val="center"/>
          </w:tcPr>
          <w:p>
            <w:pPr>
              <w:pStyle w:val="TableText"/>
              <w:keepNext/>
              <w:jc w:val="left"/>
            </w:pPr>
            <w:r>
              <w:rPr>
                <w:sz w:val="16"/>
                <w:szCs w:val="16"/>
              </w:rPr>
              <w:t xml:space="preserve">–</w:t>
            </w:r>
          </w:p>
        </w:tc>
        <w:tc>
          <w:tcPr>
            <w:tcW w:w="392" w:type="dxa"/>
            <w:vAlign w:val="center"/>
          </w:tcPr>
          <w:p>
            <w:pPr>
              <w:pStyle w:val="TableText"/>
              <w:keepNext/>
              <w:jc w:val="left"/>
            </w:pPr>
            <w:r>
              <w:rPr>
                <w:sz w:val="16"/>
                <w:szCs w:val="16"/>
              </w:rPr>
              <w:t xml:space="preserve">–</w:t>
            </w:r>
          </w:p>
        </w:tc>
      </w:tr>
      <w:tr>
        <w:trPr>
          <w:cantSplit/>
        </w:trPr>
        <w:tc>
          <w:tcPr>
            <w:tcW w:w="1339" w:type="dxa"/>
            <w:vAlign w:val="center"/>
          </w:tcPr>
          <w:p>
            <w:pPr>
              <w:pStyle w:val="TableText"/>
              <w:jc w:val="left"/>
            </w:pPr>
            <w:r>
              <w:rPr>
                <w:sz w:val="16"/>
                <w:szCs w:val="16"/>
              </w:rPr>
              <w:t xml:space="preserve">CA 2015</w:t>
            </w:r>
          </w:p>
        </w:tc>
        <w:tc>
          <w:tcPr>
            <w:tcW w:w="460" w:type="dxa"/>
            <w:vAlign w:val="center"/>
          </w:tcPr>
          <w:p>
            <w:pPr>
              <w:pStyle w:val="TableText"/>
              <w:jc w:val="right"/>
            </w:pPr>
            <w:r>
              <w:rPr>
                <w:sz w:val="16"/>
                <w:szCs w:val="16"/>
              </w:rPr>
              <w:t xml:space="preserve">0.824</w:t>
            </w:r>
          </w:p>
        </w:tc>
        <w:tc>
          <w:tcPr>
            <w:tcW w:w="403" w:type="dxa"/>
            <w:vAlign w:val="center"/>
          </w:tcPr>
          <w:p>
            <w:pPr>
              <w:pStyle w:val="TableText"/>
              <w:jc w:val="right"/>
            </w:pPr>
            <w:r>
              <w:rPr>
                <w:sz w:val="16"/>
                <w:szCs w:val="16"/>
              </w:rPr>
              <w:t xml:space="preserve">−0.2</w:t>
            </w:r>
          </w:p>
        </w:tc>
        <w:tc>
          <w:tcPr>
            <w:tcW w:w="423" w:type="dxa"/>
            <w:vAlign w:val="center"/>
          </w:tcPr>
          <w:p>
            <w:pPr>
              <w:pStyle w:val="TableText"/>
              <w:jc w:val="right"/>
            </w:pPr>
            <w:r>
              <w:rPr>
                <w:sz w:val="16"/>
                <w:szCs w:val="16"/>
              </w:rPr>
              <w:t xml:space="preserve">−0.2</w:t>
            </w:r>
          </w:p>
        </w:tc>
        <w:tc>
          <w:tcPr>
            <w:tcW w:w="604" w:type="dxa"/>
            <w:vAlign w:val="center"/>
          </w:tcPr>
          <w:p>
            <w:pPr>
              <w:pStyle w:val="TableText"/>
              <w:jc w:val="right"/>
            </w:pPr>
            <w:r>
              <w:rPr>
                <w:sz w:val="16"/>
                <w:szCs w:val="16"/>
              </w:rPr>
              <w:t xml:space="preserve">+0.3</w:t>
            </w:r>
          </w:p>
        </w:tc>
        <w:tc>
          <w:tcPr>
            <w:tcW w:w="292" w:type="dxa"/>
            <w:vAlign w:val="center"/>
          </w:tcPr>
          <w:p>
            <w:pPr>
              <w:pStyle w:val="TableText"/>
              <w:jc w:val="center"/>
            </w:pPr>
            <w:r>
              <w:rPr>
                <w:sz w:val="16"/>
                <w:szCs w:val="16"/>
              </w:rPr>
              <w:t xml:space="preserve">✓</w:t>
            </w:r>
          </w:p>
        </w:tc>
        <w:tc>
          <w:tcPr>
            <w:tcW w:w="504" w:type="dxa"/>
            <w:vAlign w:val="center"/>
          </w:tcPr>
          <w:p>
            <w:pPr>
              <w:pStyle w:val="TableText"/>
              <w:jc w:val="center"/>
            </w:pPr>
            <w:r>
              <w:rPr>
                <w:sz w:val="16"/>
                <w:szCs w:val="16"/>
              </w:rPr>
              <w:t xml:space="preserve">–</w:t>
            </w:r>
          </w:p>
        </w:tc>
        <w:tc>
          <w:tcPr>
            <w:tcW w:w="460" w:type="dxa"/>
            <w:vAlign w:val="center"/>
          </w:tcPr>
          <w:p>
            <w:pPr>
              <w:pStyle w:val="TableText"/>
              <w:jc w:val="center"/>
            </w:pPr>
            <w:r>
              <w:rPr>
                <w:sz w:val="16"/>
                <w:szCs w:val="16"/>
              </w:rPr>
              <w:t xml:space="preserve">–</w:t>
            </w:r>
          </w:p>
        </w:tc>
        <w:tc>
          <w:tcPr>
            <w:tcW w:w="523" w:type="dxa"/>
            <w:vAlign w:val="center"/>
          </w:tcPr>
          <w:p>
            <w:pPr>
              <w:pStyle w:val="TableText"/>
              <w:jc w:val="center"/>
            </w:pPr>
            <w:r>
              <w:rPr>
                <w:sz w:val="16"/>
                <w:szCs w:val="16"/>
              </w:rPr>
              <w:t xml:space="preserve">–</w:t>
            </w:r>
          </w:p>
        </w:tc>
        <w:tc>
          <w:tcPr>
            <w:tcW w:w="312" w:type="dxa"/>
            <w:vAlign w:val="center"/>
          </w:tcPr>
          <w:p>
            <w:pPr>
              <w:pStyle w:val="TableText"/>
              <w:jc w:val="center"/>
            </w:pPr>
            <w:r>
              <w:rPr>
                <w:sz w:val="16"/>
                <w:szCs w:val="16"/>
              </w:rPr>
              <w:t xml:space="preserve">–</w:t>
            </w:r>
          </w:p>
        </w:tc>
        <w:tc>
          <w:tcPr>
            <w:tcW w:w="1128" w:type="dxa"/>
            <w:vAlign w:val="center"/>
          </w:tcPr>
          <w:p>
            <w:pPr>
              <w:pStyle w:val="TableText"/>
              <w:jc w:val="left"/>
            </w:pPr>
            <w:r>
              <w:rPr>
                <w:sz w:val="16"/>
                <w:szCs w:val="16"/>
              </w:rPr>
              <w:t xml:space="preserve">OCCP</w:t>
            </w:r>
          </w:p>
        </w:tc>
        <w:tc>
          <w:tcPr>
            <w:tcW w:w="392" w:type="dxa"/>
            <w:vAlign w:val="center"/>
          </w:tcPr>
          <w:p>
            <w:pPr>
              <w:pStyle w:val="TableText"/>
              <w:jc w:val="left"/>
            </w:pPr>
            <w:r>
              <w:rPr>
                <w:sz w:val="16"/>
                <w:szCs w:val="16"/>
              </w:rPr>
              <w:t xml:space="preserve">–</w:t>
            </w:r>
          </w:p>
        </w:tc>
        <w:tc>
          <w:tcPr>
            <w:tcW w:w="392" w:type="dxa"/>
            <w:vAlign w:val="center"/>
          </w:tcPr>
          <w:p>
            <w:pPr>
              <w:pStyle w:val="TableText"/>
              <w:jc w:val="left"/>
            </w:pPr>
            <w:r>
              <w:rPr>
                <w:sz w:val="16"/>
                <w:szCs w:val="16"/>
              </w:rPr>
              <w:t xml:space="preserve">–</w:t>
            </w:r>
          </w:p>
        </w:tc>
      </w:tr>
      <w:tr>
        <w:trPr>
          <w:cantSplit/>
        </w:trPr>
        <w:tc>
          <w:tcPr>
            <w:tcW w:w="1339" w:type="dxa"/>
            <w:vAlign w:val="center"/>
          </w:tcPr>
          <w:p>
            <w:pPr>
              <w:pStyle w:val="TableText"/>
              <w:jc w:val="left"/>
            </w:pPr>
            <w:r>
              <w:rPr>
                <w:sz w:val="16"/>
                <w:szCs w:val="16"/>
              </w:rPr>
              <w:t xml:space="preserve">CA 2016</w:t>
            </w:r>
          </w:p>
        </w:tc>
        <w:tc>
          <w:tcPr>
            <w:tcW w:w="460" w:type="dxa"/>
            <w:vAlign w:val="center"/>
          </w:tcPr>
          <w:p>
            <w:pPr>
              <w:pStyle w:val="TableText"/>
              <w:jc w:val="right"/>
            </w:pPr>
            <w:r>
              <w:rPr>
                <w:sz w:val="16"/>
                <w:szCs w:val="16"/>
              </w:rPr>
              <w:t xml:space="preserve">0.821</w:t>
            </w:r>
          </w:p>
        </w:tc>
        <w:tc>
          <w:tcPr>
            <w:tcW w:w="403" w:type="dxa"/>
            <w:vAlign w:val="center"/>
          </w:tcPr>
          <w:p>
            <w:pPr>
              <w:pStyle w:val="TableText"/>
              <w:jc w:val="right"/>
            </w:pPr>
            <w:r>
              <w:rPr>
                <w:sz w:val="16"/>
                <w:szCs w:val="16"/>
              </w:rPr>
              <w:t xml:space="preserve">−0.5</w:t>
            </w:r>
          </w:p>
        </w:tc>
        <w:tc>
          <w:tcPr>
            <w:tcW w:w="423" w:type="dxa"/>
            <w:vAlign w:val="center"/>
          </w:tcPr>
          <w:p>
            <w:pPr>
              <w:pStyle w:val="TableText"/>
              <w:jc w:val="right"/>
            </w:pPr>
            <w:r>
              <w:rPr>
                <w:sz w:val="16"/>
                <w:szCs w:val="16"/>
              </w:rPr>
              <w:t xml:space="preserve">−0.5</w:t>
            </w:r>
          </w:p>
        </w:tc>
        <w:tc>
          <w:tcPr>
            <w:tcW w:w="604" w:type="dxa"/>
            <w:vAlign w:val="center"/>
          </w:tcPr>
          <w:p>
            <w:pPr>
              <w:pStyle w:val="TableText"/>
              <w:jc w:val="right"/>
            </w:pPr>
            <w:r>
              <w:rPr>
                <w:sz w:val="16"/>
                <w:szCs w:val="16"/>
              </w:rPr>
              <w:t xml:space="preserve">+0.6</w:t>
            </w:r>
          </w:p>
        </w:tc>
        <w:tc>
          <w:tcPr>
            <w:tcW w:w="292" w:type="dxa"/>
            <w:vAlign w:val="center"/>
          </w:tcPr>
          <w:p>
            <w:pPr>
              <w:pStyle w:val="TableText"/>
              <w:jc w:val="center"/>
            </w:pPr>
            <w:r>
              <w:rPr>
                <w:sz w:val="16"/>
                <w:szCs w:val="16"/>
              </w:rPr>
              <w:t xml:space="preserve">✓</w:t>
            </w:r>
          </w:p>
        </w:tc>
        <w:tc>
          <w:tcPr>
            <w:tcW w:w="504" w:type="dxa"/>
            <w:vAlign w:val="center"/>
          </w:tcPr>
          <w:p>
            <w:pPr>
              <w:pStyle w:val="TableText"/>
              <w:jc w:val="center"/>
            </w:pPr>
            <w:r>
              <w:rPr>
                <w:sz w:val="16"/>
                <w:szCs w:val="16"/>
              </w:rPr>
              <w:t xml:space="preserve">–</w:t>
            </w:r>
          </w:p>
        </w:tc>
        <w:tc>
          <w:tcPr>
            <w:tcW w:w="460" w:type="dxa"/>
            <w:vAlign w:val="center"/>
          </w:tcPr>
          <w:p>
            <w:pPr>
              <w:pStyle w:val="TableText"/>
              <w:jc w:val="center"/>
            </w:pPr>
            <w:r>
              <w:rPr>
                <w:sz w:val="16"/>
                <w:szCs w:val="16"/>
              </w:rPr>
              <w:t xml:space="preserve">–</w:t>
            </w:r>
          </w:p>
        </w:tc>
        <w:tc>
          <w:tcPr>
            <w:tcW w:w="523" w:type="dxa"/>
            <w:vAlign w:val="center"/>
          </w:tcPr>
          <w:p>
            <w:pPr>
              <w:pStyle w:val="TableText"/>
              <w:jc w:val="center"/>
            </w:pPr>
            <w:r>
              <w:rPr>
                <w:sz w:val="16"/>
                <w:szCs w:val="16"/>
              </w:rPr>
              <w:t xml:space="preserve">✓</w:t>
            </w:r>
          </w:p>
        </w:tc>
        <w:tc>
          <w:tcPr>
            <w:tcW w:w="312" w:type="dxa"/>
            <w:vAlign w:val="center"/>
          </w:tcPr>
          <w:p>
            <w:pPr>
              <w:pStyle w:val="TableText"/>
              <w:jc w:val="center"/>
            </w:pPr>
            <w:r>
              <w:rPr>
                <w:sz w:val="16"/>
                <w:szCs w:val="16"/>
              </w:rPr>
              <w:t xml:space="preserve">✓</w:t>
            </w:r>
          </w:p>
        </w:tc>
        <w:tc>
          <w:tcPr>
            <w:tcW w:w="1128" w:type="dxa"/>
            <w:vAlign w:val="center"/>
          </w:tcPr>
          <w:p>
            <w:pPr>
              <w:pStyle w:val="TableText"/>
              <w:jc w:val="left"/>
            </w:pPr>
            <w:r>
              <w:rPr>
                <w:sz w:val="16"/>
                <w:szCs w:val="16"/>
              </w:rPr>
              <w:t xml:space="preserve">OCCP, POBP</w:t>
            </w:r>
          </w:p>
        </w:tc>
        <w:tc>
          <w:tcPr>
            <w:tcW w:w="392" w:type="dxa"/>
            <w:vAlign w:val="center"/>
          </w:tcPr>
          <w:p>
            <w:pPr>
              <w:pStyle w:val="TableText"/>
              <w:jc w:val="left"/>
            </w:pPr>
            <w:r>
              <w:rPr>
                <w:sz w:val="16"/>
                <w:szCs w:val="16"/>
              </w:rPr>
              <w:t xml:space="preserve">Cov.</w:t>
            </w:r>
          </w:p>
        </w:tc>
        <w:tc>
          <w:tcPr>
            <w:tcW w:w="392" w:type="dxa"/>
            <w:vAlign w:val="center"/>
          </w:tcPr>
          <w:p>
            <w:pPr>
              <w:pStyle w:val="TableText"/>
              <w:jc w:val="left"/>
            </w:pPr>
            <w:r>
              <w:rPr>
                <w:sz w:val="16"/>
                <w:szCs w:val="16"/>
              </w:rPr>
              <w:t xml:space="preserve">Cov.</w:t>
            </w:r>
          </w:p>
        </w:tc>
      </w:tr>
      <w:tr>
        <w:trPr>
          <w:cantSplit/>
        </w:trPr>
        <w:tc>
          <w:tcPr>
            <w:tcW w:w="1339" w:type="dxa"/>
            <w:vAlign w:val="center"/>
          </w:tcPr>
          <w:p>
            <w:pPr>
              <w:pStyle w:val="TableText"/>
              <w:jc w:val="left"/>
            </w:pPr>
            <w:r>
              <w:rPr>
                <w:sz w:val="16"/>
                <w:szCs w:val="16"/>
              </w:rPr>
              <w:t xml:space="preserve">CA 2017</w:t>
            </w:r>
          </w:p>
        </w:tc>
        <w:tc>
          <w:tcPr>
            <w:tcW w:w="460" w:type="dxa"/>
            <w:vAlign w:val="center"/>
          </w:tcPr>
          <w:p>
            <w:pPr>
              <w:pStyle w:val="TableText"/>
              <w:jc w:val="right"/>
            </w:pPr>
            <w:r>
              <w:rPr>
                <w:sz w:val="16"/>
                <w:szCs w:val="16"/>
              </w:rPr>
              <w:t xml:space="preserve">0.817</w:t>
            </w:r>
          </w:p>
        </w:tc>
        <w:tc>
          <w:tcPr>
            <w:tcW w:w="403" w:type="dxa"/>
            <w:vAlign w:val="center"/>
          </w:tcPr>
          <w:p>
            <w:pPr>
              <w:pStyle w:val="TableText"/>
              <w:jc w:val="right"/>
            </w:pPr>
            <w:r>
              <w:rPr>
                <w:sz w:val="16"/>
                <w:szCs w:val="16"/>
              </w:rPr>
              <w:t xml:space="preserve">−0.9</w:t>
            </w:r>
          </w:p>
        </w:tc>
        <w:tc>
          <w:tcPr>
            <w:tcW w:w="423" w:type="dxa"/>
            <w:vAlign w:val="center"/>
          </w:tcPr>
          <w:p>
            <w:pPr>
              <w:pStyle w:val="TableText"/>
              <w:jc w:val="right"/>
            </w:pPr>
            <w:r>
              <w:rPr>
                <w:sz w:val="16"/>
                <w:szCs w:val="16"/>
              </w:rPr>
              <w:t xml:space="preserve">−0.9</w:t>
            </w:r>
          </w:p>
        </w:tc>
        <w:tc>
          <w:tcPr>
            <w:tcW w:w="604" w:type="dxa"/>
            <w:vAlign w:val="center"/>
          </w:tcPr>
          <w:p>
            <w:pPr>
              <w:pStyle w:val="TableText"/>
              <w:jc w:val="right"/>
            </w:pPr>
            <w:r>
              <w:rPr>
                <w:sz w:val="16"/>
                <w:szCs w:val="16"/>
              </w:rPr>
              <w:t xml:space="preserve">+0.7</w:t>
            </w:r>
          </w:p>
        </w:tc>
        <w:tc>
          <w:tcPr>
            <w:tcW w:w="292" w:type="dxa"/>
            <w:vAlign w:val="center"/>
          </w:tcPr>
          <w:p>
            <w:pPr>
              <w:pStyle w:val="TableText"/>
              <w:jc w:val="center"/>
            </w:pPr>
            <w:r>
              <w:rPr>
                <w:sz w:val="16"/>
                <w:szCs w:val="16"/>
              </w:rPr>
              <w:t xml:space="preserve">✓</w:t>
            </w:r>
          </w:p>
        </w:tc>
        <w:tc>
          <w:tcPr>
            <w:tcW w:w="504" w:type="dxa"/>
            <w:vAlign w:val="center"/>
          </w:tcPr>
          <w:p>
            <w:pPr>
              <w:pStyle w:val="TableText"/>
              <w:jc w:val="center"/>
            </w:pPr>
            <w:r>
              <w:rPr>
                <w:sz w:val="16"/>
                <w:szCs w:val="16"/>
              </w:rPr>
              <w:t xml:space="preserve">✓</w:t>
            </w:r>
          </w:p>
        </w:tc>
        <w:tc>
          <w:tcPr>
            <w:tcW w:w="460" w:type="dxa"/>
            <w:vAlign w:val="center"/>
          </w:tcPr>
          <w:p>
            <w:pPr>
              <w:pStyle w:val="TableText"/>
              <w:jc w:val="center"/>
            </w:pPr>
            <w:r>
              <w:rPr>
                <w:sz w:val="16"/>
                <w:szCs w:val="16"/>
              </w:rPr>
              <w:t xml:space="preserve">✓</w:t>
            </w:r>
          </w:p>
        </w:tc>
        <w:tc>
          <w:tcPr>
            <w:tcW w:w="523" w:type="dxa"/>
            <w:vAlign w:val="center"/>
          </w:tcPr>
          <w:p>
            <w:pPr>
              <w:pStyle w:val="TableText"/>
              <w:jc w:val="center"/>
            </w:pPr>
            <w:r>
              <w:rPr>
                <w:sz w:val="16"/>
                <w:szCs w:val="16"/>
              </w:rPr>
              <w:t xml:space="preserve">✓</w:t>
            </w:r>
          </w:p>
        </w:tc>
        <w:tc>
          <w:tcPr>
            <w:tcW w:w="312" w:type="dxa"/>
            <w:vAlign w:val="center"/>
          </w:tcPr>
          <w:p>
            <w:pPr>
              <w:pStyle w:val="TableText"/>
              <w:jc w:val="center"/>
            </w:pPr>
            <w:r>
              <w:rPr>
                <w:sz w:val="16"/>
                <w:szCs w:val="16"/>
              </w:rPr>
              <w:t xml:space="preserve">–</w:t>
            </w:r>
          </w:p>
        </w:tc>
        <w:tc>
          <w:tcPr>
            <w:tcW w:w="1128" w:type="dxa"/>
            <w:vAlign w:val="center"/>
          </w:tcPr>
          <w:p>
            <w:pPr>
              <w:pStyle w:val="TableText"/>
              <w:jc w:val="left"/>
            </w:pPr>
            <w:r>
              <w:rPr>
                <w:sz w:val="16"/>
                <w:szCs w:val="16"/>
              </w:rPr>
              <w:t xml:space="preserve">OCCP, POBP</w:t>
            </w:r>
          </w:p>
        </w:tc>
        <w:tc>
          <w:tcPr>
            <w:tcW w:w="392" w:type="dxa"/>
            <w:vAlign w:val="center"/>
          </w:tcPr>
          <w:p>
            <w:pPr>
              <w:pStyle w:val="TableText"/>
              <w:jc w:val="left"/>
            </w:pPr>
            <w:r>
              <w:rPr>
                <w:sz w:val="16"/>
                <w:szCs w:val="16"/>
              </w:rPr>
              <w:t xml:space="preserve">Cov.</w:t>
            </w:r>
          </w:p>
        </w:tc>
        <w:tc>
          <w:tcPr>
            <w:tcW w:w="392" w:type="dxa"/>
            <w:vAlign w:val="center"/>
          </w:tcPr>
          <w:p>
            <w:pPr>
              <w:pStyle w:val="TableText"/>
              <w:jc w:val="left"/>
            </w:pPr>
            <w:r>
              <w:rPr>
                <w:sz w:val="16"/>
                <w:szCs w:val="16"/>
              </w:rPr>
              <w:t xml:space="preserve">Cov.</w:t>
            </w:r>
          </w:p>
        </w:tc>
      </w:tr>
      <w:tr>
        <w:trPr>
          <w:cantSplit/>
        </w:trPr>
        <w:tc>
          <w:tcPr>
            <w:tcW w:w="1339" w:type="dxa"/>
            <w:vAlign w:val="center"/>
          </w:tcPr>
          <w:p>
            <w:pPr>
              <w:pStyle w:val="TableText"/>
              <w:jc w:val="left"/>
            </w:pPr>
            <w:r>
              <w:rPr>
                <w:sz w:val="16"/>
                <w:szCs w:val="16"/>
              </w:rPr>
              <w:t xml:space="preserve">CA 2018</w:t>
            </w:r>
          </w:p>
        </w:tc>
        <w:tc>
          <w:tcPr>
            <w:tcW w:w="460" w:type="dxa"/>
            <w:vAlign w:val="center"/>
          </w:tcPr>
          <w:p>
            <w:pPr>
              <w:pStyle w:val="TableText"/>
              <w:jc w:val="right"/>
            </w:pPr>
            <w:r>
              <w:rPr>
                <w:sz w:val="16"/>
                <w:szCs w:val="16"/>
              </w:rPr>
              <w:t xml:space="preserve">0.795</w:t>
            </w:r>
          </w:p>
        </w:tc>
        <w:tc>
          <w:tcPr>
            <w:tcW w:w="403" w:type="dxa"/>
            <w:vAlign w:val="center"/>
          </w:tcPr>
          <w:p>
            <w:pPr>
              <w:pStyle w:val="TableText"/>
              <w:jc w:val="right"/>
            </w:pPr>
            <w:r>
              <w:rPr>
                <w:sz w:val="16"/>
                <w:szCs w:val="16"/>
              </w:rPr>
              <w:t xml:space="preserve">−3.2</w:t>
            </w:r>
          </w:p>
        </w:tc>
        <w:tc>
          <w:tcPr>
            <w:tcW w:w="423" w:type="dxa"/>
            <w:vAlign w:val="center"/>
          </w:tcPr>
          <w:p>
            <w:pPr>
              <w:pStyle w:val="TableText"/>
              <w:jc w:val="right"/>
            </w:pPr>
            <w:r>
              <w:rPr>
                <w:sz w:val="16"/>
                <w:szCs w:val="16"/>
              </w:rPr>
              <w:t xml:space="preserve">−2.2</w:t>
            </w:r>
          </w:p>
        </w:tc>
        <w:tc>
          <w:tcPr>
            <w:tcW w:w="604" w:type="dxa"/>
            <w:vAlign w:val="center"/>
          </w:tcPr>
          <w:p>
            <w:pPr>
              <w:pStyle w:val="TableText"/>
              <w:jc w:val="right"/>
            </w:pPr>
            <w:r>
              <w:rPr>
                <w:sz w:val="16"/>
                <w:szCs w:val="16"/>
              </w:rPr>
              <w:t xml:space="preserve">+1.2</w:t>
            </w:r>
          </w:p>
        </w:tc>
        <w:tc>
          <w:tcPr>
            <w:tcW w:w="292" w:type="dxa"/>
            <w:vAlign w:val="center"/>
          </w:tcPr>
          <w:p>
            <w:pPr>
              <w:pStyle w:val="TableText"/>
              <w:jc w:val="center"/>
            </w:pPr>
            <w:r>
              <w:rPr>
                <w:sz w:val="16"/>
                <w:szCs w:val="16"/>
              </w:rPr>
              <w:t xml:space="preserve">✓</w:t>
            </w:r>
          </w:p>
        </w:tc>
        <w:tc>
          <w:tcPr>
            <w:tcW w:w="504" w:type="dxa"/>
            <w:vAlign w:val="center"/>
          </w:tcPr>
          <w:p>
            <w:pPr>
              <w:pStyle w:val="TableText"/>
              <w:jc w:val="center"/>
            </w:pPr>
            <w:r>
              <w:rPr>
                <w:sz w:val="16"/>
                <w:szCs w:val="16"/>
              </w:rPr>
              <w:t xml:space="preserve">✓</w:t>
            </w:r>
          </w:p>
        </w:tc>
        <w:tc>
          <w:tcPr>
            <w:tcW w:w="460" w:type="dxa"/>
            <w:vAlign w:val="center"/>
          </w:tcPr>
          <w:p>
            <w:pPr>
              <w:pStyle w:val="TableText"/>
              <w:jc w:val="center"/>
            </w:pPr>
            <w:r>
              <w:rPr>
                <w:sz w:val="16"/>
                <w:szCs w:val="16"/>
              </w:rPr>
              <w:t xml:space="preserve">✓</w:t>
            </w:r>
          </w:p>
        </w:tc>
        <w:tc>
          <w:tcPr>
            <w:tcW w:w="523" w:type="dxa"/>
            <w:vAlign w:val="center"/>
          </w:tcPr>
          <w:p>
            <w:pPr>
              <w:pStyle w:val="TableText"/>
              <w:jc w:val="center"/>
            </w:pPr>
            <w:r>
              <w:rPr>
                <w:sz w:val="16"/>
                <w:szCs w:val="16"/>
              </w:rPr>
              <w:t xml:space="preserve">✓</w:t>
            </w:r>
          </w:p>
        </w:tc>
        <w:tc>
          <w:tcPr>
            <w:tcW w:w="312" w:type="dxa"/>
            <w:vAlign w:val="center"/>
          </w:tcPr>
          <w:p>
            <w:pPr>
              <w:pStyle w:val="TableText"/>
              <w:jc w:val="center"/>
            </w:pPr>
            <w:r>
              <w:rPr>
                <w:sz w:val="16"/>
                <w:szCs w:val="16"/>
              </w:rPr>
              <w:t xml:space="preserve">✓</w:t>
            </w:r>
          </w:p>
        </w:tc>
        <w:tc>
          <w:tcPr>
            <w:tcW w:w="1128" w:type="dxa"/>
            <w:vAlign w:val="center"/>
          </w:tcPr>
          <w:p>
            <w:pPr>
              <w:pStyle w:val="TableText"/>
              <w:jc w:val="left"/>
            </w:pPr>
            <w:r>
              <w:rPr>
                <w:sz w:val="16"/>
                <w:szCs w:val="16"/>
              </w:rPr>
              <w:t xml:space="preserve">OCCP, POBP</w:t>
            </w:r>
          </w:p>
        </w:tc>
        <w:tc>
          <w:tcPr>
            <w:tcW w:w="392" w:type="dxa"/>
            <w:vAlign w:val="center"/>
          </w:tcPr>
          <w:p>
            <w:pPr>
              <w:pStyle w:val="TableText"/>
              <w:jc w:val="left"/>
            </w:pPr>
            <w:r>
              <w:rPr>
                <w:sz w:val="16"/>
                <w:szCs w:val="16"/>
              </w:rPr>
              <w:t xml:space="preserve">Cov.</w:t>
            </w:r>
          </w:p>
        </w:tc>
        <w:tc>
          <w:tcPr>
            <w:tcW w:w="392" w:type="dxa"/>
            <w:vAlign w:val="center"/>
          </w:tcPr>
          <w:p>
            <w:pPr>
              <w:pStyle w:val="TableText"/>
              <w:jc w:val="left"/>
            </w:pPr>
            <w:r>
              <w:rPr>
                <w:sz w:val="16"/>
                <w:szCs w:val="16"/>
              </w:rPr>
              <w:t xml:space="preserve">Cov.</w:t>
            </w:r>
          </w:p>
        </w:tc>
      </w:tr>
      <w:tr>
        <w:trPr>
          <w:cantSplit/>
        </w:trPr>
        <w:tc>
          <w:tcPr>
            <w:tcW w:w="1339" w:type="dxa"/>
            <w:vAlign w:val="center"/>
          </w:tcPr>
          <w:p>
            <w:pPr>
              <w:pStyle w:val="TableText"/>
              <w:jc w:val="left"/>
            </w:pPr>
            <w:r>
              <w:rPr>
                <w:sz w:val="16"/>
                <w:szCs w:val="16"/>
              </w:rPr>
              <w:t xml:space="preserve">CA 2019</w:t>
            </w:r>
          </w:p>
        </w:tc>
        <w:tc>
          <w:tcPr>
            <w:tcW w:w="460" w:type="dxa"/>
            <w:vAlign w:val="center"/>
          </w:tcPr>
          <w:p>
            <w:pPr>
              <w:pStyle w:val="TableText"/>
              <w:jc w:val="right"/>
            </w:pPr>
            <w:r>
              <w:rPr>
                <w:sz w:val="16"/>
                <w:szCs w:val="16"/>
              </w:rPr>
              <w:t xml:space="preserve">0.784</w:t>
            </w:r>
          </w:p>
        </w:tc>
        <w:tc>
          <w:tcPr>
            <w:tcW w:w="403" w:type="dxa"/>
            <w:vAlign w:val="center"/>
          </w:tcPr>
          <w:p>
            <w:pPr>
              <w:pStyle w:val="TableText"/>
              <w:jc w:val="right"/>
            </w:pPr>
            <w:r>
              <w:rPr>
                <w:sz w:val="16"/>
                <w:szCs w:val="16"/>
              </w:rPr>
              <w:t xml:space="preserve">−4.2</w:t>
            </w:r>
          </w:p>
        </w:tc>
        <w:tc>
          <w:tcPr>
            <w:tcW w:w="423" w:type="dxa"/>
            <w:vAlign w:val="center"/>
          </w:tcPr>
          <w:p>
            <w:pPr>
              <w:pStyle w:val="TableText"/>
              <w:jc w:val="right"/>
            </w:pPr>
            <w:r>
              <w:rPr>
                <w:sz w:val="16"/>
                <w:szCs w:val="16"/>
              </w:rPr>
              <w:t xml:space="preserve">−3.0</w:t>
            </w:r>
          </w:p>
        </w:tc>
        <w:tc>
          <w:tcPr>
            <w:tcW w:w="604" w:type="dxa"/>
            <w:vAlign w:val="center"/>
          </w:tcPr>
          <w:p>
            <w:pPr>
              <w:pStyle w:val="TableText"/>
              <w:jc w:val="right"/>
            </w:pPr>
            <w:r>
              <w:rPr>
                <w:sz w:val="16"/>
                <w:szCs w:val="16"/>
              </w:rPr>
              <w:t xml:space="preserve">+2.0</w:t>
            </w:r>
          </w:p>
        </w:tc>
        <w:tc>
          <w:tcPr>
            <w:tcW w:w="292" w:type="dxa"/>
            <w:vAlign w:val="center"/>
          </w:tcPr>
          <w:p>
            <w:pPr>
              <w:pStyle w:val="TableText"/>
              <w:jc w:val="center"/>
            </w:pPr>
            <w:r>
              <w:rPr>
                <w:sz w:val="16"/>
                <w:szCs w:val="16"/>
              </w:rPr>
              <w:t xml:space="preserve">✓</w:t>
            </w:r>
          </w:p>
        </w:tc>
        <w:tc>
          <w:tcPr>
            <w:tcW w:w="504" w:type="dxa"/>
            <w:vAlign w:val="center"/>
          </w:tcPr>
          <w:p>
            <w:pPr>
              <w:pStyle w:val="TableText"/>
              <w:jc w:val="center"/>
            </w:pPr>
            <w:r>
              <w:rPr>
                <w:sz w:val="16"/>
                <w:szCs w:val="16"/>
              </w:rPr>
              <w:t xml:space="preserve">✓</w:t>
            </w:r>
          </w:p>
        </w:tc>
        <w:tc>
          <w:tcPr>
            <w:tcW w:w="460" w:type="dxa"/>
            <w:vAlign w:val="center"/>
          </w:tcPr>
          <w:p>
            <w:pPr>
              <w:pStyle w:val="TableText"/>
              <w:jc w:val="center"/>
            </w:pPr>
            <w:r>
              <w:rPr>
                <w:sz w:val="16"/>
                <w:szCs w:val="16"/>
              </w:rPr>
              <w:t xml:space="preserve">✓</w:t>
            </w:r>
          </w:p>
        </w:tc>
        <w:tc>
          <w:tcPr>
            <w:tcW w:w="523" w:type="dxa"/>
            <w:vAlign w:val="center"/>
          </w:tcPr>
          <w:p>
            <w:pPr>
              <w:pStyle w:val="TableText"/>
              <w:jc w:val="center"/>
            </w:pPr>
            <w:r>
              <w:rPr>
                <w:sz w:val="16"/>
                <w:szCs w:val="16"/>
              </w:rPr>
              <w:t xml:space="preserve">✓</w:t>
            </w:r>
          </w:p>
        </w:tc>
        <w:tc>
          <w:tcPr>
            <w:tcW w:w="312" w:type="dxa"/>
            <w:vAlign w:val="center"/>
          </w:tcPr>
          <w:p>
            <w:pPr>
              <w:pStyle w:val="TableText"/>
              <w:jc w:val="center"/>
            </w:pPr>
            <w:r>
              <w:rPr>
                <w:sz w:val="16"/>
                <w:szCs w:val="16"/>
              </w:rPr>
              <w:t xml:space="preserve">✓</w:t>
            </w:r>
          </w:p>
        </w:tc>
        <w:tc>
          <w:tcPr>
            <w:tcW w:w="1128" w:type="dxa"/>
            <w:vAlign w:val="center"/>
          </w:tcPr>
          <w:p>
            <w:pPr>
              <w:pStyle w:val="TableText"/>
              <w:jc w:val="left"/>
            </w:pPr>
            <w:r>
              <w:rPr>
                <w:sz w:val="16"/>
                <w:szCs w:val="16"/>
              </w:rPr>
              <w:t xml:space="preserve">OCCP, RELP</w:t>
            </w:r>
          </w:p>
        </w:tc>
        <w:tc>
          <w:tcPr>
            <w:tcW w:w="392" w:type="dxa"/>
            <w:vAlign w:val="center"/>
          </w:tcPr>
          <w:p>
            <w:pPr>
              <w:pStyle w:val="TableText"/>
              <w:jc w:val="left"/>
            </w:pPr>
            <w:r>
              <w:rPr>
                <w:sz w:val="16"/>
                <w:szCs w:val="16"/>
              </w:rPr>
              <w:t xml:space="preserve">Cov.</w:t>
            </w:r>
          </w:p>
        </w:tc>
        <w:tc>
          <w:tcPr>
            <w:tcW w:w="392" w:type="dxa"/>
            <w:vAlign w:val="center"/>
          </w:tcPr>
          <w:p>
            <w:pPr>
              <w:pStyle w:val="TableText"/>
              <w:jc w:val="left"/>
            </w:pPr>
            <w:r>
              <w:rPr>
                <w:sz w:val="16"/>
                <w:szCs w:val="16"/>
              </w:rPr>
              <w:t xml:space="preserve">Cov.</w:t>
            </w:r>
          </w:p>
        </w:tc>
      </w:tr>
      <w:tr>
        <w:trPr>
          <w:cantSplit/>
        </w:trPr>
        <w:tc>
          <w:tcPr>
            <w:tcW w:w="1339" w:type="dxa"/>
            <w:vAlign w:val="center"/>
          </w:tcPr>
          <w:p>
            <w:pPr>
              <w:pStyle w:val="TableText"/>
              <w:jc w:val="left"/>
            </w:pPr>
            <w:r>
              <w:rPr>
                <w:sz w:val="16"/>
                <w:szCs w:val="16"/>
              </w:rPr>
              <w:t xml:space="preserve">CA 2021</w:t>
            </w:r>
          </w:p>
        </w:tc>
        <w:tc>
          <w:tcPr>
            <w:tcW w:w="460" w:type="dxa"/>
            <w:vAlign w:val="center"/>
          </w:tcPr>
          <w:p>
            <w:pPr>
              <w:pStyle w:val="TableText"/>
              <w:jc w:val="right"/>
            </w:pPr>
            <w:r>
              <w:rPr>
                <w:sz w:val="16"/>
                <w:szCs w:val="16"/>
              </w:rPr>
              <w:t xml:space="preserve">0.770</w:t>
            </w:r>
          </w:p>
        </w:tc>
        <w:tc>
          <w:tcPr>
            <w:tcW w:w="403" w:type="dxa"/>
            <w:vAlign w:val="center"/>
          </w:tcPr>
          <w:p>
            <w:pPr>
              <w:pStyle w:val="TableText"/>
              <w:jc w:val="right"/>
            </w:pPr>
            <w:r>
              <w:rPr>
                <w:sz w:val="16"/>
                <w:szCs w:val="16"/>
              </w:rPr>
              <w:t xml:space="preserve">−5.6</w:t>
            </w:r>
          </w:p>
        </w:tc>
        <w:tc>
          <w:tcPr>
            <w:tcW w:w="423" w:type="dxa"/>
            <w:vAlign w:val="center"/>
          </w:tcPr>
          <w:p>
            <w:pPr>
              <w:pStyle w:val="TableText"/>
              <w:jc w:val="right"/>
            </w:pPr>
            <w:r>
              <w:rPr>
                <w:sz w:val="16"/>
                <w:szCs w:val="16"/>
              </w:rPr>
              <w:t xml:space="preserve">−4.4</w:t>
            </w:r>
          </w:p>
        </w:tc>
        <w:tc>
          <w:tcPr>
            <w:tcW w:w="604" w:type="dxa"/>
            <w:vAlign w:val="center"/>
          </w:tcPr>
          <w:p>
            <w:pPr>
              <w:pStyle w:val="TableText"/>
              <w:jc w:val="right"/>
            </w:pPr>
            <w:r>
              <w:rPr>
                <w:sz w:val="16"/>
                <w:szCs w:val="16"/>
              </w:rPr>
              <w:t xml:space="preserve">+3.6</w:t>
            </w:r>
          </w:p>
        </w:tc>
        <w:tc>
          <w:tcPr>
            <w:tcW w:w="292" w:type="dxa"/>
            <w:vAlign w:val="center"/>
          </w:tcPr>
          <w:p>
            <w:pPr>
              <w:pStyle w:val="TableText"/>
              <w:jc w:val="center"/>
            </w:pPr>
            <w:r>
              <w:rPr>
                <w:sz w:val="16"/>
                <w:szCs w:val="16"/>
              </w:rPr>
              <w:t xml:space="preserve">✓</w:t>
            </w:r>
          </w:p>
        </w:tc>
        <w:tc>
          <w:tcPr>
            <w:tcW w:w="504" w:type="dxa"/>
            <w:vAlign w:val="center"/>
          </w:tcPr>
          <w:p>
            <w:pPr>
              <w:pStyle w:val="TableText"/>
              <w:jc w:val="center"/>
            </w:pPr>
            <w:r>
              <w:rPr>
                <w:sz w:val="16"/>
                <w:szCs w:val="16"/>
              </w:rPr>
              <w:t xml:space="preserve">✓</w:t>
            </w:r>
          </w:p>
        </w:tc>
        <w:tc>
          <w:tcPr>
            <w:tcW w:w="460" w:type="dxa"/>
            <w:vAlign w:val="center"/>
          </w:tcPr>
          <w:p>
            <w:pPr>
              <w:pStyle w:val="TableText"/>
              <w:jc w:val="center"/>
            </w:pPr>
            <w:r>
              <w:rPr>
                <w:sz w:val="16"/>
                <w:szCs w:val="16"/>
              </w:rPr>
              <w:t xml:space="preserve">✓</w:t>
            </w:r>
          </w:p>
        </w:tc>
        <w:tc>
          <w:tcPr>
            <w:tcW w:w="523" w:type="dxa"/>
            <w:vAlign w:val="center"/>
          </w:tcPr>
          <w:p>
            <w:pPr>
              <w:pStyle w:val="TableText"/>
              <w:jc w:val="center"/>
            </w:pPr>
            <w:r>
              <w:rPr>
                <w:sz w:val="16"/>
                <w:szCs w:val="16"/>
              </w:rPr>
              <w:t xml:space="preserve">✓</w:t>
            </w:r>
          </w:p>
        </w:tc>
        <w:tc>
          <w:tcPr>
            <w:tcW w:w="312" w:type="dxa"/>
            <w:vAlign w:val="center"/>
          </w:tcPr>
          <w:p>
            <w:pPr>
              <w:pStyle w:val="TableText"/>
              <w:jc w:val="center"/>
            </w:pPr>
            <w:r>
              <w:rPr>
                <w:sz w:val="16"/>
                <w:szCs w:val="16"/>
              </w:rPr>
              <w:t xml:space="preserve">✓</w:t>
            </w:r>
          </w:p>
        </w:tc>
        <w:tc>
          <w:tcPr>
            <w:tcW w:w="1128" w:type="dxa"/>
            <w:vAlign w:val="center"/>
          </w:tcPr>
          <w:p>
            <w:pPr>
              <w:pStyle w:val="TableText"/>
              <w:jc w:val="left"/>
            </w:pPr>
            <w:r>
              <w:rPr>
                <w:sz w:val="16"/>
                <w:szCs w:val="16"/>
              </w:rPr>
              <w:t xml:space="preserve">OCCP, RAC1P</w:t>
            </w:r>
          </w:p>
        </w:tc>
        <w:tc>
          <w:tcPr>
            <w:tcW w:w="392" w:type="dxa"/>
            <w:vAlign w:val="center"/>
          </w:tcPr>
          <w:p>
            <w:pPr>
              <w:pStyle w:val="TableText"/>
              <w:jc w:val="left"/>
            </w:pPr>
            <w:r>
              <w:rPr>
                <w:sz w:val="16"/>
                <w:szCs w:val="16"/>
              </w:rPr>
              <w:t xml:space="preserve">Cov.</w:t>
            </w:r>
          </w:p>
        </w:tc>
        <w:tc>
          <w:tcPr>
            <w:tcW w:w="392" w:type="dxa"/>
            <w:vAlign w:val="center"/>
          </w:tcPr>
          <w:p>
            <w:pPr>
              <w:pStyle w:val="TableText"/>
              <w:jc w:val="left"/>
            </w:pPr>
            <w:r>
              <w:rPr>
                <w:sz w:val="16"/>
                <w:szCs w:val="16"/>
              </w:rPr>
              <w:t xml:space="preserve">Cov.</w:t>
            </w:r>
          </w:p>
        </w:tc>
      </w:tr>
      <w:tr>
        <w:trPr>
          <w:cantSplit/>
        </w:trPr>
        <w:tc>
          <w:tcPr>
            <w:tcW w:w="1339" w:type="dxa"/>
            <w:vAlign w:val="center"/>
          </w:tcPr>
          <w:p>
            <w:pPr>
              <w:pStyle w:val="TableText"/>
              <w:jc w:val="left"/>
            </w:pPr>
            <w:r>
              <w:rPr>
                <w:sz w:val="16"/>
                <w:szCs w:val="16"/>
              </w:rPr>
              <w:t xml:space="preserve">CA 2022</w:t>
            </w:r>
          </w:p>
        </w:tc>
        <w:tc>
          <w:tcPr>
            <w:tcW w:w="460" w:type="dxa"/>
            <w:vAlign w:val="center"/>
          </w:tcPr>
          <w:p>
            <w:pPr>
              <w:pStyle w:val="TableText"/>
              <w:jc w:val="right"/>
            </w:pPr>
            <w:r>
              <w:rPr>
                <w:sz w:val="16"/>
                <w:szCs w:val="16"/>
              </w:rPr>
              <w:t xml:space="preserve">0.760</w:t>
            </w:r>
          </w:p>
        </w:tc>
        <w:tc>
          <w:tcPr>
            <w:tcW w:w="403" w:type="dxa"/>
            <w:vAlign w:val="center"/>
          </w:tcPr>
          <w:p>
            <w:pPr>
              <w:pStyle w:val="TableText"/>
              <w:jc w:val="right"/>
            </w:pPr>
            <w:r>
              <w:rPr>
                <w:sz w:val="16"/>
                <w:szCs w:val="16"/>
              </w:rPr>
              <w:t xml:space="preserve">−6.6</w:t>
            </w:r>
          </w:p>
        </w:tc>
        <w:tc>
          <w:tcPr>
            <w:tcW w:w="423" w:type="dxa"/>
            <w:vAlign w:val="center"/>
          </w:tcPr>
          <w:p>
            <w:pPr>
              <w:pStyle w:val="TableText"/>
              <w:jc w:val="right"/>
            </w:pPr>
            <w:r>
              <w:rPr>
                <w:sz w:val="16"/>
                <w:szCs w:val="16"/>
              </w:rPr>
              <w:t xml:space="preserve">−5.1</w:t>
            </w:r>
          </w:p>
        </w:tc>
        <w:tc>
          <w:tcPr>
            <w:tcW w:w="604" w:type="dxa"/>
            <w:vAlign w:val="center"/>
          </w:tcPr>
          <w:p>
            <w:pPr>
              <w:pStyle w:val="TableText"/>
              <w:jc w:val="right"/>
            </w:pPr>
            <w:r>
              <w:rPr>
                <w:sz w:val="16"/>
                <w:szCs w:val="16"/>
              </w:rPr>
              <w:t xml:space="preserve">+4.6</w:t>
            </w:r>
          </w:p>
        </w:tc>
        <w:tc>
          <w:tcPr>
            <w:tcW w:w="292" w:type="dxa"/>
            <w:vAlign w:val="center"/>
          </w:tcPr>
          <w:p>
            <w:pPr>
              <w:pStyle w:val="TableText"/>
              <w:jc w:val="center"/>
            </w:pPr>
            <w:r>
              <w:rPr>
                <w:sz w:val="16"/>
                <w:szCs w:val="16"/>
              </w:rPr>
              <w:t xml:space="preserve">✓</w:t>
            </w:r>
          </w:p>
        </w:tc>
        <w:tc>
          <w:tcPr>
            <w:tcW w:w="504" w:type="dxa"/>
            <w:vAlign w:val="center"/>
          </w:tcPr>
          <w:p>
            <w:pPr>
              <w:pStyle w:val="TableText"/>
              <w:jc w:val="center"/>
            </w:pPr>
            <w:r>
              <w:rPr>
                <w:sz w:val="16"/>
                <w:szCs w:val="16"/>
              </w:rPr>
              <w:t xml:space="preserve">✓</w:t>
            </w:r>
          </w:p>
        </w:tc>
        <w:tc>
          <w:tcPr>
            <w:tcW w:w="460" w:type="dxa"/>
            <w:vAlign w:val="center"/>
          </w:tcPr>
          <w:p>
            <w:pPr>
              <w:pStyle w:val="TableText"/>
              <w:jc w:val="center"/>
            </w:pPr>
            <w:r>
              <w:rPr>
                <w:sz w:val="16"/>
                <w:szCs w:val="16"/>
              </w:rPr>
              <w:t xml:space="preserve">✓</w:t>
            </w:r>
          </w:p>
        </w:tc>
        <w:tc>
          <w:tcPr>
            <w:tcW w:w="523" w:type="dxa"/>
            <w:vAlign w:val="center"/>
          </w:tcPr>
          <w:p>
            <w:pPr>
              <w:pStyle w:val="TableText"/>
              <w:jc w:val="center"/>
            </w:pPr>
            <w:r>
              <w:rPr>
                <w:sz w:val="16"/>
                <w:szCs w:val="16"/>
              </w:rPr>
              <w:t xml:space="preserve">✓</w:t>
            </w:r>
          </w:p>
        </w:tc>
        <w:tc>
          <w:tcPr>
            <w:tcW w:w="312" w:type="dxa"/>
            <w:vAlign w:val="center"/>
          </w:tcPr>
          <w:p>
            <w:pPr>
              <w:pStyle w:val="TableText"/>
              <w:jc w:val="center"/>
            </w:pPr>
            <w:r>
              <w:rPr>
                <w:sz w:val="16"/>
                <w:szCs w:val="16"/>
              </w:rPr>
              <w:t xml:space="preserve">✓</w:t>
            </w:r>
          </w:p>
        </w:tc>
        <w:tc>
          <w:tcPr>
            <w:tcW w:w="1128" w:type="dxa"/>
            <w:vAlign w:val="center"/>
          </w:tcPr>
          <w:p>
            <w:pPr>
              <w:pStyle w:val="TableText"/>
              <w:jc w:val="left"/>
            </w:pPr>
            <w:r>
              <w:rPr>
                <w:sz w:val="16"/>
                <w:szCs w:val="16"/>
              </w:rPr>
              <w:t xml:space="preserve">OCCP, RAC1P</w:t>
            </w:r>
          </w:p>
        </w:tc>
        <w:tc>
          <w:tcPr>
            <w:tcW w:w="392" w:type="dxa"/>
            <w:vAlign w:val="center"/>
          </w:tcPr>
          <w:p>
            <w:pPr>
              <w:pStyle w:val="TableText"/>
              <w:jc w:val="left"/>
            </w:pPr>
            <w:r>
              <w:rPr>
                <w:sz w:val="16"/>
                <w:szCs w:val="16"/>
              </w:rPr>
              <w:t xml:space="preserve">Cov.</w:t>
            </w:r>
          </w:p>
        </w:tc>
        <w:tc>
          <w:tcPr>
            <w:tcW w:w="392" w:type="dxa"/>
            <w:vAlign w:val="center"/>
          </w:tcPr>
          <w:p>
            <w:pPr>
              <w:pStyle w:val="TableText"/>
              <w:jc w:val="left"/>
            </w:pPr>
            <w:r>
              <w:rPr>
                <w:sz w:val="16"/>
                <w:szCs w:val="16"/>
              </w:rPr>
              <w:t xml:space="preserve">Cov.</w:t>
            </w:r>
          </w:p>
        </w:tc>
      </w:tr>
      <w:tr>
        <w:trPr>
          <w:cantSplit/>
        </w:trPr>
        <w:tc>
          <w:tcPr>
            <w:tcW w:w="1339" w:type="dxa"/>
            <w:vAlign w:val="center"/>
          </w:tcPr>
          <w:p>
            <w:pPr>
              <w:pStyle w:val="TableText"/>
              <w:jc w:val="left"/>
            </w:pPr>
            <w:r>
              <w:rPr>
                <w:sz w:val="16"/>
                <w:szCs w:val="16"/>
              </w:rPr>
              <w:t xml:space="preserve">CA 2023</w:t>
            </w:r>
          </w:p>
        </w:tc>
        <w:tc>
          <w:tcPr>
            <w:tcW w:w="460" w:type="dxa"/>
            <w:vAlign w:val="center"/>
          </w:tcPr>
          <w:p>
            <w:pPr>
              <w:pStyle w:val="TableText"/>
              <w:jc w:val="right"/>
            </w:pPr>
            <w:r>
              <w:rPr>
                <w:sz w:val="16"/>
                <w:szCs w:val="16"/>
              </w:rPr>
              <w:t xml:space="preserve">0.749</w:t>
            </w:r>
          </w:p>
        </w:tc>
        <w:tc>
          <w:tcPr>
            <w:tcW w:w="403" w:type="dxa"/>
            <w:vAlign w:val="center"/>
          </w:tcPr>
          <w:p>
            <w:pPr>
              <w:pStyle w:val="TableText"/>
              <w:jc w:val="right"/>
            </w:pPr>
            <w:r>
              <w:rPr>
                <w:sz w:val="16"/>
                <w:szCs w:val="16"/>
              </w:rPr>
              <w:t xml:space="preserve">−7.7</w:t>
            </w:r>
          </w:p>
        </w:tc>
        <w:tc>
          <w:tcPr>
            <w:tcW w:w="423" w:type="dxa"/>
            <w:vAlign w:val="center"/>
          </w:tcPr>
          <w:p>
            <w:pPr>
              <w:pStyle w:val="TableText"/>
              <w:jc w:val="right"/>
            </w:pPr>
            <w:r>
              <w:rPr>
                <w:sz w:val="16"/>
                <w:szCs w:val="16"/>
              </w:rPr>
              <w:t xml:space="preserve">−6.1</w:t>
            </w:r>
          </w:p>
        </w:tc>
        <w:tc>
          <w:tcPr>
            <w:tcW w:w="604" w:type="dxa"/>
            <w:vAlign w:val="center"/>
          </w:tcPr>
          <w:p>
            <w:pPr>
              <w:pStyle w:val="TableText"/>
              <w:jc w:val="right"/>
            </w:pPr>
            <w:r>
              <w:rPr>
                <w:sz w:val="16"/>
                <w:szCs w:val="16"/>
              </w:rPr>
              <w:t xml:space="preserve">+5.7</w:t>
            </w:r>
          </w:p>
        </w:tc>
        <w:tc>
          <w:tcPr>
            <w:tcW w:w="292" w:type="dxa"/>
            <w:vAlign w:val="center"/>
          </w:tcPr>
          <w:p>
            <w:pPr>
              <w:pStyle w:val="TableText"/>
              <w:jc w:val="center"/>
            </w:pPr>
            <w:r>
              <w:rPr>
                <w:sz w:val="16"/>
                <w:szCs w:val="16"/>
              </w:rPr>
              <w:t xml:space="preserve">✓</w:t>
            </w:r>
          </w:p>
        </w:tc>
        <w:tc>
          <w:tcPr>
            <w:tcW w:w="504" w:type="dxa"/>
            <w:vAlign w:val="center"/>
          </w:tcPr>
          <w:p>
            <w:pPr>
              <w:pStyle w:val="TableText"/>
              <w:jc w:val="center"/>
            </w:pPr>
            <w:r>
              <w:rPr>
                <w:sz w:val="16"/>
                <w:szCs w:val="16"/>
              </w:rPr>
              <w:t xml:space="preserve">✓</w:t>
            </w:r>
          </w:p>
        </w:tc>
        <w:tc>
          <w:tcPr>
            <w:tcW w:w="460" w:type="dxa"/>
            <w:vAlign w:val="center"/>
          </w:tcPr>
          <w:p>
            <w:pPr>
              <w:pStyle w:val="TableText"/>
              <w:jc w:val="center"/>
            </w:pPr>
            <w:r>
              <w:rPr>
                <w:sz w:val="16"/>
                <w:szCs w:val="16"/>
              </w:rPr>
              <w:t xml:space="preserve">✓</w:t>
            </w:r>
          </w:p>
        </w:tc>
        <w:tc>
          <w:tcPr>
            <w:tcW w:w="523" w:type="dxa"/>
            <w:vAlign w:val="center"/>
          </w:tcPr>
          <w:p>
            <w:pPr>
              <w:pStyle w:val="TableText"/>
              <w:jc w:val="center"/>
            </w:pPr>
            <w:r>
              <w:rPr>
                <w:sz w:val="16"/>
                <w:szCs w:val="16"/>
              </w:rPr>
              <w:t xml:space="preserve">✓</w:t>
            </w:r>
          </w:p>
        </w:tc>
        <w:tc>
          <w:tcPr>
            <w:tcW w:w="312" w:type="dxa"/>
            <w:vAlign w:val="center"/>
          </w:tcPr>
          <w:p>
            <w:pPr>
              <w:pStyle w:val="TableText"/>
              <w:jc w:val="center"/>
            </w:pPr>
            <w:r>
              <w:rPr>
                <w:sz w:val="16"/>
                <w:szCs w:val="16"/>
              </w:rPr>
              <w:t xml:space="preserve">✓</w:t>
            </w:r>
          </w:p>
        </w:tc>
        <w:tc>
          <w:tcPr>
            <w:tcW w:w="1128" w:type="dxa"/>
            <w:vAlign w:val="center"/>
          </w:tcPr>
          <w:p>
            <w:pPr>
              <w:pStyle w:val="TableText"/>
              <w:jc w:val="left"/>
            </w:pPr>
            <w:r>
              <w:rPr>
                <w:sz w:val="16"/>
                <w:szCs w:val="16"/>
              </w:rPr>
              <w:t xml:space="preserve">OCCP, RAC1P</w:t>
            </w:r>
          </w:p>
        </w:tc>
        <w:tc>
          <w:tcPr>
            <w:tcW w:w="392" w:type="dxa"/>
            <w:vAlign w:val="center"/>
          </w:tcPr>
          <w:p>
            <w:pPr>
              <w:pStyle w:val="TableText"/>
              <w:jc w:val="left"/>
            </w:pPr>
            <w:r>
              <w:rPr>
                <w:sz w:val="16"/>
                <w:szCs w:val="16"/>
              </w:rPr>
              <w:t xml:space="preserve">Cov.</w:t>
            </w:r>
          </w:p>
        </w:tc>
        <w:tc>
          <w:tcPr>
            <w:tcW w:w="392" w:type="dxa"/>
            <w:vAlign w:val="center"/>
          </w:tcPr>
          <w:p>
            <w:pPr>
              <w:pStyle w:val="TableText"/>
              <w:jc w:val="left"/>
            </w:pPr>
            <w:r>
              <w:rPr>
                <w:sz w:val="16"/>
                <w:szCs w:val="16"/>
              </w:rPr>
              <w:t xml:space="preserve">Cov.</w:t>
            </w:r>
          </w:p>
        </w:tc>
      </w:tr>
      <w:tr>
        <w:trPr>
          <w:cantSplit/>
        </w:trPr>
        <w:tc>
          <w:tcPr>
            <w:tcW w:w="1339" w:type="dxa"/>
            <w:vAlign w:val="center"/>
          </w:tcPr>
          <w:p>
            <w:pPr>
              <w:pStyle w:val="TableText"/>
              <w:jc w:val="left"/>
            </w:pPr>
            <w:r>
              <w:rPr>
                <w:sz w:val="16"/>
                <w:szCs w:val="16"/>
              </w:rPr>
              <w:t xml:space="preserve">TX 2014</w:t>
            </w:r>
          </w:p>
        </w:tc>
        <w:tc>
          <w:tcPr>
            <w:tcW w:w="460" w:type="dxa"/>
            <w:vAlign w:val="center"/>
          </w:tcPr>
          <w:p>
            <w:pPr>
              <w:pStyle w:val="TableText"/>
              <w:jc w:val="right"/>
            </w:pPr>
            <w:r>
              <w:rPr>
                <w:sz w:val="16"/>
                <w:szCs w:val="16"/>
              </w:rPr>
              <w:t xml:space="preserve">0.802</w:t>
            </w:r>
          </w:p>
        </w:tc>
        <w:tc>
          <w:tcPr>
            <w:tcW w:w="403" w:type="dxa"/>
            <w:vAlign w:val="center"/>
          </w:tcPr>
          <w:p>
            <w:pPr>
              <w:pStyle w:val="TableText"/>
              <w:jc w:val="right"/>
            </w:pPr>
            <w:r>
              <w:rPr>
                <w:sz w:val="16"/>
                <w:szCs w:val="16"/>
              </w:rPr>
              <w:t xml:space="preserve">−2.4</w:t>
            </w:r>
          </w:p>
        </w:tc>
        <w:tc>
          <w:tcPr>
            <w:tcW w:w="423" w:type="dxa"/>
            <w:vAlign w:val="center"/>
          </w:tcPr>
          <w:p>
            <w:pPr>
              <w:pStyle w:val="TableText"/>
              <w:jc w:val="right"/>
            </w:pPr>
            <w:r>
              <w:rPr>
                <w:sz w:val="16"/>
                <w:szCs w:val="16"/>
              </w:rPr>
              <w:t xml:space="preserve">−2.7</w:t>
            </w:r>
          </w:p>
        </w:tc>
        <w:tc>
          <w:tcPr>
            <w:tcW w:w="604" w:type="dxa"/>
            <w:vAlign w:val="center"/>
          </w:tcPr>
          <w:p>
            <w:pPr>
              <w:pStyle w:val="TableText"/>
              <w:jc w:val="right"/>
            </w:pPr>
            <w:r>
              <w:rPr>
                <w:sz w:val="16"/>
                <w:szCs w:val="16"/>
              </w:rPr>
              <w:t xml:space="preserve">+1.1</w:t>
            </w:r>
          </w:p>
        </w:tc>
        <w:tc>
          <w:tcPr>
            <w:tcW w:w="292" w:type="dxa"/>
            <w:vAlign w:val="center"/>
          </w:tcPr>
          <w:p>
            <w:pPr>
              <w:pStyle w:val="TableText"/>
              <w:jc w:val="center"/>
            </w:pPr>
            <w:r>
              <w:rPr>
                <w:sz w:val="16"/>
                <w:szCs w:val="16"/>
              </w:rPr>
              <w:t xml:space="preserve">✓</w:t>
            </w:r>
          </w:p>
        </w:tc>
        <w:tc>
          <w:tcPr>
            <w:tcW w:w="504" w:type="dxa"/>
            <w:vAlign w:val="center"/>
          </w:tcPr>
          <w:p>
            <w:pPr>
              <w:pStyle w:val="TableText"/>
              <w:jc w:val="center"/>
            </w:pPr>
            <w:r>
              <w:rPr>
                <w:sz w:val="16"/>
                <w:szCs w:val="16"/>
              </w:rPr>
              <w:t xml:space="preserve">✓</w:t>
            </w:r>
          </w:p>
        </w:tc>
        <w:tc>
          <w:tcPr>
            <w:tcW w:w="460" w:type="dxa"/>
            <w:vAlign w:val="center"/>
          </w:tcPr>
          <w:p>
            <w:pPr>
              <w:pStyle w:val="TableText"/>
              <w:jc w:val="center"/>
            </w:pPr>
            <w:r>
              <w:rPr>
                <w:sz w:val="16"/>
                <w:szCs w:val="16"/>
              </w:rPr>
              <w:t xml:space="preserve">✓</w:t>
            </w:r>
          </w:p>
        </w:tc>
        <w:tc>
          <w:tcPr>
            <w:tcW w:w="523" w:type="dxa"/>
            <w:vAlign w:val="center"/>
          </w:tcPr>
          <w:p>
            <w:pPr>
              <w:pStyle w:val="TableText"/>
              <w:jc w:val="center"/>
            </w:pPr>
            <w:r>
              <w:rPr>
                <w:sz w:val="16"/>
                <w:szCs w:val="16"/>
              </w:rPr>
              <w:t xml:space="preserve">✓</w:t>
            </w:r>
          </w:p>
        </w:tc>
        <w:tc>
          <w:tcPr>
            <w:tcW w:w="312" w:type="dxa"/>
            <w:vAlign w:val="center"/>
          </w:tcPr>
          <w:p>
            <w:pPr>
              <w:pStyle w:val="TableText"/>
              <w:jc w:val="center"/>
            </w:pPr>
            <w:r>
              <w:rPr>
                <w:sz w:val="16"/>
                <w:szCs w:val="16"/>
              </w:rPr>
              <w:t xml:space="preserve">✓</w:t>
            </w:r>
          </w:p>
        </w:tc>
        <w:tc>
          <w:tcPr>
            <w:tcW w:w="1128" w:type="dxa"/>
            <w:vAlign w:val="center"/>
          </w:tcPr>
          <w:p>
            <w:pPr>
              <w:pStyle w:val="TableText"/>
              <w:jc w:val="left"/>
            </w:pPr>
            <w:r>
              <w:rPr>
                <w:sz w:val="16"/>
                <w:szCs w:val="16"/>
              </w:rPr>
              <w:t xml:space="preserve">POBP, RAC1P</w:t>
            </w:r>
          </w:p>
        </w:tc>
        <w:tc>
          <w:tcPr>
            <w:tcW w:w="392" w:type="dxa"/>
            <w:vAlign w:val="center"/>
          </w:tcPr>
          <w:p>
            <w:pPr>
              <w:pStyle w:val="TableText"/>
              <w:jc w:val="left"/>
            </w:pPr>
            <w:r>
              <w:rPr>
                <w:sz w:val="16"/>
                <w:szCs w:val="16"/>
              </w:rPr>
              <w:t xml:space="preserve">Cov.</w:t>
            </w:r>
          </w:p>
        </w:tc>
        <w:tc>
          <w:tcPr>
            <w:tcW w:w="392" w:type="dxa"/>
            <w:vAlign w:val="center"/>
          </w:tcPr>
          <w:p>
            <w:pPr>
              <w:pStyle w:val="TableText"/>
              <w:jc w:val="left"/>
            </w:pPr>
            <w:r>
              <w:rPr>
                <w:sz w:val="16"/>
                <w:szCs w:val="16"/>
              </w:rPr>
              <w:t xml:space="preserve">Cov.</w:t>
            </w:r>
          </w:p>
        </w:tc>
      </w:tr>
      <w:tr>
        <w:trPr>
          <w:cantSplit/>
        </w:trPr>
        <w:tc>
          <w:tcPr>
            <w:tcW w:w="1339" w:type="dxa"/>
            <w:vAlign w:val="center"/>
          </w:tcPr>
          <w:p>
            <w:pPr>
              <w:pStyle w:val="TableText"/>
              <w:jc w:val="left"/>
            </w:pPr>
            <w:r>
              <w:rPr>
                <w:sz w:val="16"/>
                <w:szCs w:val="16"/>
              </w:rPr>
              <w:t xml:space="preserve">NY 2014</w:t>
            </w:r>
          </w:p>
        </w:tc>
        <w:tc>
          <w:tcPr>
            <w:tcW w:w="460" w:type="dxa"/>
            <w:vAlign w:val="center"/>
          </w:tcPr>
          <w:p>
            <w:pPr>
              <w:pStyle w:val="TableText"/>
              <w:jc w:val="right"/>
            </w:pPr>
            <w:r>
              <w:rPr>
                <w:sz w:val="16"/>
                <w:szCs w:val="16"/>
              </w:rPr>
              <w:t xml:space="preserve">0.804</w:t>
            </w:r>
          </w:p>
        </w:tc>
        <w:tc>
          <w:tcPr>
            <w:tcW w:w="403" w:type="dxa"/>
            <w:vAlign w:val="center"/>
          </w:tcPr>
          <w:p>
            <w:pPr>
              <w:pStyle w:val="TableText"/>
              <w:jc w:val="right"/>
            </w:pPr>
            <w:r>
              <w:rPr>
                <w:sz w:val="16"/>
                <w:szCs w:val="16"/>
              </w:rPr>
              <w:t xml:space="preserve">−2.2</w:t>
            </w:r>
          </w:p>
        </w:tc>
        <w:tc>
          <w:tcPr>
            <w:tcW w:w="423" w:type="dxa"/>
            <w:vAlign w:val="center"/>
          </w:tcPr>
          <w:p>
            <w:pPr>
              <w:pStyle w:val="TableText"/>
              <w:jc w:val="right"/>
            </w:pPr>
            <w:r>
              <w:rPr>
                <w:sz w:val="16"/>
                <w:szCs w:val="16"/>
              </w:rPr>
              <w:t xml:space="preserve">−2.7</w:t>
            </w:r>
          </w:p>
        </w:tc>
        <w:tc>
          <w:tcPr>
            <w:tcW w:w="604" w:type="dxa"/>
            <w:vAlign w:val="center"/>
          </w:tcPr>
          <w:p>
            <w:pPr>
              <w:pStyle w:val="TableText"/>
              <w:jc w:val="right"/>
            </w:pPr>
            <w:r>
              <w:rPr>
                <w:sz w:val="16"/>
                <w:szCs w:val="16"/>
              </w:rPr>
              <w:t xml:space="preserve">+0.8</w:t>
            </w:r>
          </w:p>
        </w:tc>
        <w:tc>
          <w:tcPr>
            <w:tcW w:w="292" w:type="dxa"/>
            <w:vAlign w:val="center"/>
          </w:tcPr>
          <w:p>
            <w:pPr>
              <w:pStyle w:val="TableText"/>
              <w:jc w:val="center"/>
            </w:pPr>
            <w:r>
              <w:rPr>
                <w:sz w:val="16"/>
                <w:szCs w:val="16"/>
              </w:rPr>
              <w:t xml:space="preserve">✓</w:t>
            </w:r>
          </w:p>
        </w:tc>
        <w:tc>
          <w:tcPr>
            <w:tcW w:w="504" w:type="dxa"/>
            <w:vAlign w:val="center"/>
          </w:tcPr>
          <w:p>
            <w:pPr>
              <w:pStyle w:val="TableText"/>
              <w:jc w:val="center"/>
            </w:pPr>
            <w:r>
              <w:rPr>
                <w:sz w:val="16"/>
                <w:szCs w:val="16"/>
              </w:rPr>
              <w:t xml:space="preserve">✓</w:t>
            </w:r>
          </w:p>
        </w:tc>
        <w:tc>
          <w:tcPr>
            <w:tcW w:w="460" w:type="dxa"/>
            <w:vAlign w:val="center"/>
          </w:tcPr>
          <w:p>
            <w:pPr>
              <w:pStyle w:val="TableText"/>
              <w:jc w:val="center"/>
            </w:pPr>
            <w:r>
              <w:rPr>
                <w:sz w:val="16"/>
                <w:szCs w:val="16"/>
              </w:rPr>
              <w:t xml:space="preserve">✓</w:t>
            </w:r>
          </w:p>
        </w:tc>
        <w:tc>
          <w:tcPr>
            <w:tcW w:w="523" w:type="dxa"/>
            <w:vAlign w:val="center"/>
          </w:tcPr>
          <w:p>
            <w:pPr>
              <w:pStyle w:val="TableText"/>
              <w:jc w:val="center"/>
            </w:pPr>
            <w:r>
              <w:rPr>
                <w:sz w:val="16"/>
                <w:szCs w:val="16"/>
              </w:rPr>
              <w:t xml:space="preserve">✓</w:t>
            </w:r>
          </w:p>
        </w:tc>
        <w:tc>
          <w:tcPr>
            <w:tcW w:w="312" w:type="dxa"/>
            <w:vAlign w:val="center"/>
          </w:tcPr>
          <w:p>
            <w:pPr>
              <w:pStyle w:val="TableText"/>
              <w:jc w:val="center"/>
            </w:pPr>
            <w:r>
              <w:rPr>
                <w:sz w:val="16"/>
                <w:szCs w:val="16"/>
              </w:rPr>
              <w:t xml:space="preserve">✓</w:t>
            </w:r>
          </w:p>
        </w:tc>
        <w:tc>
          <w:tcPr>
            <w:tcW w:w="1128" w:type="dxa"/>
            <w:vAlign w:val="center"/>
          </w:tcPr>
          <w:p>
            <w:pPr>
              <w:pStyle w:val="TableText"/>
              <w:jc w:val="left"/>
            </w:pPr>
            <w:r>
              <w:rPr>
                <w:sz w:val="16"/>
                <w:szCs w:val="16"/>
              </w:rPr>
              <w:t xml:space="preserve">POBP, RAC1P</w:t>
            </w:r>
          </w:p>
        </w:tc>
        <w:tc>
          <w:tcPr>
            <w:tcW w:w="392" w:type="dxa"/>
            <w:vAlign w:val="center"/>
          </w:tcPr>
          <w:p>
            <w:pPr>
              <w:pStyle w:val="TableText"/>
              <w:jc w:val="left"/>
            </w:pPr>
            <w:r>
              <w:rPr>
                <w:sz w:val="16"/>
                <w:szCs w:val="16"/>
              </w:rPr>
              <w:t xml:space="preserve">Cov.</w:t>
            </w:r>
          </w:p>
        </w:tc>
        <w:tc>
          <w:tcPr>
            <w:tcW w:w="392" w:type="dxa"/>
            <w:vAlign w:val="center"/>
          </w:tcPr>
          <w:p>
            <w:pPr>
              <w:pStyle w:val="TableText"/>
              <w:jc w:val="left"/>
            </w:pPr>
            <w:r>
              <w:rPr>
                <w:sz w:val="16"/>
                <w:szCs w:val="16"/>
              </w:rPr>
              <w:t xml:space="preserve">Cov.</w:t>
            </w:r>
          </w:p>
        </w:tc>
      </w:tr>
      <w:tr>
        <w:trPr>
          <w:cantSplit/>
        </w:trPr>
        <w:tc>
          <w:tcPr>
            <w:tcW w:w="1339" w:type="dxa"/>
            <w:vAlign w:val="center"/>
          </w:tcPr>
          <w:p>
            <w:pPr>
              <w:pStyle w:val="TableText"/>
              <w:jc w:val="left"/>
            </w:pPr>
            <w:r>
              <w:rPr>
                <w:sz w:val="16"/>
                <w:szCs w:val="16"/>
              </w:rPr>
              <w:t xml:space="preserve">FL 2014</w:t>
            </w:r>
          </w:p>
        </w:tc>
        <w:tc>
          <w:tcPr>
            <w:tcW w:w="460" w:type="dxa"/>
            <w:vAlign w:val="center"/>
          </w:tcPr>
          <w:p>
            <w:pPr>
              <w:pStyle w:val="TableText"/>
              <w:jc w:val="right"/>
            </w:pPr>
            <w:r>
              <w:rPr>
                <w:sz w:val="16"/>
                <w:szCs w:val="16"/>
              </w:rPr>
              <w:t xml:space="preserve">0.786</w:t>
            </w:r>
          </w:p>
        </w:tc>
        <w:tc>
          <w:tcPr>
            <w:tcW w:w="403" w:type="dxa"/>
            <w:vAlign w:val="center"/>
          </w:tcPr>
          <w:p>
            <w:pPr>
              <w:pStyle w:val="TableText"/>
              <w:jc w:val="right"/>
            </w:pPr>
            <w:r>
              <w:rPr>
                <w:sz w:val="16"/>
                <w:szCs w:val="16"/>
              </w:rPr>
              <w:t xml:space="preserve">−4.0</w:t>
            </w:r>
          </w:p>
        </w:tc>
        <w:tc>
          <w:tcPr>
            <w:tcW w:w="423" w:type="dxa"/>
            <w:vAlign w:val="center"/>
          </w:tcPr>
          <w:p>
            <w:pPr>
              <w:pStyle w:val="TableText"/>
              <w:jc w:val="right"/>
            </w:pPr>
            <w:r>
              <w:rPr>
                <w:sz w:val="16"/>
                <w:szCs w:val="16"/>
              </w:rPr>
              <w:t xml:space="preserve">−4.3</w:t>
            </w:r>
          </w:p>
        </w:tc>
        <w:tc>
          <w:tcPr>
            <w:tcW w:w="604" w:type="dxa"/>
            <w:vAlign w:val="center"/>
          </w:tcPr>
          <w:p>
            <w:pPr>
              <w:pStyle w:val="TableText"/>
              <w:jc w:val="right"/>
            </w:pPr>
            <w:r>
              <w:rPr>
                <w:sz w:val="16"/>
                <w:szCs w:val="16"/>
              </w:rPr>
              <w:t xml:space="preserve">+2.2</w:t>
            </w:r>
          </w:p>
        </w:tc>
        <w:tc>
          <w:tcPr>
            <w:tcW w:w="292" w:type="dxa"/>
            <w:vAlign w:val="center"/>
          </w:tcPr>
          <w:p>
            <w:pPr>
              <w:pStyle w:val="TableText"/>
              <w:jc w:val="center"/>
            </w:pPr>
            <w:r>
              <w:rPr>
                <w:sz w:val="16"/>
                <w:szCs w:val="16"/>
              </w:rPr>
              <w:t xml:space="preserve">✓</w:t>
            </w:r>
          </w:p>
        </w:tc>
        <w:tc>
          <w:tcPr>
            <w:tcW w:w="504" w:type="dxa"/>
            <w:vAlign w:val="center"/>
          </w:tcPr>
          <w:p>
            <w:pPr>
              <w:pStyle w:val="TableText"/>
              <w:jc w:val="center"/>
            </w:pPr>
            <w:r>
              <w:rPr>
                <w:sz w:val="16"/>
                <w:szCs w:val="16"/>
              </w:rPr>
              <w:t xml:space="preserve">✓</w:t>
            </w:r>
          </w:p>
        </w:tc>
        <w:tc>
          <w:tcPr>
            <w:tcW w:w="460" w:type="dxa"/>
            <w:vAlign w:val="center"/>
          </w:tcPr>
          <w:p>
            <w:pPr>
              <w:pStyle w:val="TableText"/>
              <w:jc w:val="center"/>
            </w:pPr>
            <w:r>
              <w:rPr>
                <w:sz w:val="16"/>
                <w:szCs w:val="16"/>
              </w:rPr>
              <w:t xml:space="preserve">✓</w:t>
            </w:r>
          </w:p>
        </w:tc>
        <w:tc>
          <w:tcPr>
            <w:tcW w:w="523" w:type="dxa"/>
            <w:vAlign w:val="center"/>
          </w:tcPr>
          <w:p>
            <w:pPr>
              <w:pStyle w:val="TableText"/>
              <w:jc w:val="center"/>
            </w:pPr>
            <w:r>
              <w:rPr>
                <w:sz w:val="16"/>
                <w:szCs w:val="16"/>
              </w:rPr>
              <w:t xml:space="preserve">✓</w:t>
            </w:r>
          </w:p>
        </w:tc>
        <w:tc>
          <w:tcPr>
            <w:tcW w:w="312" w:type="dxa"/>
            <w:vAlign w:val="center"/>
          </w:tcPr>
          <w:p>
            <w:pPr>
              <w:pStyle w:val="TableText"/>
              <w:jc w:val="center"/>
            </w:pPr>
            <w:r>
              <w:rPr>
                <w:sz w:val="16"/>
                <w:szCs w:val="16"/>
              </w:rPr>
              <w:t xml:space="preserve">✓</w:t>
            </w:r>
          </w:p>
        </w:tc>
        <w:tc>
          <w:tcPr>
            <w:tcW w:w="1128" w:type="dxa"/>
            <w:vAlign w:val="center"/>
          </w:tcPr>
          <w:p>
            <w:pPr>
              <w:pStyle w:val="TableText"/>
              <w:jc w:val="left"/>
            </w:pPr>
            <w:r>
              <w:rPr>
                <w:sz w:val="16"/>
                <w:szCs w:val="16"/>
              </w:rPr>
              <w:t xml:space="preserve">POBP, RAC1P</w:t>
            </w:r>
          </w:p>
        </w:tc>
        <w:tc>
          <w:tcPr>
            <w:tcW w:w="392" w:type="dxa"/>
            <w:vAlign w:val="center"/>
          </w:tcPr>
          <w:p>
            <w:pPr>
              <w:pStyle w:val="TableText"/>
              <w:jc w:val="left"/>
            </w:pPr>
            <w:r>
              <w:rPr>
                <w:sz w:val="16"/>
                <w:szCs w:val="16"/>
              </w:rPr>
              <w:t xml:space="preserve">Cov.</w:t>
            </w:r>
          </w:p>
        </w:tc>
        <w:tc>
          <w:tcPr>
            <w:tcW w:w="392" w:type="dxa"/>
            <w:vAlign w:val="center"/>
          </w:tcPr>
          <w:p>
            <w:pPr>
              <w:pStyle w:val="TableText"/>
              <w:jc w:val="left"/>
            </w:pPr>
            <w:r>
              <w:rPr>
                <w:sz w:val="16"/>
                <w:szCs w:val="16"/>
              </w:rPr>
              <w:t xml:space="preserve">Cov.</w:t>
            </w:r>
          </w:p>
        </w:tc>
      </w:tr>
      <w:tr>
        <w:trPr>
          <w:cantSplit/>
        </w:trPr>
        <w:tc>
          <w:tcPr>
            <w:tcW w:w="1339" w:type="dxa"/>
            <w:vAlign w:val="center"/>
          </w:tcPr>
          <w:p>
            <w:pPr>
              <w:pStyle w:val="TableText"/>
              <w:jc w:val="left"/>
            </w:pPr>
            <w:r>
              <w:rPr>
                <w:sz w:val="16"/>
                <w:szCs w:val="16"/>
              </w:rPr>
              <w:t xml:space="preserve">WA 2014</w:t>
            </w:r>
          </w:p>
        </w:tc>
        <w:tc>
          <w:tcPr>
            <w:tcW w:w="460" w:type="dxa"/>
            <w:vAlign w:val="center"/>
          </w:tcPr>
          <w:p>
            <w:pPr>
              <w:pStyle w:val="TableText"/>
              <w:jc w:val="right"/>
            </w:pPr>
            <w:r>
              <w:rPr>
                <w:sz w:val="16"/>
                <w:szCs w:val="16"/>
              </w:rPr>
              <w:t xml:space="preserve">0.801</w:t>
            </w:r>
          </w:p>
        </w:tc>
        <w:tc>
          <w:tcPr>
            <w:tcW w:w="403" w:type="dxa"/>
            <w:vAlign w:val="center"/>
          </w:tcPr>
          <w:p>
            <w:pPr>
              <w:pStyle w:val="TableText"/>
              <w:jc w:val="right"/>
            </w:pPr>
            <w:r>
              <w:rPr>
                <w:sz w:val="16"/>
                <w:szCs w:val="16"/>
              </w:rPr>
              <w:t xml:space="preserve">−2.5</w:t>
            </w:r>
          </w:p>
        </w:tc>
        <w:tc>
          <w:tcPr>
            <w:tcW w:w="423" w:type="dxa"/>
            <w:vAlign w:val="center"/>
          </w:tcPr>
          <w:p>
            <w:pPr>
              <w:pStyle w:val="TableText"/>
              <w:jc w:val="right"/>
            </w:pPr>
            <w:r>
              <w:rPr>
                <w:sz w:val="16"/>
                <w:szCs w:val="16"/>
              </w:rPr>
              <w:t xml:space="preserve">−2.5</w:t>
            </w:r>
          </w:p>
        </w:tc>
        <w:tc>
          <w:tcPr>
            <w:tcW w:w="604" w:type="dxa"/>
            <w:vAlign w:val="center"/>
          </w:tcPr>
          <w:p>
            <w:pPr>
              <w:pStyle w:val="TableText"/>
              <w:jc w:val="right"/>
            </w:pPr>
            <w:r>
              <w:rPr>
                <w:sz w:val="16"/>
                <w:szCs w:val="16"/>
              </w:rPr>
              <w:t xml:space="preserve">+0.9</w:t>
            </w:r>
          </w:p>
        </w:tc>
        <w:tc>
          <w:tcPr>
            <w:tcW w:w="292" w:type="dxa"/>
            <w:vAlign w:val="center"/>
          </w:tcPr>
          <w:p>
            <w:pPr>
              <w:pStyle w:val="TableText"/>
              <w:jc w:val="center"/>
            </w:pPr>
            <w:r>
              <w:rPr>
                <w:sz w:val="16"/>
                <w:szCs w:val="16"/>
              </w:rPr>
              <w:t xml:space="preserve">✓</w:t>
            </w:r>
          </w:p>
        </w:tc>
        <w:tc>
          <w:tcPr>
            <w:tcW w:w="504" w:type="dxa"/>
            <w:vAlign w:val="center"/>
          </w:tcPr>
          <w:p>
            <w:pPr>
              <w:pStyle w:val="TableText"/>
              <w:jc w:val="center"/>
            </w:pPr>
            <w:r>
              <w:rPr>
                <w:sz w:val="16"/>
                <w:szCs w:val="16"/>
              </w:rPr>
              <w:t xml:space="preserve">✓</w:t>
            </w:r>
          </w:p>
        </w:tc>
        <w:tc>
          <w:tcPr>
            <w:tcW w:w="460" w:type="dxa"/>
            <w:vAlign w:val="center"/>
          </w:tcPr>
          <w:p>
            <w:pPr>
              <w:pStyle w:val="TableText"/>
              <w:jc w:val="center"/>
            </w:pPr>
            <w:r>
              <w:rPr>
                <w:sz w:val="16"/>
                <w:szCs w:val="16"/>
              </w:rPr>
              <w:t xml:space="preserve">✓</w:t>
            </w:r>
          </w:p>
        </w:tc>
        <w:tc>
          <w:tcPr>
            <w:tcW w:w="523" w:type="dxa"/>
            <w:vAlign w:val="center"/>
          </w:tcPr>
          <w:p>
            <w:pPr>
              <w:pStyle w:val="TableText"/>
              <w:jc w:val="center"/>
            </w:pPr>
            <w:r>
              <w:rPr>
                <w:sz w:val="16"/>
                <w:szCs w:val="16"/>
              </w:rPr>
              <w:t xml:space="preserve">✓</w:t>
            </w:r>
          </w:p>
        </w:tc>
        <w:tc>
          <w:tcPr>
            <w:tcW w:w="312" w:type="dxa"/>
            <w:vAlign w:val="center"/>
          </w:tcPr>
          <w:p>
            <w:pPr>
              <w:pStyle w:val="TableText"/>
              <w:jc w:val="center"/>
            </w:pPr>
            <w:r>
              <w:rPr>
                <w:sz w:val="16"/>
                <w:szCs w:val="16"/>
              </w:rPr>
              <w:t xml:space="preserve">✓</w:t>
            </w:r>
          </w:p>
        </w:tc>
        <w:tc>
          <w:tcPr>
            <w:tcW w:w="1128" w:type="dxa"/>
            <w:vAlign w:val="center"/>
          </w:tcPr>
          <w:p>
            <w:pPr>
              <w:pStyle w:val="TableText"/>
              <w:jc w:val="left"/>
            </w:pPr>
            <w:r>
              <w:rPr>
                <w:sz w:val="16"/>
                <w:szCs w:val="16"/>
              </w:rPr>
              <w:t xml:space="preserve">POBP, RAC1P</w:t>
            </w:r>
          </w:p>
        </w:tc>
        <w:tc>
          <w:tcPr>
            <w:tcW w:w="392" w:type="dxa"/>
            <w:vAlign w:val="center"/>
          </w:tcPr>
          <w:p>
            <w:pPr>
              <w:pStyle w:val="TableText"/>
              <w:jc w:val="left"/>
            </w:pPr>
            <w:r>
              <w:rPr>
                <w:sz w:val="16"/>
                <w:szCs w:val="16"/>
              </w:rPr>
              <w:t xml:space="preserve">Cov.</w:t>
            </w:r>
          </w:p>
        </w:tc>
        <w:tc>
          <w:tcPr>
            <w:tcW w:w="392" w:type="dxa"/>
            <w:vAlign w:val="center"/>
          </w:tcPr>
          <w:p>
            <w:pPr>
              <w:pStyle w:val="TableText"/>
              <w:jc w:val="left"/>
            </w:pPr>
            <w:r>
              <w:rPr>
                <w:sz w:val="16"/>
                <w:szCs w:val="16"/>
              </w:rPr>
              <w:t xml:space="preserve">Cov.</w:t>
            </w:r>
          </w:p>
        </w:tc>
      </w:tr>
    </w:tbl>
    <w:p>
      <w:pPr>
        <w:spacing w:before="0" w:after="120" w:line="240" w:lineRule="auto"/>
      </w:pPr>
    </w:p>
    <w:p>
      <w:pPr>
        <w:pStyle w:val="Normal"/>
      </w:pPr>
      <w:r>
        <w:t xml:space="preserve">Δ is the change in accuracy, in points, against each model’s accuracy on the control window and Est. err. is the error of the CBPE estimate. A tick marks an alarm and Type is the verdict of the diagnosis, the same for LR and GB in every window. Top shifts lists the two features with the largest effect size.</w:t>
      </w:r>
    </w:p>
    <w:p>
      <w:pPr>
        <w:pStyle w:val="Normal"/>
      </w:pPr>
      <w:r>
        <w:t xml:space="preserve">Accuracy falls over time for both models, with LR going from 0.824 in 2015 to 0.749 in 2023, while the CBPE estimate falls far less. Neither model raises an alarm on the control window; both call CA 2015, whose accuracy did not change significantly, no drift and every other window covariate shift. The documented events can be read off the localization. The 2018 revision of the occupation codes left 26.6% of rows with a code that never occurred in 2014 and occupation lost weight in the model as a result (SHAP change −0.032). Relationship moves in 2019 (effect size 0.091), when its survey question was redesigned and race moves from 2021 (effect size 0.186), once the Census Bureau had changed its coding of written race answers </w:t>
      </w:r>
      <w:r>
        <w:t xml:space="preserve">[55]</w:t>
      </w:r>
      <w:r>
        <w:t xml:space="preserve">. Wage growth against a fixed income threshold shows up in the labels instead: their positive share rises from 0.355 in the control window to 0.498 in 2023 while the model predicts only 0.338. Part of the 2023 loss therefore comes from a change in what the labels mean, which no label-free test can detect.</w:t>
      </w:r>
    </w:p>
    <w:p>
      <w:pPr>
        <w:pStyle w:val="Normal"/>
      </w:pPr>
      <w:r>
        <w:t xml:space="preserve">The cost of a drift differs widely between datasets. On ACS Employment every window is diagnosed as covariate shift, yet LR accuracy never changes by more than 2.2 points; an alarm alone would overstate the problem and the accuracy estimate keeps it in proportion. The gas sensor batches all come out as covariate shift, as they should for aging sensors that alter </w:t>
      </w:r>
      <m:oMath>
        <m:r>
          <m:t>P</m:t>
        </m:r>
        <m:r>
          <m:rPr>
            <m:sty m:val="p"/>
          </m:rPr>
          <m:t>(</m:t>
        </m:r>
        <m:r>
          <m:t>X</m:t>
        </m:r>
        <m:r>
          <m:rPr>
            <m:sty m:val="p"/>
          </m:rPr>
          <m:t>∣</m:t>
        </m:r>
        <m:r>
          <m:t>Y</m:t>
        </m:r>
        <m:r>
          <m:rPr>
            <m:sty m:val="p"/>
          </m:rPr>
          <m:t>)</m:t>
        </m:r>
      </m:oMath>
      <w:r>
        <w:t xml:space="preserve">, with the largest loss in batch 8 (−65.2 points for LR). BBSE at first takes each gas batch for a prior shift, since the predicted labels move too, but the consistency test corrects this: the sensors respond differently to a gas mix that has not changed. CLEAR-10 drifts more gently. Buckets 2 and 3 show no drift for either model and buckets 4, 5, 6, 7, 8, 9 and 10 show covariate shift. In buckets 4, 5, 6 and 9 no single embedding dimension shifts significantly with LR; only the MMD test sees the change, which is why the multivariate block is needed. The only detector alarm on any control window comes from the domain classifier baseline on CLEAR-10 (</w:t>
      </w:r>
      <m:oMath>
        <m:r>
          <m:t>p</m:t>
        </m:r>
        <m:r>
          <m:rPr>
            <m:sty m:val="p"/>
          </m:rPr>
          <m:t>=</m:t>
        </m:r>
        <m:r>
          <m:t>0.034</m:t>
        </m:r>
      </m:oMath>
      <w:r>
        <w:t xml:space="preserve">), a false alarm of the kind that α allows.</w:t>
      </w:r>
    </w:p>
    <w:p>
      <w:pPr>
        <w:pStyle w:val="Heading3"/>
      </w:pPr>
      <w:r>
        <w:t xml:space="preserve">7.4.6 Reliability and Triage</w:t>
      </w:r>
    </w:p>
    <w:p>
      <w:pPr>
        <w:pStyle w:val="Normal"/>
      </w:pPr>
      <w:r>
        <w:t xml:space="preserve">The fused risk score is judged by how well it ranks wrong predictions above right ones. Where the fusion is learned, on ACS and CLEAR-10, its AUROC differs from that of confidence alone by −0.012 to +0.001 over 72 windows and by −0.002 to +0.009 on the benchmark. On the gas sensor array the calibration part holds too few wrong predictions (4 with LR and 11 with GB), so the risk falls back to confidence. Confidence alone carries most of the information about a single prediction; the other signals add almost nothing, an honest negative result.</w:t>
      </w:r>
    </w:p>
    <w:p>
      <w:pPr>
        <w:pStyle w:val="Normal"/>
      </w:pPr>
      <w:r>
        <w:t xml:space="preserve">For the triage, a retrain truly helps when importance weighting or the latest labeled window raises holdout accuracy significantly. Table </w:t>
      </w:r>
      <w:r>
        <w:t xml:space="preserve">7.7</w:t>
      </w:r>
      <w:r>
        <w:t xml:space="preserve"> gives the outcome per setting.</w:t>
      </w:r>
    </w:p>
    <w:p>
      <w:pPr>
        <w:pStyle w:val="TableCaption"/>
      </w:pPr>
      <w:r>
        <w:rPr>
          <w:b/>
          <w:bCs/>
        </w:rPr>
        <w:t xml:space="preserve">Table 7.7: </w:t>
      </w:r>
      <w:r>
        <w:t xml:space="preserve">Remediation by setting: settings with a significant gain from importance weighting (IW), retraining on the recent window and retraining on fresh labels and the triage’s advice</w:t>
      </w:r>
    </w:p>
    <w:tbl>
      <w:tblPr>
        <w:tblW w:w="7109"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30" w:type="dxa"/>
          <w:left w:w="80" w:type="dxa"/>
          <w:bottom w:w="30" w:type="dxa"/>
          <w:right w:w="80" w:type="dxa"/>
        </w:tblCellMar>
        <w:tblLook w:val="0000"/>
      </w:tblPr>
      <w:tblGrid>
        <w:gridCol w:w="588"/>
        <w:gridCol w:w="2299"/>
        <w:gridCol w:w="225"/>
        <w:gridCol w:w="328"/>
        <w:gridCol w:w="619"/>
        <w:gridCol w:w="598"/>
        <w:gridCol w:w="825"/>
        <w:gridCol w:w="964"/>
        <w:gridCol w:w="663"/>
      </w:tblGrid>
      <w:tr>
        <w:trPr>
          <w:cantSplit/>
          <w:tblHeader/>
        </w:trPr>
        <w:tc>
          <w:tcPr>
            <w:tcW w:w="588" w:type="dxa"/>
            <w:shd w:val="clear" w:color="auto" w:fill="D9E2F3"/>
            <w:vAlign w:val="center"/>
          </w:tcPr>
          <w:p>
            <w:pPr>
              <w:pStyle w:val="TableText"/>
              <w:keepNext/>
              <w:jc w:val="center"/>
            </w:pPr>
          </w:p>
        </w:tc>
        <w:tc>
          <w:tcPr>
            <w:tcW w:w="2299" w:type="dxa"/>
            <w:shd w:val="clear" w:color="auto" w:fill="D9E2F3"/>
            <w:vAlign w:val="center"/>
          </w:tcPr>
          <w:p>
            <w:pPr>
              <w:pStyle w:val="TableText"/>
              <w:keepNext/>
              <w:jc w:val="center"/>
            </w:pPr>
          </w:p>
        </w:tc>
        <w:tc>
          <w:tcPr>
            <w:tcW w:w="225" w:type="dxa"/>
            <w:shd w:val="clear" w:color="auto" w:fill="D9E2F3"/>
            <w:vAlign w:val="center"/>
          </w:tcPr>
          <w:p>
            <w:pPr>
              <w:pStyle w:val="TableText"/>
              <w:keepNext/>
              <w:jc w:val="center"/>
            </w:pPr>
          </w:p>
        </w:tc>
        <w:tc>
          <w:tcPr>
            <w:tcW w:w="1545" w:type="dxa"/>
            <w:gridSpan w:val="3"/>
            <w:shd w:val="clear" w:color="auto" w:fill="D9E2F3"/>
            <w:vAlign w:val="center"/>
          </w:tcPr>
          <w:p>
            <w:pPr>
              <w:pStyle w:val="TableText"/>
              <w:keepNext/>
              <w:jc w:val="center"/>
            </w:pPr>
            <w:r>
              <w:rPr>
                <w:sz w:val="18"/>
                <w:szCs w:val="18"/>
                <w:b/>
                <w:bCs/>
              </w:rPr>
              <w:t xml:space="preserve">Significant gains</w:t>
            </w:r>
          </w:p>
        </w:tc>
        <w:tc>
          <w:tcPr>
            <w:tcW w:w="2452" w:type="dxa"/>
            <w:gridSpan w:val="3"/>
            <w:shd w:val="clear" w:color="auto" w:fill="D9E2F3"/>
            <w:vAlign w:val="center"/>
          </w:tcPr>
          <w:p>
            <w:pPr>
              <w:pStyle w:val="TableText"/>
              <w:keepNext/>
              <w:jc w:val="center"/>
            </w:pPr>
            <w:r>
              <w:rPr>
                <w:sz w:val="18"/>
                <w:szCs w:val="18"/>
                <w:b/>
                <w:bCs/>
              </w:rPr>
              <w:t xml:space="preserve">Triage</w:t>
            </w:r>
          </w:p>
        </w:tc>
      </w:tr>
      <w:tr>
        <w:trPr>
          <w:cantSplit/>
          <w:tblHeader/>
        </w:trPr>
        <w:tc>
          <w:tcPr>
            <w:tcW w:w="588" w:type="dxa"/>
            <w:shd w:val="clear" w:color="auto" w:fill="D9E2F3"/>
            <w:vAlign w:val="center"/>
          </w:tcPr>
          <w:p>
            <w:pPr>
              <w:pStyle w:val="TableText"/>
              <w:keepNext/>
              <w:jc w:val="center"/>
            </w:pPr>
            <w:r>
              <w:rPr>
                <w:sz w:val="18"/>
                <w:szCs w:val="18"/>
                <w:b/>
                <w:bCs/>
              </w:rPr>
              <w:t xml:space="preserve">Model</w:t>
            </w:r>
          </w:p>
        </w:tc>
        <w:tc>
          <w:tcPr>
            <w:tcW w:w="2299" w:type="dxa"/>
            <w:shd w:val="clear" w:color="auto" w:fill="D9E2F3"/>
            <w:vAlign w:val="center"/>
          </w:tcPr>
          <w:p>
            <w:pPr>
              <w:pStyle w:val="TableText"/>
              <w:keepNext/>
              <w:jc w:val="center"/>
            </w:pPr>
            <w:r>
              <w:rPr>
                <w:sz w:val="18"/>
                <w:szCs w:val="18"/>
                <w:b/>
                <w:bCs/>
              </w:rPr>
              <w:t xml:space="preserve">Settings</w:t>
            </w:r>
          </w:p>
        </w:tc>
        <w:tc>
          <w:tcPr>
            <w:tcW w:w="225" w:type="dxa"/>
            <w:shd w:val="clear" w:color="auto" w:fill="D9E2F3"/>
            <w:vAlign w:val="center"/>
          </w:tcPr>
          <w:p>
            <w:pPr>
              <w:pStyle w:val="TableText"/>
              <w:keepNext/>
              <w:jc w:val="center"/>
            </w:pPr>
            <m:oMath>
              <m:r>
                <m:t>n</m:t>
              </m:r>
            </m:oMath>
          </w:p>
        </w:tc>
        <w:tc>
          <w:tcPr>
            <w:tcW w:w="328" w:type="dxa"/>
            <w:shd w:val="clear" w:color="auto" w:fill="D9E2F3"/>
            <w:vAlign w:val="center"/>
          </w:tcPr>
          <w:p>
            <w:pPr>
              <w:pStyle w:val="TableText"/>
              <w:keepNext/>
              <w:jc w:val="center"/>
            </w:pPr>
            <w:r>
              <w:rPr>
                <w:sz w:val="18"/>
                <w:szCs w:val="18"/>
                <w:b/>
                <w:bCs/>
              </w:rPr>
              <w:t xml:space="preserve">IW</w:t>
            </w:r>
          </w:p>
        </w:tc>
        <w:tc>
          <w:tcPr>
            <w:tcW w:w="619" w:type="dxa"/>
            <w:shd w:val="clear" w:color="auto" w:fill="D9E2F3"/>
            <w:vAlign w:val="center"/>
          </w:tcPr>
          <w:p>
            <w:pPr>
              <w:pStyle w:val="TableText"/>
              <w:keepNext/>
              <w:jc w:val="center"/>
            </w:pPr>
            <w:r>
              <w:rPr>
                <w:sz w:val="18"/>
                <w:szCs w:val="18"/>
                <w:b/>
                <w:bCs/>
              </w:rPr>
              <w:t xml:space="preserve">Recent</w:t>
            </w:r>
          </w:p>
        </w:tc>
        <w:tc>
          <w:tcPr>
            <w:tcW w:w="598" w:type="dxa"/>
            <w:shd w:val="clear" w:color="auto" w:fill="D9E2F3"/>
            <w:vAlign w:val="center"/>
          </w:tcPr>
          <w:p>
            <w:pPr>
              <w:pStyle w:val="TableText"/>
              <w:keepNext/>
              <w:jc w:val="center"/>
            </w:pPr>
            <w:r>
              <w:rPr>
                <w:sz w:val="18"/>
                <w:szCs w:val="18"/>
                <w:b/>
                <w:bCs/>
              </w:rPr>
              <w:t xml:space="preserve">Labels</w:t>
            </w:r>
          </w:p>
        </w:tc>
        <w:tc>
          <w:tcPr>
            <w:tcW w:w="825" w:type="dxa"/>
            <w:shd w:val="clear" w:color="auto" w:fill="D9E2F3"/>
            <w:vAlign w:val="center"/>
          </w:tcPr>
          <w:p>
            <w:pPr>
              <w:pStyle w:val="TableText"/>
              <w:keepNext/>
              <w:jc w:val="center"/>
            </w:pPr>
            <w:r>
              <w:rPr>
                <w:sz w:val="18"/>
                <w:szCs w:val="18"/>
                <w:b/>
                <w:bCs/>
              </w:rPr>
              <w:t xml:space="preserve">Escalated</w:t>
            </w:r>
          </w:p>
        </w:tc>
        <w:tc>
          <w:tcPr>
            <w:tcW w:w="964" w:type="dxa"/>
            <w:shd w:val="clear" w:color="auto" w:fill="D9E2F3"/>
            <w:vAlign w:val="center"/>
          </w:tcPr>
          <w:p>
            <w:pPr>
              <w:pStyle w:val="TableText"/>
              <w:keepNext/>
              <w:jc w:val="center"/>
            </w:pPr>
            <w:r>
              <w:rPr>
                <w:sz w:val="18"/>
                <w:szCs w:val="18"/>
                <w:b/>
                <w:bCs/>
              </w:rPr>
              <w:t xml:space="preserve">Truly helps</w:t>
            </w:r>
          </w:p>
        </w:tc>
        <w:tc>
          <w:tcPr>
            <w:tcW w:w="663" w:type="dxa"/>
            <w:shd w:val="clear" w:color="auto" w:fill="D9E2F3"/>
            <w:vAlign w:val="center"/>
          </w:tcPr>
          <w:p>
            <w:pPr>
              <w:pStyle w:val="TableText"/>
              <w:keepNext/>
              <w:jc w:val="center"/>
            </w:pPr>
            <w:r>
              <w:rPr>
                <w:sz w:val="18"/>
                <w:szCs w:val="18"/>
                <w:b/>
                <w:bCs/>
              </w:rPr>
              <w:t xml:space="preserve">Correct</w:t>
            </w:r>
          </w:p>
        </w:tc>
      </w:tr>
      <w:tr>
        <w:trPr>
          <w:cantSplit/>
        </w:trPr>
        <w:tc>
          <w:tcPr>
            <w:tcW w:w="588" w:type="dxa"/>
            <w:vAlign w:val="center"/>
          </w:tcPr>
          <w:p>
            <w:pPr>
              <w:pStyle w:val="TableText"/>
              <w:keepNext/>
              <w:jc w:val="left"/>
            </w:pPr>
            <w:r>
              <w:rPr>
                <w:sz w:val="18"/>
                <w:szCs w:val="18"/>
              </w:rPr>
              <w:t xml:space="preserve">LR</w:t>
            </w:r>
          </w:p>
        </w:tc>
        <w:tc>
          <w:tcPr>
            <w:tcW w:w="2299" w:type="dxa"/>
            <w:vAlign w:val="center"/>
          </w:tcPr>
          <w:p>
            <w:pPr>
              <w:pStyle w:val="TableText"/>
              <w:keepNext/>
              <w:jc w:val="left"/>
            </w:pPr>
            <w:r>
              <w:rPr>
                <w:sz w:val="18"/>
                <w:szCs w:val="18"/>
              </w:rPr>
              <w:t xml:space="preserve">ACS Income, temporal</w:t>
            </w:r>
          </w:p>
        </w:tc>
        <w:tc>
          <w:tcPr>
            <w:tcW w:w="225" w:type="dxa"/>
            <w:vAlign w:val="center"/>
          </w:tcPr>
          <w:p>
            <w:pPr>
              <w:pStyle w:val="TableText"/>
              <w:keepNext/>
              <w:jc w:val="right"/>
            </w:pPr>
            <w:r>
              <w:rPr>
                <w:sz w:val="18"/>
                <w:szCs w:val="18"/>
              </w:rPr>
              <w:t xml:space="preserve">8</w:t>
            </w:r>
          </w:p>
        </w:tc>
        <w:tc>
          <w:tcPr>
            <w:tcW w:w="328" w:type="dxa"/>
            <w:vAlign w:val="center"/>
          </w:tcPr>
          <w:p>
            <w:pPr>
              <w:pStyle w:val="TableText"/>
              <w:keepNext/>
              <w:jc w:val="right"/>
            </w:pPr>
            <w:r>
              <w:rPr>
                <w:sz w:val="18"/>
                <w:szCs w:val="18"/>
              </w:rPr>
              <w:t xml:space="preserve">4/8</w:t>
            </w:r>
          </w:p>
        </w:tc>
        <w:tc>
          <w:tcPr>
            <w:tcW w:w="619" w:type="dxa"/>
            <w:vAlign w:val="center"/>
          </w:tcPr>
          <w:p>
            <w:pPr>
              <w:pStyle w:val="TableText"/>
              <w:keepNext/>
              <w:jc w:val="right"/>
            </w:pPr>
            <w:r>
              <w:rPr>
                <w:sz w:val="18"/>
                <w:szCs w:val="18"/>
              </w:rPr>
              <w:t xml:space="preserve">7/7</w:t>
            </w:r>
          </w:p>
        </w:tc>
        <w:tc>
          <w:tcPr>
            <w:tcW w:w="598" w:type="dxa"/>
            <w:vAlign w:val="center"/>
          </w:tcPr>
          <w:p>
            <w:pPr>
              <w:pStyle w:val="TableText"/>
              <w:keepNext/>
              <w:jc w:val="right"/>
            </w:pPr>
            <w:r>
              <w:rPr>
                <w:sz w:val="18"/>
                <w:szCs w:val="18"/>
              </w:rPr>
              <w:t xml:space="preserve">5/8</w:t>
            </w:r>
          </w:p>
        </w:tc>
        <w:tc>
          <w:tcPr>
            <w:tcW w:w="825" w:type="dxa"/>
            <w:vAlign w:val="center"/>
          </w:tcPr>
          <w:p>
            <w:pPr>
              <w:pStyle w:val="TableText"/>
              <w:keepNext/>
              <w:jc w:val="right"/>
            </w:pPr>
            <w:r>
              <w:rPr>
                <w:sz w:val="18"/>
                <w:szCs w:val="18"/>
              </w:rPr>
              <w:t xml:space="preserve">7</w:t>
            </w:r>
          </w:p>
        </w:tc>
        <w:tc>
          <w:tcPr>
            <w:tcW w:w="964" w:type="dxa"/>
            <w:vAlign w:val="center"/>
          </w:tcPr>
          <w:p>
            <w:pPr>
              <w:pStyle w:val="TableText"/>
              <w:keepNext/>
              <w:jc w:val="right"/>
            </w:pPr>
            <w:r>
              <w:rPr>
                <w:sz w:val="18"/>
                <w:szCs w:val="18"/>
              </w:rPr>
              <w:t xml:space="preserve">7</w:t>
            </w:r>
          </w:p>
        </w:tc>
        <w:tc>
          <w:tcPr>
            <w:tcW w:w="663" w:type="dxa"/>
            <w:vAlign w:val="center"/>
          </w:tcPr>
          <w:p>
            <w:pPr>
              <w:pStyle w:val="TableText"/>
              <w:keepNext/>
              <w:jc w:val="right"/>
            </w:pPr>
            <w:r>
              <w:rPr>
                <w:sz w:val="18"/>
                <w:szCs w:val="18"/>
              </w:rPr>
              <w:t xml:space="preserve">8/8</w:t>
            </w:r>
          </w:p>
        </w:tc>
      </w:tr>
      <w:tr>
        <w:trPr>
          <w:cantSplit/>
        </w:trPr>
        <w:tc>
          <w:tcPr>
            <w:tcW w:w="588" w:type="dxa"/>
            <w:vAlign w:val="center"/>
          </w:tcPr>
          <w:p>
            <w:pPr>
              <w:pStyle w:val="TableText"/>
              <w:jc w:val="left"/>
            </w:pPr>
          </w:p>
        </w:tc>
        <w:tc>
          <w:tcPr>
            <w:tcW w:w="2299" w:type="dxa"/>
            <w:vAlign w:val="center"/>
          </w:tcPr>
          <w:p>
            <w:pPr>
              <w:pStyle w:val="TableText"/>
              <w:jc w:val="left"/>
            </w:pPr>
            <w:r>
              <w:rPr>
                <w:sz w:val="18"/>
                <w:szCs w:val="18"/>
              </w:rPr>
              <w:t xml:space="preserve">ACS Income, states</w:t>
            </w:r>
          </w:p>
        </w:tc>
        <w:tc>
          <w:tcPr>
            <w:tcW w:w="225" w:type="dxa"/>
            <w:vAlign w:val="center"/>
          </w:tcPr>
          <w:p>
            <w:pPr>
              <w:pStyle w:val="TableText"/>
              <w:jc w:val="right"/>
            </w:pPr>
            <w:r>
              <w:rPr>
                <w:sz w:val="18"/>
                <w:szCs w:val="18"/>
              </w:rPr>
              <w:t xml:space="preserve">4</w:t>
            </w:r>
          </w:p>
        </w:tc>
        <w:tc>
          <w:tcPr>
            <w:tcW w:w="328" w:type="dxa"/>
            <w:vAlign w:val="center"/>
          </w:tcPr>
          <w:p>
            <w:pPr>
              <w:pStyle w:val="TableText"/>
              <w:jc w:val="right"/>
            </w:pPr>
            <w:r>
              <w:rPr>
                <w:sz w:val="18"/>
                <w:szCs w:val="18"/>
              </w:rPr>
              <w:t xml:space="preserve">0/4</w:t>
            </w:r>
          </w:p>
        </w:tc>
        <w:tc>
          <w:tcPr>
            <w:tcW w:w="619" w:type="dxa"/>
            <w:vAlign w:val="center"/>
          </w:tcPr>
          <w:p>
            <w:pPr>
              <w:pStyle w:val="TableText"/>
              <w:jc w:val="right"/>
            </w:pPr>
            <w:r>
              <w:rPr>
                <w:sz w:val="18"/>
                <w:szCs w:val="18"/>
              </w:rPr>
              <w:t xml:space="preserve">n/a</w:t>
            </w:r>
          </w:p>
        </w:tc>
        <w:tc>
          <w:tcPr>
            <w:tcW w:w="598" w:type="dxa"/>
            <w:vAlign w:val="center"/>
          </w:tcPr>
          <w:p>
            <w:pPr>
              <w:pStyle w:val="TableText"/>
              <w:jc w:val="right"/>
            </w:pPr>
            <w:r>
              <w:rPr>
                <w:sz w:val="18"/>
                <w:szCs w:val="18"/>
              </w:rPr>
              <w:t xml:space="preserve">4/4</w:t>
            </w:r>
          </w:p>
        </w:tc>
        <w:tc>
          <w:tcPr>
            <w:tcW w:w="825" w:type="dxa"/>
            <w:vAlign w:val="center"/>
          </w:tcPr>
          <w:p>
            <w:pPr>
              <w:pStyle w:val="TableText"/>
              <w:jc w:val="right"/>
            </w:pPr>
            <w:r>
              <w:rPr>
                <w:sz w:val="18"/>
                <w:szCs w:val="18"/>
              </w:rPr>
              <w:t xml:space="preserve">0</w:t>
            </w:r>
          </w:p>
        </w:tc>
        <w:tc>
          <w:tcPr>
            <w:tcW w:w="964" w:type="dxa"/>
            <w:vAlign w:val="center"/>
          </w:tcPr>
          <w:p>
            <w:pPr>
              <w:pStyle w:val="TableText"/>
              <w:jc w:val="right"/>
            </w:pPr>
            <w:r>
              <w:rPr>
                <w:sz w:val="18"/>
                <w:szCs w:val="18"/>
              </w:rPr>
              <w:t xml:space="preserve">0</w:t>
            </w:r>
          </w:p>
        </w:tc>
        <w:tc>
          <w:tcPr>
            <w:tcW w:w="663" w:type="dxa"/>
            <w:vAlign w:val="center"/>
          </w:tcPr>
          <w:p>
            <w:pPr>
              <w:pStyle w:val="TableText"/>
              <w:jc w:val="right"/>
            </w:pPr>
            <w:r>
              <w:rPr>
                <w:sz w:val="18"/>
                <w:szCs w:val="18"/>
              </w:rPr>
              <w:t xml:space="preserve">4/4</w:t>
            </w:r>
          </w:p>
        </w:tc>
      </w:tr>
      <w:tr>
        <w:trPr>
          <w:cantSplit/>
        </w:trPr>
        <w:tc>
          <w:tcPr>
            <w:tcW w:w="588" w:type="dxa"/>
            <w:vAlign w:val="center"/>
          </w:tcPr>
          <w:p>
            <w:pPr>
              <w:pStyle w:val="TableText"/>
              <w:jc w:val="left"/>
            </w:pPr>
          </w:p>
        </w:tc>
        <w:tc>
          <w:tcPr>
            <w:tcW w:w="2299" w:type="dxa"/>
            <w:vAlign w:val="center"/>
          </w:tcPr>
          <w:p>
            <w:pPr>
              <w:pStyle w:val="TableText"/>
              <w:jc w:val="left"/>
            </w:pPr>
            <w:r>
              <w:rPr>
                <w:sz w:val="18"/>
                <w:szCs w:val="18"/>
              </w:rPr>
              <w:t xml:space="preserve">ACS Employment, temporal</w:t>
            </w:r>
          </w:p>
        </w:tc>
        <w:tc>
          <w:tcPr>
            <w:tcW w:w="225" w:type="dxa"/>
            <w:vAlign w:val="center"/>
          </w:tcPr>
          <w:p>
            <w:pPr>
              <w:pStyle w:val="TableText"/>
              <w:jc w:val="right"/>
            </w:pPr>
            <w:r>
              <w:rPr>
                <w:sz w:val="18"/>
                <w:szCs w:val="18"/>
              </w:rPr>
              <w:t xml:space="preserve">8</w:t>
            </w:r>
          </w:p>
        </w:tc>
        <w:tc>
          <w:tcPr>
            <w:tcW w:w="328" w:type="dxa"/>
            <w:vAlign w:val="center"/>
          </w:tcPr>
          <w:p>
            <w:pPr>
              <w:pStyle w:val="TableText"/>
              <w:jc w:val="right"/>
            </w:pPr>
            <w:r>
              <w:rPr>
                <w:sz w:val="18"/>
                <w:szCs w:val="18"/>
              </w:rPr>
              <w:t xml:space="preserve">4/8</w:t>
            </w:r>
          </w:p>
        </w:tc>
        <w:tc>
          <w:tcPr>
            <w:tcW w:w="619" w:type="dxa"/>
            <w:vAlign w:val="center"/>
          </w:tcPr>
          <w:p>
            <w:pPr>
              <w:pStyle w:val="TableText"/>
              <w:jc w:val="right"/>
            </w:pPr>
            <w:r>
              <w:rPr>
                <w:sz w:val="18"/>
                <w:szCs w:val="18"/>
              </w:rPr>
              <w:t xml:space="preserve">7/7</w:t>
            </w:r>
          </w:p>
        </w:tc>
        <w:tc>
          <w:tcPr>
            <w:tcW w:w="598" w:type="dxa"/>
            <w:vAlign w:val="center"/>
          </w:tcPr>
          <w:p>
            <w:pPr>
              <w:pStyle w:val="TableText"/>
              <w:jc w:val="right"/>
            </w:pPr>
            <w:r>
              <w:rPr>
                <w:sz w:val="18"/>
                <w:szCs w:val="18"/>
              </w:rPr>
              <w:t xml:space="preserve">2/8</w:t>
            </w:r>
          </w:p>
        </w:tc>
        <w:tc>
          <w:tcPr>
            <w:tcW w:w="825" w:type="dxa"/>
            <w:vAlign w:val="center"/>
          </w:tcPr>
          <w:p>
            <w:pPr>
              <w:pStyle w:val="TableText"/>
              <w:jc w:val="right"/>
            </w:pPr>
            <w:r>
              <w:rPr>
                <w:sz w:val="18"/>
                <w:szCs w:val="18"/>
              </w:rPr>
              <w:t xml:space="preserve">7</w:t>
            </w:r>
          </w:p>
        </w:tc>
        <w:tc>
          <w:tcPr>
            <w:tcW w:w="964" w:type="dxa"/>
            <w:vAlign w:val="center"/>
          </w:tcPr>
          <w:p>
            <w:pPr>
              <w:pStyle w:val="TableText"/>
              <w:jc w:val="right"/>
            </w:pPr>
            <w:r>
              <w:rPr>
                <w:sz w:val="18"/>
                <w:szCs w:val="18"/>
              </w:rPr>
              <w:t xml:space="preserve">7</w:t>
            </w:r>
          </w:p>
        </w:tc>
        <w:tc>
          <w:tcPr>
            <w:tcW w:w="663" w:type="dxa"/>
            <w:vAlign w:val="center"/>
          </w:tcPr>
          <w:p>
            <w:pPr>
              <w:pStyle w:val="TableText"/>
              <w:jc w:val="right"/>
            </w:pPr>
            <w:r>
              <w:rPr>
                <w:sz w:val="18"/>
                <w:szCs w:val="18"/>
              </w:rPr>
              <w:t xml:space="preserve">8/8</w:t>
            </w:r>
          </w:p>
        </w:tc>
      </w:tr>
      <w:tr>
        <w:trPr>
          <w:cantSplit/>
        </w:trPr>
        <w:tc>
          <w:tcPr>
            <w:tcW w:w="588" w:type="dxa"/>
            <w:vAlign w:val="center"/>
          </w:tcPr>
          <w:p>
            <w:pPr>
              <w:pStyle w:val="TableText"/>
              <w:jc w:val="left"/>
            </w:pPr>
          </w:p>
        </w:tc>
        <w:tc>
          <w:tcPr>
            <w:tcW w:w="2299" w:type="dxa"/>
            <w:vAlign w:val="center"/>
          </w:tcPr>
          <w:p>
            <w:pPr>
              <w:pStyle w:val="TableText"/>
              <w:jc w:val="left"/>
            </w:pPr>
            <w:r>
              <w:rPr>
                <w:sz w:val="18"/>
                <w:szCs w:val="18"/>
              </w:rPr>
              <w:t xml:space="preserve">ACS Employment, states</w:t>
            </w:r>
          </w:p>
        </w:tc>
        <w:tc>
          <w:tcPr>
            <w:tcW w:w="225" w:type="dxa"/>
            <w:vAlign w:val="center"/>
          </w:tcPr>
          <w:p>
            <w:pPr>
              <w:pStyle w:val="TableText"/>
              <w:jc w:val="right"/>
            </w:pPr>
            <w:r>
              <w:rPr>
                <w:sz w:val="18"/>
                <w:szCs w:val="18"/>
              </w:rPr>
              <w:t xml:space="preserve">4</w:t>
            </w:r>
          </w:p>
        </w:tc>
        <w:tc>
          <w:tcPr>
            <w:tcW w:w="328" w:type="dxa"/>
            <w:vAlign w:val="center"/>
          </w:tcPr>
          <w:p>
            <w:pPr>
              <w:pStyle w:val="TableText"/>
              <w:jc w:val="right"/>
            </w:pPr>
            <w:r>
              <w:rPr>
                <w:sz w:val="18"/>
                <w:szCs w:val="18"/>
              </w:rPr>
              <w:t xml:space="preserve">2/4</w:t>
            </w:r>
          </w:p>
        </w:tc>
        <w:tc>
          <w:tcPr>
            <w:tcW w:w="619" w:type="dxa"/>
            <w:vAlign w:val="center"/>
          </w:tcPr>
          <w:p>
            <w:pPr>
              <w:pStyle w:val="TableText"/>
              <w:jc w:val="right"/>
            </w:pPr>
            <w:r>
              <w:rPr>
                <w:sz w:val="18"/>
                <w:szCs w:val="18"/>
              </w:rPr>
              <w:t xml:space="preserve">n/a</w:t>
            </w:r>
          </w:p>
        </w:tc>
        <w:tc>
          <w:tcPr>
            <w:tcW w:w="598" w:type="dxa"/>
            <w:vAlign w:val="center"/>
          </w:tcPr>
          <w:p>
            <w:pPr>
              <w:pStyle w:val="TableText"/>
              <w:jc w:val="right"/>
            </w:pPr>
            <w:r>
              <w:rPr>
                <w:sz w:val="18"/>
                <w:szCs w:val="18"/>
              </w:rPr>
              <w:t xml:space="preserve">1/4</w:t>
            </w:r>
          </w:p>
        </w:tc>
        <w:tc>
          <w:tcPr>
            <w:tcW w:w="825" w:type="dxa"/>
            <w:vAlign w:val="center"/>
          </w:tcPr>
          <w:p>
            <w:pPr>
              <w:pStyle w:val="TableText"/>
              <w:jc w:val="right"/>
            </w:pPr>
            <w:r>
              <w:rPr>
                <w:sz w:val="18"/>
                <w:szCs w:val="18"/>
              </w:rPr>
              <w:t xml:space="preserve">1</w:t>
            </w:r>
          </w:p>
        </w:tc>
        <w:tc>
          <w:tcPr>
            <w:tcW w:w="964" w:type="dxa"/>
            <w:vAlign w:val="center"/>
          </w:tcPr>
          <w:p>
            <w:pPr>
              <w:pStyle w:val="TableText"/>
              <w:jc w:val="right"/>
            </w:pPr>
            <w:r>
              <w:rPr>
                <w:sz w:val="18"/>
                <w:szCs w:val="18"/>
              </w:rPr>
              <w:t xml:space="preserve">2</w:t>
            </w:r>
          </w:p>
        </w:tc>
        <w:tc>
          <w:tcPr>
            <w:tcW w:w="663" w:type="dxa"/>
            <w:vAlign w:val="center"/>
          </w:tcPr>
          <w:p>
            <w:pPr>
              <w:pStyle w:val="TableText"/>
              <w:jc w:val="right"/>
            </w:pPr>
            <w:r>
              <w:rPr>
                <w:sz w:val="18"/>
                <w:szCs w:val="18"/>
              </w:rPr>
              <w:t xml:space="preserve">3/4</w:t>
            </w:r>
          </w:p>
        </w:tc>
      </w:tr>
      <w:tr>
        <w:trPr>
          <w:cantSplit/>
        </w:trPr>
        <w:tc>
          <w:tcPr>
            <w:tcW w:w="588" w:type="dxa"/>
            <w:vAlign w:val="center"/>
          </w:tcPr>
          <w:p>
            <w:pPr>
              <w:pStyle w:val="TableText"/>
              <w:jc w:val="left"/>
            </w:pPr>
          </w:p>
        </w:tc>
        <w:tc>
          <w:tcPr>
            <w:tcW w:w="2299" w:type="dxa"/>
            <w:vAlign w:val="center"/>
          </w:tcPr>
          <w:p>
            <w:pPr>
              <w:pStyle w:val="TableText"/>
              <w:jc w:val="left"/>
            </w:pPr>
            <w:r>
              <w:rPr>
                <w:sz w:val="18"/>
                <w:szCs w:val="18"/>
              </w:rPr>
              <w:t xml:space="preserve">CLEAR-10</w:t>
            </w:r>
          </w:p>
        </w:tc>
        <w:tc>
          <w:tcPr>
            <w:tcW w:w="225" w:type="dxa"/>
            <w:vAlign w:val="center"/>
          </w:tcPr>
          <w:p>
            <w:pPr>
              <w:pStyle w:val="TableText"/>
              <w:jc w:val="right"/>
            </w:pPr>
            <w:r>
              <w:rPr>
                <w:sz w:val="18"/>
                <w:szCs w:val="18"/>
              </w:rPr>
              <w:t xml:space="preserve">9</w:t>
            </w:r>
          </w:p>
        </w:tc>
        <w:tc>
          <w:tcPr>
            <w:tcW w:w="328" w:type="dxa"/>
            <w:vAlign w:val="center"/>
          </w:tcPr>
          <w:p>
            <w:pPr>
              <w:pStyle w:val="TableText"/>
              <w:jc w:val="right"/>
            </w:pPr>
            <w:r>
              <w:rPr>
                <w:sz w:val="18"/>
                <w:szCs w:val="18"/>
              </w:rPr>
              <w:t xml:space="preserve">0/9</w:t>
            </w:r>
          </w:p>
        </w:tc>
        <w:tc>
          <w:tcPr>
            <w:tcW w:w="619" w:type="dxa"/>
            <w:vAlign w:val="center"/>
          </w:tcPr>
          <w:p>
            <w:pPr>
              <w:pStyle w:val="TableText"/>
              <w:jc w:val="right"/>
            </w:pPr>
            <w:r>
              <w:rPr>
                <w:sz w:val="18"/>
                <w:szCs w:val="18"/>
              </w:rPr>
              <w:t xml:space="preserve">4/8</w:t>
            </w:r>
          </w:p>
        </w:tc>
        <w:tc>
          <w:tcPr>
            <w:tcW w:w="598" w:type="dxa"/>
            <w:vAlign w:val="center"/>
          </w:tcPr>
          <w:p>
            <w:pPr>
              <w:pStyle w:val="TableText"/>
              <w:jc w:val="right"/>
            </w:pPr>
            <w:r>
              <w:rPr>
                <w:sz w:val="18"/>
                <w:szCs w:val="18"/>
              </w:rPr>
              <w:t xml:space="preserve">6/9</w:t>
            </w:r>
          </w:p>
        </w:tc>
        <w:tc>
          <w:tcPr>
            <w:tcW w:w="825" w:type="dxa"/>
            <w:vAlign w:val="center"/>
          </w:tcPr>
          <w:p>
            <w:pPr>
              <w:pStyle w:val="TableText"/>
              <w:jc w:val="right"/>
            </w:pPr>
            <w:r>
              <w:rPr>
                <w:sz w:val="18"/>
                <w:szCs w:val="18"/>
              </w:rPr>
              <w:t xml:space="preserve">4</w:t>
            </w:r>
          </w:p>
        </w:tc>
        <w:tc>
          <w:tcPr>
            <w:tcW w:w="964" w:type="dxa"/>
            <w:vAlign w:val="center"/>
          </w:tcPr>
          <w:p>
            <w:pPr>
              <w:pStyle w:val="TableText"/>
              <w:jc w:val="right"/>
            </w:pPr>
            <w:r>
              <w:rPr>
                <w:sz w:val="18"/>
                <w:szCs w:val="18"/>
              </w:rPr>
              <w:t xml:space="preserve">4</w:t>
            </w:r>
          </w:p>
        </w:tc>
        <w:tc>
          <w:tcPr>
            <w:tcW w:w="663" w:type="dxa"/>
            <w:vAlign w:val="center"/>
          </w:tcPr>
          <w:p>
            <w:pPr>
              <w:pStyle w:val="TableText"/>
              <w:jc w:val="right"/>
            </w:pPr>
            <w:r>
              <w:rPr>
                <w:sz w:val="18"/>
                <w:szCs w:val="18"/>
              </w:rPr>
              <w:t xml:space="preserve">7/9</w:t>
            </w:r>
          </w:p>
        </w:tc>
      </w:tr>
      <w:tr>
        <w:trPr>
          <w:cantSplit/>
        </w:trPr>
        <w:tc>
          <w:tcPr>
            <w:tcW w:w="588" w:type="dxa"/>
            <w:vAlign w:val="center"/>
          </w:tcPr>
          <w:p>
            <w:pPr>
              <w:pStyle w:val="TableText"/>
              <w:jc w:val="left"/>
            </w:pPr>
          </w:p>
        </w:tc>
        <w:tc>
          <w:tcPr>
            <w:tcW w:w="2299" w:type="dxa"/>
            <w:vAlign w:val="center"/>
          </w:tcPr>
          <w:p>
            <w:pPr>
              <w:pStyle w:val="TableText"/>
              <w:jc w:val="left"/>
            </w:pPr>
            <w:r>
              <w:rPr>
                <w:sz w:val="18"/>
                <w:szCs w:val="18"/>
              </w:rPr>
              <w:t xml:space="preserve">Gas sensor</w:t>
            </w:r>
          </w:p>
        </w:tc>
        <w:tc>
          <w:tcPr>
            <w:tcW w:w="225" w:type="dxa"/>
            <w:vAlign w:val="center"/>
          </w:tcPr>
          <w:p>
            <w:pPr>
              <w:pStyle w:val="TableText"/>
              <w:jc w:val="right"/>
            </w:pPr>
            <w:r>
              <w:rPr>
                <w:sz w:val="18"/>
                <w:szCs w:val="18"/>
              </w:rPr>
              <w:t xml:space="preserve">8</w:t>
            </w:r>
          </w:p>
        </w:tc>
        <w:tc>
          <w:tcPr>
            <w:tcW w:w="328" w:type="dxa"/>
            <w:vAlign w:val="center"/>
          </w:tcPr>
          <w:p>
            <w:pPr>
              <w:pStyle w:val="TableText"/>
              <w:jc w:val="right"/>
            </w:pPr>
            <w:r>
              <w:rPr>
                <w:sz w:val="18"/>
                <w:szCs w:val="18"/>
              </w:rPr>
              <w:t xml:space="preserve">1/8</w:t>
            </w:r>
          </w:p>
        </w:tc>
        <w:tc>
          <w:tcPr>
            <w:tcW w:w="619" w:type="dxa"/>
            <w:vAlign w:val="center"/>
          </w:tcPr>
          <w:p>
            <w:pPr>
              <w:pStyle w:val="TableText"/>
              <w:jc w:val="right"/>
            </w:pPr>
            <w:r>
              <w:rPr>
                <w:sz w:val="18"/>
                <w:szCs w:val="18"/>
              </w:rPr>
              <w:t xml:space="preserve">7/7</w:t>
            </w:r>
          </w:p>
        </w:tc>
        <w:tc>
          <w:tcPr>
            <w:tcW w:w="598" w:type="dxa"/>
            <w:vAlign w:val="center"/>
          </w:tcPr>
          <w:p>
            <w:pPr>
              <w:pStyle w:val="TableText"/>
              <w:jc w:val="right"/>
            </w:pPr>
            <w:r>
              <w:rPr>
                <w:sz w:val="18"/>
                <w:szCs w:val="18"/>
              </w:rPr>
              <w:t xml:space="preserve">8/8</w:t>
            </w:r>
          </w:p>
        </w:tc>
        <w:tc>
          <w:tcPr>
            <w:tcW w:w="825" w:type="dxa"/>
            <w:vAlign w:val="center"/>
          </w:tcPr>
          <w:p>
            <w:pPr>
              <w:pStyle w:val="TableText"/>
              <w:jc w:val="right"/>
            </w:pPr>
            <w:r>
              <w:rPr>
                <w:sz w:val="18"/>
                <w:szCs w:val="18"/>
              </w:rPr>
              <w:t xml:space="preserve">7</w:t>
            </w:r>
          </w:p>
        </w:tc>
        <w:tc>
          <w:tcPr>
            <w:tcW w:w="964" w:type="dxa"/>
            <w:vAlign w:val="center"/>
          </w:tcPr>
          <w:p>
            <w:pPr>
              <w:pStyle w:val="TableText"/>
              <w:jc w:val="right"/>
            </w:pPr>
            <w:r>
              <w:rPr>
                <w:sz w:val="18"/>
                <w:szCs w:val="18"/>
              </w:rPr>
              <w:t xml:space="preserve">7</w:t>
            </w:r>
          </w:p>
        </w:tc>
        <w:tc>
          <w:tcPr>
            <w:tcW w:w="663" w:type="dxa"/>
            <w:vAlign w:val="center"/>
          </w:tcPr>
          <w:p>
            <w:pPr>
              <w:pStyle w:val="TableText"/>
              <w:jc w:val="right"/>
            </w:pPr>
            <w:r>
              <w:rPr>
                <w:sz w:val="18"/>
                <w:szCs w:val="18"/>
              </w:rPr>
              <w:t xml:space="preserve">8/8</w:t>
            </w:r>
          </w:p>
        </w:tc>
      </w:tr>
      <w:tr>
        <w:trPr>
          <w:cantSplit/>
        </w:trPr>
        <w:tc>
          <w:tcPr>
            <w:tcW w:w="588" w:type="dxa"/>
            <w:vAlign w:val="center"/>
          </w:tcPr>
          <w:p>
            <w:pPr>
              <w:pStyle w:val="TableText"/>
              <w:jc w:val="left"/>
            </w:pPr>
            <w:r>
              <w:rPr>
                <w:sz w:val="18"/>
                <w:szCs w:val="18"/>
              </w:rPr>
              <w:t xml:space="preserve">GB</w:t>
            </w:r>
          </w:p>
        </w:tc>
        <w:tc>
          <w:tcPr>
            <w:tcW w:w="2299" w:type="dxa"/>
            <w:vAlign w:val="center"/>
          </w:tcPr>
          <w:p>
            <w:pPr>
              <w:pStyle w:val="TableText"/>
              <w:jc w:val="left"/>
            </w:pPr>
            <w:r>
              <w:rPr>
                <w:sz w:val="18"/>
                <w:szCs w:val="18"/>
              </w:rPr>
              <w:t xml:space="preserve">ACS Income, temporal</w:t>
            </w:r>
          </w:p>
        </w:tc>
        <w:tc>
          <w:tcPr>
            <w:tcW w:w="225" w:type="dxa"/>
            <w:vAlign w:val="center"/>
          </w:tcPr>
          <w:p>
            <w:pPr>
              <w:pStyle w:val="TableText"/>
              <w:jc w:val="right"/>
            </w:pPr>
            <w:r>
              <w:rPr>
                <w:sz w:val="18"/>
                <w:szCs w:val="18"/>
              </w:rPr>
              <w:t xml:space="preserve">8</w:t>
            </w:r>
          </w:p>
        </w:tc>
        <w:tc>
          <w:tcPr>
            <w:tcW w:w="328" w:type="dxa"/>
            <w:vAlign w:val="center"/>
          </w:tcPr>
          <w:p>
            <w:pPr>
              <w:pStyle w:val="TableText"/>
              <w:jc w:val="right"/>
            </w:pPr>
            <w:r>
              <w:rPr>
                <w:sz w:val="18"/>
                <w:szCs w:val="18"/>
              </w:rPr>
              <w:t xml:space="preserve">0/8</w:t>
            </w:r>
          </w:p>
        </w:tc>
        <w:tc>
          <w:tcPr>
            <w:tcW w:w="619" w:type="dxa"/>
            <w:vAlign w:val="center"/>
          </w:tcPr>
          <w:p>
            <w:pPr>
              <w:pStyle w:val="TableText"/>
              <w:jc w:val="right"/>
            </w:pPr>
            <w:r>
              <w:rPr>
                <w:sz w:val="18"/>
                <w:szCs w:val="18"/>
              </w:rPr>
              <w:t xml:space="preserve">7/7</w:t>
            </w:r>
          </w:p>
        </w:tc>
        <w:tc>
          <w:tcPr>
            <w:tcW w:w="598" w:type="dxa"/>
            <w:vAlign w:val="center"/>
          </w:tcPr>
          <w:p>
            <w:pPr>
              <w:pStyle w:val="TableText"/>
              <w:jc w:val="right"/>
            </w:pPr>
            <w:r>
              <w:rPr>
                <w:sz w:val="18"/>
                <w:szCs w:val="18"/>
              </w:rPr>
              <w:t xml:space="preserve">4/8</w:t>
            </w:r>
          </w:p>
        </w:tc>
        <w:tc>
          <w:tcPr>
            <w:tcW w:w="825" w:type="dxa"/>
            <w:vAlign w:val="center"/>
          </w:tcPr>
          <w:p>
            <w:pPr>
              <w:pStyle w:val="TableText"/>
              <w:jc w:val="right"/>
            </w:pPr>
            <w:r>
              <w:rPr>
                <w:sz w:val="18"/>
                <w:szCs w:val="18"/>
              </w:rPr>
              <w:t xml:space="preserve">7</w:t>
            </w:r>
          </w:p>
        </w:tc>
        <w:tc>
          <w:tcPr>
            <w:tcW w:w="964" w:type="dxa"/>
            <w:vAlign w:val="center"/>
          </w:tcPr>
          <w:p>
            <w:pPr>
              <w:pStyle w:val="TableText"/>
              <w:jc w:val="right"/>
            </w:pPr>
            <w:r>
              <w:rPr>
                <w:sz w:val="18"/>
                <w:szCs w:val="18"/>
              </w:rPr>
              <w:t xml:space="preserve">7</w:t>
            </w:r>
          </w:p>
        </w:tc>
        <w:tc>
          <w:tcPr>
            <w:tcW w:w="663" w:type="dxa"/>
            <w:vAlign w:val="center"/>
          </w:tcPr>
          <w:p>
            <w:pPr>
              <w:pStyle w:val="TableText"/>
              <w:jc w:val="right"/>
            </w:pPr>
            <w:r>
              <w:rPr>
                <w:sz w:val="18"/>
                <w:szCs w:val="18"/>
              </w:rPr>
              <w:t xml:space="preserve">8/8</w:t>
            </w:r>
          </w:p>
        </w:tc>
      </w:tr>
      <w:tr>
        <w:trPr>
          <w:cantSplit/>
        </w:trPr>
        <w:tc>
          <w:tcPr>
            <w:tcW w:w="588" w:type="dxa"/>
            <w:vAlign w:val="center"/>
          </w:tcPr>
          <w:p>
            <w:pPr>
              <w:pStyle w:val="TableText"/>
              <w:jc w:val="left"/>
            </w:pPr>
          </w:p>
        </w:tc>
        <w:tc>
          <w:tcPr>
            <w:tcW w:w="2299" w:type="dxa"/>
            <w:vAlign w:val="center"/>
          </w:tcPr>
          <w:p>
            <w:pPr>
              <w:pStyle w:val="TableText"/>
              <w:jc w:val="left"/>
            </w:pPr>
            <w:r>
              <w:rPr>
                <w:sz w:val="18"/>
                <w:szCs w:val="18"/>
              </w:rPr>
              <w:t xml:space="preserve">ACS Income, states</w:t>
            </w:r>
          </w:p>
        </w:tc>
        <w:tc>
          <w:tcPr>
            <w:tcW w:w="225" w:type="dxa"/>
            <w:vAlign w:val="center"/>
          </w:tcPr>
          <w:p>
            <w:pPr>
              <w:pStyle w:val="TableText"/>
              <w:jc w:val="right"/>
            </w:pPr>
            <w:r>
              <w:rPr>
                <w:sz w:val="18"/>
                <w:szCs w:val="18"/>
              </w:rPr>
              <w:t xml:space="preserve">4</w:t>
            </w:r>
          </w:p>
        </w:tc>
        <w:tc>
          <w:tcPr>
            <w:tcW w:w="328" w:type="dxa"/>
            <w:vAlign w:val="center"/>
          </w:tcPr>
          <w:p>
            <w:pPr>
              <w:pStyle w:val="TableText"/>
              <w:jc w:val="right"/>
            </w:pPr>
            <w:r>
              <w:rPr>
                <w:sz w:val="18"/>
                <w:szCs w:val="18"/>
              </w:rPr>
              <w:t xml:space="preserve">0/4</w:t>
            </w:r>
          </w:p>
        </w:tc>
        <w:tc>
          <w:tcPr>
            <w:tcW w:w="619" w:type="dxa"/>
            <w:vAlign w:val="center"/>
          </w:tcPr>
          <w:p>
            <w:pPr>
              <w:pStyle w:val="TableText"/>
              <w:jc w:val="right"/>
            </w:pPr>
            <w:r>
              <w:rPr>
                <w:sz w:val="18"/>
                <w:szCs w:val="18"/>
              </w:rPr>
              <w:t xml:space="preserve">n/a</w:t>
            </w:r>
          </w:p>
        </w:tc>
        <w:tc>
          <w:tcPr>
            <w:tcW w:w="598" w:type="dxa"/>
            <w:vAlign w:val="center"/>
          </w:tcPr>
          <w:p>
            <w:pPr>
              <w:pStyle w:val="TableText"/>
              <w:jc w:val="right"/>
            </w:pPr>
            <w:r>
              <w:rPr>
                <w:sz w:val="18"/>
                <w:szCs w:val="18"/>
              </w:rPr>
              <w:t xml:space="preserve">3/4</w:t>
            </w:r>
          </w:p>
        </w:tc>
        <w:tc>
          <w:tcPr>
            <w:tcW w:w="825" w:type="dxa"/>
            <w:vAlign w:val="center"/>
          </w:tcPr>
          <w:p>
            <w:pPr>
              <w:pStyle w:val="TableText"/>
              <w:jc w:val="right"/>
            </w:pPr>
            <w:r>
              <w:rPr>
                <w:sz w:val="18"/>
                <w:szCs w:val="18"/>
              </w:rPr>
              <w:t xml:space="preserve">0</w:t>
            </w:r>
          </w:p>
        </w:tc>
        <w:tc>
          <w:tcPr>
            <w:tcW w:w="964" w:type="dxa"/>
            <w:vAlign w:val="center"/>
          </w:tcPr>
          <w:p>
            <w:pPr>
              <w:pStyle w:val="TableText"/>
              <w:jc w:val="right"/>
            </w:pPr>
            <w:r>
              <w:rPr>
                <w:sz w:val="18"/>
                <w:szCs w:val="18"/>
              </w:rPr>
              <w:t xml:space="preserve">0</w:t>
            </w:r>
          </w:p>
        </w:tc>
        <w:tc>
          <w:tcPr>
            <w:tcW w:w="663" w:type="dxa"/>
            <w:vAlign w:val="center"/>
          </w:tcPr>
          <w:p>
            <w:pPr>
              <w:pStyle w:val="TableText"/>
              <w:jc w:val="right"/>
            </w:pPr>
            <w:r>
              <w:rPr>
                <w:sz w:val="18"/>
                <w:szCs w:val="18"/>
              </w:rPr>
              <w:t xml:space="preserve">4/4</w:t>
            </w:r>
          </w:p>
        </w:tc>
      </w:tr>
      <w:tr>
        <w:trPr>
          <w:cantSplit/>
        </w:trPr>
        <w:tc>
          <w:tcPr>
            <w:tcW w:w="588" w:type="dxa"/>
            <w:vAlign w:val="center"/>
          </w:tcPr>
          <w:p>
            <w:pPr>
              <w:pStyle w:val="TableText"/>
              <w:jc w:val="left"/>
            </w:pPr>
          </w:p>
        </w:tc>
        <w:tc>
          <w:tcPr>
            <w:tcW w:w="2299" w:type="dxa"/>
            <w:vAlign w:val="center"/>
          </w:tcPr>
          <w:p>
            <w:pPr>
              <w:pStyle w:val="TableText"/>
              <w:jc w:val="left"/>
            </w:pPr>
            <w:r>
              <w:rPr>
                <w:sz w:val="18"/>
                <w:szCs w:val="18"/>
              </w:rPr>
              <w:t xml:space="preserve">ACS Employment, temporal</w:t>
            </w:r>
          </w:p>
        </w:tc>
        <w:tc>
          <w:tcPr>
            <w:tcW w:w="225" w:type="dxa"/>
            <w:vAlign w:val="center"/>
          </w:tcPr>
          <w:p>
            <w:pPr>
              <w:pStyle w:val="TableText"/>
              <w:jc w:val="right"/>
            </w:pPr>
            <w:r>
              <w:rPr>
                <w:sz w:val="18"/>
                <w:szCs w:val="18"/>
              </w:rPr>
              <w:t xml:space="preserve">8</w:t>
            </w:r>
          </w:p>
        </w:tc>
        <w:tc>
          <w:tcPr>
            <w:tcW w:w="328" w:type="dxa"/>
            <w:vAlign w:val="center"/>
          </w:tcPr>
          <w:p>
            <w:pPr>
              <w:pStyle w:val="TableText"/>
              <w:jc w:val="right"/>
            </w:pPr>
            <w:r>
              <w:rPr>
                <w:sz w:val="18"/>
                <w:szCs w:val="18"/>
              </w:rPr>
              <w:t xml:space="preserve">0/8</w:t>
            </w:r>
          </w:p>
        </w:tc>
        <w:tc>
          <w:tcPr>
            <w:tcW w:w="619" w:type="dxa"/>
            <w:vAlign w:val="center"/>
          </w:tcPr>
          <w:p>
            <w:pPr>
              <w:pStyle w:val="TableText"/>
              <w:jc w:val="right"/>
            </w:pPr>
            <w:r>
              <w:rPr>
                <w:sz w:val="18"/>
                <w:szCs w:val="18"/>
              </w:rPr>
              <w:t xml:space="preserve">7/7</w:t>
            </w:r>
          </w:p>
        </w:tc>
        <w:tc>
          <w:tcPr>
            <w:tcW w:w="598" w:type="dxa"/>
            <w:vAlign w:val="center"/>
          </w:tcPr>
          <w:p>
            <w:pPr>
              <w:pStyle w:val="TableText"/>
              <w:jc w:val="right"/>
            </w:pPr>
            <w:r>
              <w:rPr>
                <w:sz w:val="18"/>
                <w:szCs w:val="18"/>
              </w:rPr>
              <w:t xml:space="preserve">0/8</w:t>
            </w:r>
          </w:p>
        </w:tc>
        <w:tc>
          <w:tcPr>
            <w:tcW w:w="825" w:type="dxa"/>
            <w:vAlign w:val="center"/>
          </w:tcPr>
          <w:p>
            <w:pPr>
              <w:pStyle w:val="TableText"/>
              <w:jc w:val="right"/>
            </w:pPr>
            <w:r>
              <w:rPr>
                <w:sz w:val="18"/>
                <w:szCs w:val="18"/>
              </w:rPr>
              <w:t xml:space="preserve">6</w:t>
            </w:r>
          </w:p>
        </w:tc>
        <w:tc>
          <w:tcPr>
            <w:tcW w:w="964" w:type="dxa"/>
            <w:vAlign w:val="center"/>
          </w:tcPr>
          <w:p>
            <w:pPr>
              <w:pStyle w:val="TableText"/>
              <w:jc w:val="right"/>
            </w:pPr>
            <w:r>
              <w:rPr>
                <w:sz w:val="18"/>
                <w:szCs w:val="18"/>
              </w:rPr>
              <w:t xml:space="preserve">7</w:t>
            </w:r>
          </w:p>
        </w:tc>
        <w:tc>
          <w:tcPr>
            <w:tcW w:w="663" w:type="dxa"/>
            <w:vAlign w:val="center"/>
          </w:tcPr>
          <w:p>
            <w:pPr>
              <w:pStyle w:val="TableText"/>
              <w:jc w:val="right"/>
            </w:pPr>
            <w:r>
              <w:rPr>
                <w:sz w:val="18"/>
                <w:szCs w:val="18"/>
              </w:rPr>
              <w:t xml:space="preserve">7/8</w:t>
            </w:r>
          </w:p>
        </w:tc>
      </w:tr>
      <w:tr>
        <w:trPr>
          <w:cantSplit/>
        </w:trPr>
        <w:tc>
          <w:tcPr>
            <w:tcW w:w="588" w:type="dxa"/>
            <w:vAlign w:val="center"/>
          </w:tcPr>
          <w:p>
            <w:pPr>
              <w:pStyle w:val="TableText"/>
              <w:jc w:val="left"/>
            </w:pPr>
          </w:p>
        </w:tc>
        <w:tc>
          <w:tcPr>
            <w:tcW w:w="2299" w:type="dxa"/>
            <w:vAlign w:val="center"/>
          </w:tcPr>
          <w:p>
            <w:pPr>
              <w:pStyle w:val="TableText"/>
              <w:jc w:val="left"/>
            </w:pPr>
            <w:r>
              <w:rPr>
                <w:sz w:val="18"/>
                <w:szCs w:val="18"/>
              </w:rPr>
              <w:t xml:space="preserve">ACS Employment, states</w:t>
            </w:r>
          </w:p>
        </w:tc>
        <w:tc>
          <w:tcPr>
            <w:tcW w:w="225" w:type="dxa"/>
            <w:vAlign w:val="center"/>
          </w:tcPr>
          <w:p>
            <w:pPr>
              <w:pStyle w:val="TableText"/>
              <w:jc w:val="right"/>
            </w:pPr>
            <w:r>
              <w:rPr>
                <w:sz w:val="18"/>
                <w:szCs w:val="18"/>
              </w:rPr>
              <w:t xml:space="preserve">4</w:t>
            </w:r>
          </w:p>
        </w:tc>
        <w:tc>
          <w:tcPr>
            <w:tcW w:w="328" w:type="dxa"/>
            <w:vAlign w:val="center"/>
          </w:tcPr>
          <w:p>
            <w:pPr>
              <w:pStyle w:val="TableText"/>
              <w:jc w:val="right"/>
            </w:pPr>
            <w:r>
              <w:rPr>
                <w:sz w:val="18"/>
                <w:szCs w:val="18"/>
              </w:rPr>
              <w:t xml:space="preserve">0/4</w:t>
            </w:r>
          </w:p>
        </w:tc>
        <w:tc>
          <w:tcPr>
            <w:tcW w:w="619" w:type="dxa"/>
            <w:vAlign w:val="center"/>
          </w:tcPr>
          <w:p>
            <w:pPr>
              <w:pStyle w:val="TableText"/>
              <w:jc w:val="right"/>
            </w:pPr>
            <w:r>
              <w:rPr>
                <w:sz w:val="18"/>
                <w:szCs w:val="18"/>
              </w:rPr>
              <w:t xml:space="preserve">n/a</w:t>
            </w:r>
          </w:p>
        </w:tc>
        <w:tc>
          <w:tcPr>
            <w:tcW w:w="598" w:type="dxa"/>
            <w:vAlign w:val="center"/>
          </w:tcPr>
          <w:p>
            <w:pPr>
              <w:pStyle w:val="TableText"/>
              <w:jc w:val="right"/>
            </w:pPr>
            <w:r>
              <w:rPr>
                <w:sz w:val="18"/>
                <w:szCs w:val="18"/>
              </w:rPr>
              <w:t xml:space="preserve">0/4</w:t>
            </w:r>
          </w:p>
        </w:tc>
        <w:tc>
          <w:tcPr>
            <w:tcW w:w="825" w:type="dxa"/>
            <w:vAlign w:val="center"/>
          </w:tcPr>
          <w:p>
            <w:pPr>
              <w:pStyle w:val="TableText"/>
              <w:jc w:val="right"/>
            </w:pPr>
            <w:r>
              <w:rPr>
                <w:sz w:val="18"/>
                <w:szCs w:val="18"/>
              </w:rPr>
              <w:t xml:space="preserve">0</w:t>
            </w:r>
          </w:p>
        </w:tc>
        <w:tc>
          <w:tcPr>
            <w:tcW w:w="964" w:type="dxa"/>
            <w:vAlign w:val="center"/>
          </w:tcPr>
          <w:p>
            <w:pPr>
              <w:pStyle w:val="TableText"/>
              <w:jc w:val="right"/>
            </w:pPr>
            <w:r>
              <w:rPr>
                <w:sz w:val="18"/>
                <w:szCs w:val="18"/>
              </w:rPr>
              <w:t xml:space="preserve">0</w:t>
            </w:r>
          </w:p>
        </w:tc>
        <w:tc>
          <w:tcPr>
            <w:tcW w:w="663" w:type="dxa"/>
            <w:vAlign w:val="center"/>
          </w:tcPr>
          <w:p>
            <w:pPr>
              <w:pStyle w:val="TableText"/>
              <w:jc w:val="right"/>
            </w:pPr>
            <w:r>
              <w:rPr>
                <w:sz w:val="18"/>
                <w:szCs w:val="18"/>
              </w:rPr>
              <w:t xml:space="preserve">4/4</w:t>
            </w:r>
          </w:p>
        </w:tc>
      </w:tr>
      <w:tr>
        <w:trPr>
          <w:cantSplit/>
        </w:trPr>
        <w:tc>
          <w:tcPr>
            <w:tcW w:w="588" w:type="dxa"/>
            <w:vAlign w:val="center"/>
          </w:tcPr>
          <w:p>
            <w:pPr>
              <w:pStyle w:val="TableText"/>
              <w:jc w:val="left"/>
            </w:pPr>
          </w:p>
        </w:tc>
        <w:tc>
          <w:tcPr>
            <w:tcW w:w="2299" w:type="dxa"/>
            <w:vAlign w:val="center"/>
          </w:tcPr>
          <w:p>
            <w:pPr>
              <w:pStyle w:val="TableText"/>
              <w:jc w:val="left"/>
            </w:pPr>
            <w:r>
              <w:rPr>
                <w:sz w:val="18"/>
                <w:szCs w:val="18"/>
              </w:rPr>
              <w:t xml:space="preserve">CLEAR-10</w:t>
            </w:r>
          </w:p>
        </w:tc>
        <w:tc>
          <w:tcPr>
            <w:tcW w:w="225" w:type="dxa"/>
            <w:vAlign w:val="center"/>
          </w:tcPr>
          <w:p>
            <w:pPr>
              <w:pStyle w:val="TableText"/>
              <w:jc w:val="right"/>
            </w:pPr>
            <w:r>
              <w:rPr>
                <w:sz w:val="18"/>
                <w:szCs w:val="18"/>
              </w:rPr>
              <w:t xml:space="preserve">9</w:t>
            </w:r>
          </w:p>
        </w:tc>
        <w:tc>
          <w:tcPr>
            <w:tcW w:w="328" w:type="dxa"/>
            <w:vAlign w:val="center"/>
          </w:tcPr>
          <w:p>
            <w:pPr>
              <w:pStyle w:val="TableText"/>
              <w:jc w:val="right"/>
            </w:pPr>
            <w:r>
              <w:rPr>
                <w:sz w:val="18"/>
                <w:szCs w:val="18"/>
              </w:rPr>
              <w:t xml:space="preserve">0/9</w:t>
            </w:r>
          </w:p>
        </w:tc>
        <w:tc>
          <w:tcPr>
            <w:tcW w:w="619" w:type="dxa"/>
            <w:vAlign w:val="center"/>
          </w:tcPr>
          <w:p>
            <w:pPr>
              <w:pStyle w:val="TableText"/>
              <w:jc w:val="right"/>
            </w:pPr>
            <w:r>
              <w:rPr>
                <w:sz w:val="18"/>
                <w:szCs w:val="18"/>
              </w:rPr>
              <w:t xml:space="preserve">8/8</w:t>
            </w:r>
          </w:p>
        </w:tc>
        <w:tc>
          <w:tcPr>
            <w:tcW w:w="598" w:type="dxa"/>
            <w:vAlign w:val="center"/>
          </w:tcPr>
          <w:p>
            <w:pPr>
              <w:pStyle w:val="TableText"/>
              <w:jc w:val="right"/>
            </w:pPr>
            <w:r>
              <w:rPr>
                <w:sz w:val="18"/>
                <w:szCs w:val="18"/>
              </w:rPr>
              <w:t xml:space="preserve">9/9</w:t>
            </w:r>
          </w:p>
        </w:tc>
        <w:tc>
          <w:tcPr>
            <w:tcW w:w="825" w:type="dxa"/>
            <w:vAlign w:val="center"/>
          </w:tcPr>
          <w:p>
            <w:pPr>
              <w:pStyle w:val="TableText"/>
              <w:jc w:val="right"/>
            </w:pPr>
            <w:r>
              <w:rPr>
                <w:sz w:val="18"/>
                <w:szCs w:val="18"/>
              </w:rPr>
              <w:t xml:space="preserve">8</w:t>
            </w:r>
          </w:p>
        </w:tc>
        <w:tc>
          <w:tcPr>
            <w:tcW w:w="964" w:type="dxa"/>
            <w:vAlign w:val="center"/>
          </w:tcPr>
          <w:p>
            <w:pPr>
              <w:pStyle w:val="TableText"/>
              <w:jc w:val="right"/>
            </w:pPr>
            <w:r>
              <w:rPr>
                <w:sz w:val="18"/>
                <w:szCs w:val="18"/>
              </w:rPr>
              <w:t xml:space="preserve">8</w:t>
            </w:r>
          </w:p>
        </w:tc>
        <w:tc>
          <w:tcPr>
            <w:tcW w:w="663" w:type="dxa"/>
            <w:vAlign w:val="center"/>
          </w:tcPr>
          <w:p>
            <w:pPr>
              <w:pStyle w:val="TableText"/>
              <w:jc w:val="right"/>
            </w:pPr>
            <w:r>
              <w:rPr>
                <w:sz w:val="18"/>
                <w:szCs w:val="18"/>
              </w:rPr>
              <w:t xml:space="preserve">9/9</w:t>
            </w:r>
          </w:p>
        </w:tc>
      </w:tr>
      <w:tr>
        <w:trPr>
          <w:cantSplit/>
        </w:trPr>
        <w:tc>
          <w:tcPr>
            <w:tcW w:w="588" w:type="dxa"/>
            <w:vAlign w:val="center"/>
          </w:tcPr>
          <w:p>
            <w:pPr>
              <w:pStyle w:val="TableText"/>
              <w:jc w:val="left"/>
            </w:pPr>
          </w:p>
        </w:tc>
        <w:tc>
          <w:tcPr>
            <w:tcW w:w="2299" w:type="dxa"/>
            <w:vAlign w:val="center"/>
          </w:tcPr>
          <w:p>
            <w:pPr>
              <w:pStyle w:val="TableText"/>
              <w:jc w:val="left"/>
            </w:pPr>
            <w:r>
              <w:rPr>
                <w:sz w:val="18"/>
                <w:szCs w:val="18"/>
              </w:rPr>
              <w:t xml:space="preserve">Gas sensor</w:t>
            </w:r>
          </w:p>
        </w:tc>
        <w:tc>
          <w:tcPr>
            <w:tcW w:w="225" w:type="dxa"/>
            <w:vAlign w:val="center"/>
          </w:tcPr>
          <w:p>
            <w:pPr>
              <w:pStyle w:val="TableText"/>
              <w:jc w:val="right"/>
            </w:pPr>
            <w:r>
              <w:rPr>
                <w:sz w:val="18"/>
                <w:szCs w:val="18"/>
              </w:rPr>
              <w:t xml:space="preserve">8</w:t>
            </w:r>
          </w:p>
        </w:tc>
        <w:tc>
          <w:tcPr>
            <w:tcW w:w="328" w:type="dxa"/>
            <w:vAlign w:val="center"/>
          </w:tcPr>
          <w:p>
            <w:pPr>
              <w:pStyle w:val="TableText"/>
              <w:jc w:val="right"/>
            </w:pPr>
            <w:r>
              <w:rPr>
                <w:sz w:val="18"/>
                <w:szCs w:val="18"/>
              </w:rPr>
              <w:t xml:space="preserve">1/8</w:t>
            </w:r>
          </w:p>
        </w:tc>
        <w:tc>
          <w:tcPr>
            <w:tcW w:w="619" w:type="dxa"/>
            <w:vAlign w:val="center"/>
          </w:tcPr>
          <w:p>
            <w:pPr>
              <w:pStyle w:val="TableText"/>
              <w:jc w:val="right"/>
            </w:pPr>
            <w:r>
              <w:rPr>
                <w:sz w:val="18"/>
                <w:szCs w:val="18"/>
              </w:rPr>
              <w:t xml:space="preserve">5/7</w:t>
            </w:r>
          </w:p>
        </w:tc>
        <w:tc>
          <w:tcPr>
            <w:tcW w:w="598" w:type="dxa"/>
            <w:vAlign w:val="center"/>
          </w:tcPr>
          <w:p>
            <w:pPr>
              <w:pStyle w:val="TableText"/>
              <w:jc w:val="right"/>
            </w:pPr>
            <w:r>
              <w:rPr>
                <w:sz w:val="18"/>
                <w:szCs w:val="18"/>
              </w:rPr>
              <w:t xml:space="preserve">8/8</w:t>
            </w:r>
          </w:p>
        </w:tc>
        <w:tc>
          <w:tcPr>
            <w:tcW w:w="825" w:type="dxa"/>
            <w:vAlign w:val="center"/>
          </w:tcPr>
          <w:p>
            <w:pPr>
              <w:pStyle w:val="TableText"/>
              <w:jc w:val="right"/>
            </w:pPr>
            <w:r>
              <w:rPr>
                <w:sz w:val="18"/>
                <w:szCs w:val="18"/>
              </w:rPr>
              <w:t xml:space="preserve">7</w:t>
            </w:r>
          </w:p>
        </w:tc>
        <w:tc>
          <w:tcPr>
            <w:tcW w:w="964" w:type="dxa"/>
            <w:vAlign w:val="center"/>
          </w:tcPr>
          <w:p>
            <w:pPr>
              <w:pStyle w:val="TableText"/>
              <w:jc w:val="right"/>
            </w:pPr>
            <w:r>
              <w:rPr>
                <w:sz w:val="18"/>
                <w:szCs w:val="18"/>
              </w:rPr>
              <w:t xml:space="preserve">6</w:t>
            </w:r>
          </w:p>
        </w:tc>
        <w:tc>
          <w:tcPr>
            <w:tcW w:w="663" w:type="dxa"/>
            <w:vAlign w:val="center"/>
          </w:tcPr>
          <w:p>
            <w:pPr>
              <w:pStyle w:val="TableText"/>
              <w:jc w:val="right"/>
            </w:pPr>
            <w:r>
              <w:rPr>
                <w:sz w:val="18"/>
                <w:szCs w:val="18"/>
              </w:rPr>
              <w:t xml:space="preserve">7/8</w:t>
            </w:r>
          </w:p>
        </w:tc>
      </w:tr>
    </w:tbl>
    <w:p>
      <w:pPr>
        <w:spacing w:before="0" w:after="120" w:line="240" w:lineRule="auto"/>
      </w:pPr>
    </w:p>
    <w:p>
      <w:pPr>
        <w:pStyle w:val="Normal"/>
      </w:pPr>
      <w:r>
        <w:t xml:space="preserve">Over 82 real settings the triage is right in 77. It is right in 54 of the 58 settings that have an earlier labeled window, because its recent-window probe is checked on real labels. The geographic windows of the census tasks have no earlier window; there, importance weighting rarely helps and the triage is right in 23 of 24 settings, but mostly by advising against a retrain, since one truly helped in only 2 of them. On the benchmark its recall is only 6%, because importance-weighted validation cannot see gains outside the reference data.</w:t>
      </w:r>
    </w:p>
    <w:p>
      <w:pPr>
        <w:pStyle w:val="Heading3"/>
      </w:pPr>
      <w:r>
        <w:t xml:space="preserve">7.4.7 Computational Cost</w:t>
      </w:r>
    </w:p>
    <w:p>
      <w:pPr>
        <w:pStyle w:val="Normal"/>
      </w:pPr>
      <w:r>
        <w:t xml:space="preserve">A monitor has to finish with one window before the next one arrives, so the time of each window was recorded through the stages of the pipeline, from the detectors to the reliability scores, leaving out model training and the image embeddings. Over 90 real windows no window took longer than 90 seconds and all of them together took 45.5 minutes. With LR on the census tasks most of the time goes to the SHAP values of the root cause analysis; on CLEAR-10 and the gas sensor array the diagnosis takes the largest share. The whole injection benchmark took 1.6 hours on 20 processor threads. Windows of a day, a week or a month leave ample room; a stream that needs a verdict every few seconds would call for cheaper tests.</w:t>
      </w:r>
    </w:p>
    <w:p>
      <w:pPr>
        <w:pStyle w:val="Heading2"/>
      </w:pPr>
      <w:r>
        <w:t xml:space="preserve">7.5 Comparison of Results with Existing Systems</w:t>
      </w:r>
    </w:p>
    <w:p>
      <w:pPr>
        <w:pStyle w:val="Normal"/>
      </w:pPr>
      <w:r>
        <w:t xml:space="preserve">The comparison in Table </w:t>
      </w:r>
      <w:r>
        <w:t xml:space="preserve">7.2</w:t>
      </w:r>
      <w:r>
        <w:t xml:space="preserve"> is fair in three respects. Every method names one of the same five outcomes, from the same tests and the same audit labels, so differences come from how the evidence is turned into a verdict, not from different data. The rule baselines stand for current practice: input monitoring reads any input alarm as covariate shift, BBSE first reads a shift in the predicted labels as prior shift </w:t>
      </w:r>
      <w:r>
        <w:t xml:space="preserve">[3], [11]</w:t>
      </w:r>
      <w:r>
        <w:t xml:space="preserve"> and error-rate monitoring also reads a drop in audit accuracy as concept drift </w:t>
      </w:r>
      <w:r>
        <w:t xml:space="preserve">[7]</w:t>
      </w:r>
      <w:r>
        <w:t xml:space="preserve">. The learned meta-classifier, a GB model trained on nine statistics of each window from the same tests, checks whether a learned rule could replace the tests.</w:t>
      </w:r>
    </w:p>
    <w:p>
      <w:pPr>
        <w:pStyle w:val="Normal"/>
      </w:pPr>
      <w:r>
        <w:t xml:space="preserve">Against the rules, our procedure is better in every configuration, by a wide margin, because each rule can name only some of the types. Against the learned rule, the picture depends on whether the drift was seen in training: the meta-classifier wins narrowly on design A and loses by a wide margin on every configuration of design B. A monitoring team does not know in advance which drift it will meet, so a procedure that holds up on unseen mechanisms is the safer choice. Compared with the published methods of Table </w:t>
      </w:r>
      <w:r>
        <w:t xml:space="preserve">2.4</w:t>
      </w:r>
      <w:r>
        <w:t xml:space="preserve">, the system is the only one that separates concept drift from label noise and the only one evaluated on held-out drift. Its accuracy estimates are on par with the best published estimators: ATC is slightly more accurate in most columns of Table </w:t>
      </w:r>
      <w:r>
        <w:t xml:space="preserve">7.5</w:t>
      </w:r>
      <w:r>
        <w:t xml:space="preserve"> and all four fail together when confidence stops tracking accuracy.</w:t>
      </w:r>
    </w:p>
    <w:p>
      <w:pPr>
        <w:pStyle w:val="Heading2"/>
      </w:pPr>
      <w:r>
        <w:t xml:space="preserve">7.6 Inference Drawn</w:t>
      </w:r>
    </w:p>
    <w:p>
      <w:pPr>
        <w:pStyle w:val="Normal"/>
      </w:pPr>
      <w:r>
        <w:t xml:space="preserve">The results support four conclusions. First, hypothesis tests with a stated error rate can name the drift type from label-free tests and a few hundred late labels: 85.7 to 94.3% on design A and 62.4 to 81.5% on held-out drift, with false alarms below their bound. The project’s objectives for the diagnosis were met. Second, encoding the definitions of the types makes the diagnosis carry over to new drift, where a learned rule does not. Third, on real data the system stays quiet on control windows and traces documented events, from new occupation codes to aging sensors, while showing that an alarm alone can overstate a harmless shift. Fourth, the supporting stages have clear limits: the accuracy estimate is an upper bound, the reliability fusion adds little beyond confidence and the triage is reliable only where an earlier labeled window exists.</w:t>
      </w:r>
    </w:p>
    <w:p>
      <w:pPr>
        <w:pStyle w:val="Normal"/>
      </w:pPr>
      <w:r>
        <w:t xml:space="preserve">Two results were unexpected. The first was how strongly the meta-classifier collapsed on design B, which made the case for tests clearer than we had anticipated. The second was class-conditional label noise, which the audit mostly reads as concept drift; this exposed a real limit of a confidence-based null and points to the main next step of the work.</w:t>
      </w:r>
    </w:p>
    <w:p>
      <w:pPr>
        <w:pStyle w:val="Heading2"/>
      </w:pPr>
      <w:r>
        <w:t xml:space="preserve">7.7 Sustainability Impact Assessment and Rubric Justification</w:t>
      </w:r>
    </w:p>
    <w:p>
      <w:pPr>
        <w:pStyle w:val="Normal"/>
      </w:pPr>
      <w:r>
        <w:t xml:space="preserve">This section assesses the sustainability of the project with the structure the department provides: its scope and evidence, the material topics, targets and progress, the link to the Sustainable Development Goals, a self-assessment against the rubric and a statement of limitations. It distinguishes throughout between what was measured, what was estimated and what was not assessed.</w:t>
      </w:r>
    </w:p>
    <w:p>
      <w:pPr>
        <w:pStyle w:val="Heading3"/>
      </w:pPr>
      <w:r>
        <w:t xml:space="preserve">7.7.1 Scope, Boundary and Evidence</w:t>
      </w:r>
    </w:p>
    <w:p>
      <w:pPr>
        <w:pStyle w:val="Normal"/>
      </w:pPr>
      <w:r>
        <w:t xml:space="preserve">The assessment covers the development and evaluation of ResilientAI from February to October 2026: the experiments on the team’s workstation, the dashboard and the documents. Hosting, use by a real monitoring team, maintenance and disposal are outside the boundary, because the system has not been deployed. The users considered are the stakeholders of Section </w:t>
      </w:r>
      <w:r>
        <w:t xml:space="preserve">3.1</w:t>
      </w:r>
      <w:r>
        <w:t xml:space="preserve">. The evidence consists of the measured run times stored in every study report, the benchmark’s recorded wall-clock time, the processor’s rated maximum power of 181 W </w:t>
      </w:r>
      <w:r>
        <w:t xml:space="preserve">[60]</w:t>
      </w:r>
      <w:r>
        <w:t xml:space="preserve">, the average emission factor of the Indian grid of 0.727 kg of carbon dioxide per kWh for 2023–24 </w:t>
      </w:r>
      <w:r>
        <w:t xml:space="preserve">[61]</w:t>
      </w:r>
      <w:r>
        <w:t xml:space="preserve"> and the design documents of the system. There is no earlier version of the system to serve as a baseline, so comparisons are made against the alternative a team would otherwise use, such as labeling every window.</w:t>
      </w:r>
    </w:p>
    <w:p>
      <w:pPr>
        <w:pStyle w:val="Heading3"/>
      </w:pPr>
      <w:r>
        <w:t xml:space="preserve">7.7.2 Material Sustainability Topics</w:t>
      </w:r>
    </w:p>
    <w:p>
      <w:pPr>
        <w:pStyle w:val="Normal"/>
      </w:pPr>
      <w:r>
        <w:t xml:space="preserve">Table </w:t>
      </w:r>
      <w:r>
        <w:t xml:space="preserve">7.8</w:t>
      </w:r>
      <w:r>
        <w:t xml:space="preserve"> lists the environmental, social and governance topics, their relevance to this project and the evidence for each.</w:t>
      </w:r>
    </w:p>
    <w:p>
      <w:pPr>
        <w:pStyle w:val="TableCaption"/>
      </w:pPr>
      <w:r>
        <w:rPr>
          <w:b/>
          <w:bCs/>
        </w:rPr>
        <w:t xml:space="preserve">Table 7.8: </w:t>
      </w:r>
      <w:r>
        <w:t xml:space="preserve">Material sustainability topics</w:t>
      </w:r>
    </w:p>
    <w:tbl>
      <w:tblPr>
        <w:tblW w:w="9259"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30" w:type="dxa"/>
          <w:left w:w="80" w:type="dxa"/>
          <w:bottom w:w="30" w:type="dxa"/>
          <w:right w:w="80" w:type="dxa"/>
        </w:tblCellMar>
        <w:tblLook w:val="0000"/>
      </w:tblPr>
      <w:tblGrid>
        <w:gridCol w:w="1646"/>
        <w:gridCol w:w="2572"/>
        <w:gridCol w:w="1749"/>
        <w:gridCol w:w="1646"/>
        <w:gridCol w:w="1646"/>
      </w:tblGrid>
      <w:tr>
        <w:trPr>
          <w:cantSplit/>
          <w:tblHeader/>
        </w:trPr>
        <w:tc>
          <w:tcPr>
            <w:tcW w:w="1646" w:type="dxa"/>
            <w:shd w:val="clear" w:color="auto" w:fill="D9E2F3"/>
            <w:vAlign w:val="center"/>
          </w:tcPr>
          <w:p>
            <w:pPr>
              <w:pStyle w:val="TableText"/>
              <w:keepNext/>
              <w:jc w:val="center"/>
            </w:pPr>
            <w:r>
              <w:rPr>
                <w:sz w:val="17"/>
                <w:szCs w:val="17"/>
                <w:b/>
                <w:bCs/>
              </w:rPr>
              <w:t xml:space="preserve">Dimension / topic</w:t>
            </w:r>
          </w:p>
        </w:tc>
        <w:tc>
          <w:tcPr>
            <w:tcW w:w="2572" w:type="dxa"/>
            <w:shd w:val="clear" w:color="auto" w:fill="D9E2F3"/>
            <w:vAlign w:val="center"/>
          </w:tcPr>
          <w:p>
            <w:pPr>
              <w:pStyle w:val="TableText"/>
              <w:keepNext/>
              <w:jc w:val="center"/>
            </w:pPr>
            <w:r>
              <w:rPr>
                <w:sz w:val="17"/>
                <w:szCs w:val="17"/>
                <w:b/>
                <w:bCs/>
              </w:rPr>
              <w:t xml:space="preserve">Project relevance and potential impact</w:t>
            </w:r>
          </w:p>
        </w:tc>
        <w:tc>
          <w:tcPr>
            <w:tcW w:w="1749" w:type="dxa"/>
            <w:shd w:val="clear" w:color="auto" w:fill="D9E2F3"/>
            <w:vAlign w:val="center"/>
          </w:tcPr>
          <w:p>
            <w:pPr>
              <w:pStyle w:val="TableText"/>
              <w:keepNext/>
              <w:jc w:val="center"/>
            </w:pPr>
            <w:r>
              <w:rPr>
                <w:sz w:val="17"/>
                <w:szCs w:val="17"/>
                <w:b/>
                <w:bCs/>
              </w:rPr>
              <w:t xml:space="preserve">Indicator / unit</w:t>
            </w:r>
          </w:p>
        </w:tc>
        <w:tc>
          <w:tcPr>
            <w:tcW w:w="1646" w:type="dxa"/>
            <w:shd w:val="clear" w:color="auto" w:fill="D9E2F3"/>
            <w:vAlign w:val="center"/>
          </w:tcPr>
          <w:p>
            <w:pPr>
              <w:pStyle w:val="TableText"/>
              <w:keepNext/>
              <w:jc w:val="center"/>
            </w:pPr>
            <w:r>
              <w:rPr>
                <w:sz w:val="17"/>
                <w:szCs w:val="17"/>
                <w:b/>
                <w:bCs/>
              </w:rPr>
              <w:t xml:space="preserve">Evidence source</w:t>
            </w:r>
          </w:p>
        </w:tc>
        <w:tc>
          <w:tcPr>
            <w:tcW w:w="1646" w:type="dxa"/>
            <w:shd w:val="clear" w:color="auto" w:fill="D9E2F3"/>
            <w:vAlign w:val="center"/>
          </w:tcPr>
          <w:p>
            <w:pPr>
              <w:pStyle w:val="TableText"/>
              <w:keepNext/>
              <w:jc w:val="center"/>
            </w:pPr>
            <w:r>
              <w:rPr>
                <w:sz w:val="17"/>
                <w:szCs w:val="17"/>
                <w:b/>
                <w:bCs/>
              </w:rPr>
              <w:t xml:space="preserve">Boundary / limitation</w:t>
            </w:r>
          </w:p>
        </w:tc>
      </w:tr>
      <w:tr>
        <w:trPr>
          <w:cantSplit/>
        </w:trPr>
        <w:tc>
          <w:tcPr>
            <w:tcW w:w="1646" w:type="dxa"/>
            <w:vAlign w:val="center"/>
          </w:tcPr>
          <w:p>
            <w:pPr>
              <w:pStyle w:val="TableText"/>
              <w:keepNext/>
              <w:jc w:val="left"/>
            </w:pPr>
            <w:r>
              <w:rPr>
                <w:sz w:val="17"/>
                <w:szCs w:val="17"/>
              </w:rPr>
              <w:t xml:space="preserve">Environment: energy / compute</w:t>
            </w:r>
          </w:p>
        </w:tc>
        <w:tc>
          <w:tcPr>
            <w:tcW w:w="2572" w:type="dxa"/>
            <w:vAlign w:val="center"/>
          </w:tcPr>
          <w:p>
            <w:pPr>
              <w:pStyle w:val="TableText"/>
              <w:keepNext/>
              <w:jc w:val="left"/>
            </w:pPr>
            <w:r>
              <w:rPr>
                <w:sz w:val="17"/>
                <w:szCs w:val="17"/>
              </w:rPr>
              <w:t xml:space="preserve">Material: experiments and monitoring use electricity; the triage can avoid needless retraining</w:t>
            </w:r>
          </w:p>
        </w:tc>
        <w:tc>
          <w:tcPr>
            <w:tcW w:w="1749" w:type="dxa"/>
            <w:vAlign w:val="center"/>
          </w:tcPr>
          <w:p>
            <w:pPr>
              <w:pStyle w:val="TableText"/>
              <w:keepNext/>
              <w:jc w:val="left"/>
            </w:pPr>
            <w:r>
              <w:rPr>
                <w:sz w:val="17"/>
                <w:szCs w:val="17"/>
              </w:rPr>
              <w:t xml:space="preserve">kWh; seconds per window</w:t>
            </w:r>
          </w:p>
        </w:tc>
        <w:tc>
          <w:tcPr>
            <w:tcW w:w="1646" w:type="dxa"/>
            <w:vAlign w:val="center"/>
          </w:tcPr>
          <w:p>
            <w:pPr>
              <w:pStyle w:val="TableText"/>
              <w:keepNext/>
              <w:jc w:val="left"/>
            </w:pPr>
            <w:r>
              <w:rPr>
                <w:sz w:val="17"/>
                <w:szCs w:val="17"/>
              </w:rPr>
              <w:t xml:space="preserve">Stored run times; rated power</w:t>
            </w:r>
          </w:p>
        </w:tc>
        <w:tc>
          <w:tcPr>
            <w:tcW w:w="1646" w:type="dxa"/>
            <w:vAlign w:val="center"/>
          </w:tcPr>
          <w:p>
            <w:pPr>
              <w:pStyle w:val="TableText"/>
              <w:keepNext/>
              <w:jc w:val="left"/>
            </w:pPr>
            <w:r>
              <w:rPr>
                <w:sz w:val="17"/>
                <w:szCs w:val="17"/>
              </w:rPr>
              <w:t xml:space="preserve">Upper-bound estimate; not metered; development time excluded</w:t>
            </w:r>
          </w:p>
        </w:tc>
      </w:tr>
      <w:tr>
        <w:trPr>
          <w:cantSplit/>
        </w:trPr>
        <w:tc>
          <w:tcPr>
            <w:tcW w:w="1646" w:type="dxa"/>
            <w:vAlign w:val="center"/>
          </w:tcPr>
          <w:p>
            <w:pPr>
              <w:pStyle w:val="TableText"/>
              <w:keepNext/>
              <w:jc w:val="left"/>
            </w:pPr>
            <w:r>
              <w:rPr>
                <w:sz w:val="17"/>
                <w:szCs w:val="17"/>
              </w:rPr>
              <w:t xml:space="preserve">Environment: emissions / travel</w:t>
            </w:r>
          </w:p>
        </w:tc>
        <w:tc>
          <w:tcPr>
            <w:tcW w:w="2572" w:type="dxa"/>
            <w:vAlign w:val="center"/>
          </w:tcPr>
          <w:p>
            <w:pPr>
              <w:pStyle w:val="TableText"/>
              <w:keepNext/>
              <w:jc w:val="left"/>
            </w:pPr>
            <w:r>
              <w:rPr>
                <w:sz w:val="17"/>
                <w:szCs w:val="17"/>
              </w:rPr>
              <w:t xml:space="preserve">Material through electricity use; no travel was needed beyond normal college attendance</w:t>
            </w:r>
          </w:p>
        </w:tc>
        <w:tc>
          <w:tcPr>
            <w:tcW w:w="1749" w:type="dxa"/>
            <w:vAlign w:val="center"/>
          </w:tcPr>
          <w:p>
            <w:pPr>
              <w:pStyle w:val="TableText"/>
              <w:keepNext/>
              <w:jc w:val="left"/>
            </w:pPr>
            <w:r>
              <w:rPr>
                <w:sz w:val="17"/>
                <w:szCs w:val="17"/>
              </w:rPr>
              <w:t xml:space="preserve">kg CO₂</w:t>
            </w:r>
          </w:p>
        </w:tc>
        <w:tc>
          <w:tcPr>
            <w:tcW w:w="1646" w:type="dxa"/>
            <w:vAlign w:val="center"/>
          </w:tcPr>
          <w:p>
            <w:pPr>
              <w:pStyle w:val="TableText"/>
              <w:keepNext/>
              <w:jc w:val="left"/>
            </w:pPr>
            <w:r>
              <w:rPr>
                <w:sz w:val="17"/>
                <w:szCs w:val="17"/>
              </w:rPr>
              <w:t xml:space="preserve">Energy × grid factor</w:t>
            </w:r>
          </w:p>
        </w:tc>
        <w:tc>
          <w:tcPr>
            <w:tcW w:w="1646" w:type="dxa"/>
            <w:vAlign w:val="center"/>
          </w:tcPr>
          <w:p>
            <w:pPr>
              <w:pStyle w:val="TableText"/>
              <w:keepNext/>
              <w:jc w:val="left"/>
            </w:pPr>
            <w:r>
              <w:rPr>
                <w:sz w:val="17"/>
                <w:szCs w:val="17"/>
              </w:rPr>
              <w:t xml:space="preserve">Grid average, not marginal factor</w:t>
            </w:r>
          </w:p>
        </w:tc>
      </w:tr>
      <w:tr>
        <w:trPr>
          <w:cantSplit/>
        </w:trPr>
        <w:tc>
          <w:tcPr>
            <w:tcW w:w="1646" w:type="dxa"/>
            <w:vAlign w:val="center"/>
          </w:tcPr>
          <w:p>
            <w:pPr>
              <w:pStyle w:val="TableText"/>
              <w:jc w:val="left"/>
            </w:pPr>
            <w:r>
              <w:rPr>
                <w:sz w:val="17"/>
                <w:szCs w:val="17"/>
              </w:rPr>
              <w:t xml:space="preserve">Environment: materials / waste</w:t>
            </w:r>
          </w:p>
        </w:tc>
        <w:tc>
          <w:tcPr>
            <w:tcW w:w="2572" w:type="dxa"/>
            <w:vAlign w:val="center"/>
          </w:tcPr>
          <w:p>
            <w:pPr>
              <w:pStyle w:val="TableText"/>
              <w:jc w:val="left"/>
            </w:pPr>
            <w:r>
              <w:rPr>
                <w:sz w:val="17"/>
                <w:szCs w:val="17"/>
              </w:rPr>
              <w:t xml:space="preserve">Not material: no hardware was bought or discarded</w:t>
            </w:r>
          </w:p>
        </w:tc>
        <w:tc>
          <w:tcPr>
            <w:tcW w:w="1749" w:type="dxa"/>
            <w:vAlign w:val="center"/>
          </w:tcPr>
          <w:p>
            <w:pPr>
              <w:pStyle w:val="TableText"/>
              <w:jc w:val="left"/>
            </w:pPr>
            <w:r>
              <w:rPr>
                <w:sz w:val="17"/>
                <w:szCs w:val="17"/>
              </w:rPr>
              <w:t xml:space="preserve">–</w:t>
            </w:r>
          </w:p>
        </w:tc>
        <w:tc>
          <w:tcPr>
            <w:tcW w:w="1646" w:type="dxa"/>
            <w:vAlign w:val="center"/>
          </w:tcPr>
          <w:p>
            <w:pPr>
              <w:pStyle w:val="TableText"/>
              <w:jc w:val="left"/>
            </w:pPr>
            <w:r>
              <w:rPr>
                <w:sz w:val="17"/>
                <w:szCs w:val="17"/>
              </w:rPr>
              <w:t xml:space="preserve">Budget (Table </w:t>
            </w:r>
            <w:r>
              <w:rPr>
                <w:sz w:val="17"/>
                <w:szCs w:val="17"/>
              </w:rPr>
              <w:t xml:space="preserve">2.5</w:t>
            </w:r>
            <w:r>
              <w:rPr>
                <w:sz w:val="17"/>
                <w:szCs w:val="17"/>
              </w:rPr>
              <w:t xml:space="preserve">)</w:t>
            </w:r>
          </w:p>
        </w:tc>
        <w:tc>
          <w:tcPr>
            <w:tcW w:w="1646" w:type="dxa"/>
            <w:vAlign w:val="center"/>
          </w:tcPr>
          <w:p>
            <w:pPr>
              <w:pStyle w:val="TableText"/>
              <w:jc w:val="left"/>
            </w:pPr>
            <w:r>
              <w:rPr>
                <w:sz w:val="17"/>
                <w:szCs w:val="17"/>
              </w:rPr>
              <w:t xml:space="preserve">Existing workstation’s life cycle not assessed</w:t>
            </w:r>
          </w:p>
        </w:tc>
      </w:tr>
      <w:tr>
        <w:trPr>
          <w:cantSplit/>
        </w:trPr>
        <w:tc>
          <w:tcPr>
            <w:tcW w:w="1646" w:type="dxa"/>
            <w:vAlign w:val="center"/>
          </w:tcPr>
          <w:p>
            <w:pPr>
              <w:pStyle w:val="TableText"/>
              <w:jc w:val="left"/>
            </w:pPr>
            <w:r>
              <w:rPr>
                <w:sz w:val="17"/>
                <w:szCs w:val="17"/>
              </w:rPr>
              <w:t xml:space="preserve">Social: access / inclusion / usability</w:t>
            </w:r>
          </w:p>
        </w:tc>
        <w:tc>
          <w:tcPr>
            <w:tcW w:w="2572" w:type="dxa"/>
            <w:vAlign w:val="center"/>
          </w:tcPr>
          <w:p>
            <w:pPr>
              <w:pStyle w:val="TableText"/>
              <w:jc w:val="left"/>
            </w:pPr>
            <w:r>
              <w:rPr>
                <w:sz w:val="17"/>
                <w:szCs w:val="17"/>
              </w:rPr>
              <w:t xml:space="preserve">Monitoring teams of any size can run the system on ordinary hardware; dashboard explains each step in plain language</w:t>
            </w:r>
          </w:p>
        </w:tc>
        <w:tc>
          <w:tcPr>
            <w:tcW w:w="1749" w:type="dxa"/>
            <w:vAlign w:val="center"/>
          </w:tcPr>
          <w:p>
            <w:pPr>
              <w:pStyle w:val="TableText"/>
              <w:jc w:val="left"/>
            </w:pPr>
            <w:r>
              <w:rPr>
                <w:sz w:val="17"/>
                <w:szCs w:val="17"/>
              </w:rPr>
              <w:t xml:space="preserve">Steps with a question and a generated note</w:t>
            </w:r>
          </w:p>
        </w:tc>
        <w:tc>
          <w:tcPr>
            <w:tcW w:w="1646" w:type="dxa"/>
            <w:vAlign w:val="center"/>
          </w:tcPr>
          <w:p>
            <w:pPr>
              <w:pStyle w:val="TableText"/>
              <w:jc w:val="left"/>
            </w:pPr>
            <w:r>
              <w:rPr>
                <w:sz w:val="17"/>
                <w:szCs w:val="17"/>
              </w:rPr>
              <w:t xml:space="preserve">Dashboard (Section </w:t>
            </w:r>
            <w:r>
              <w:rPr>
                <w:sz w:val="17"/>
                <w:szCs w:val="17"/>
              </w:rPr>
              <w:t xml:space="preserve">7.1</w:t>
            </w:r>
            <w:r>
              <w:rPr>
                <w:sz w:val="17"/>
                <w:szCs w:val="17"/>
              </w:rPr>
              <w:t xml:space="preserve">)</w:t>
            </w:r>
          </w:p>
        </w:tc>
        <w:tc>
          <w:tcPr>
            <w:tcW w:w="1646" w:type="dxa"/>
            <w:vAlign w:val="center"/>
          </w:tcPr>
          <w:p>
            <w:pPr>
              <w:pStyle w:val="TableText"/>
              <w:jc w:val="left"/>
            </w:pPr>
            <w:r>
              <w:rPr>
                <w:sz w:val="17"/>
                <w:szCs w:val="17"/>
              </w:rPr>
              <w:t xml:space="preserve">No study with outside users</w:t>
            </w:r>
          </w:p>
        </w:tc>
      </w:tr>
      <w:tr>
        <w:trPr>
          <w:cantSplit/>
        </w:trPr>
        <w:tc>
          <w:tcPr>
            <w:tcW w:w="1646" w:type="dxa"/>
            <w:vAlign w:val="center"/>
          </w:tcPr>
          <w:p>
            <w:pPr>
              <w:pStyle w:val="TableText"/>
              <w:jc w:val="left"/>
            </w:pPr>
            <w:r>
              <w:rPr>
                <w:sz w:val="17"/>
                <w:szCs w:val="17"/>
              </w:rPr>
              <w:t xml:space="preserve">Social: safety / well-being / community</w:t>
            </w:r>
          </w:p>
        </w:tc>
        <w:tc>
          <w:tcPr>
            <w:tcW w:w="2572" w:type="dxa"/>
            <w:vAlign w:val="center"/>
          </w:tcPr>
          <w:p>
            <w:pPr>
              <w:pStyle w:val="TableText"/>
              <w:jc w:val="left"/>
            </w:pPr>
            <w:r>
              <w:rPr>
                <w:sz w:val="17"/>
                <w:szCs w:val="17"/>
              </w:rPr>
              <w:t xml:space="preserve">Catching a failing model early protects the people its decisions affect</w:t>
            </w:r>
          </w:p>
        </w:tc>
        <w:tc>
          <w:tcPr>
            <w:tcW w:w="1749" w:type="dxa"/>
            <w:vAlign w:val="center"/>
          </w:tcPr>
          <w:p>
            <w:pPr>
              <w:pStyle w:val="TableText"/>
              <w:jc w:val="left"/>
            </w:pPr>
            <w:r>
              <w:rPr>
                <w:sz w:val="17"/>
                <w:szCs w:val="17"/>
              </w:rPr>
              <w:t xml:space="preserve">False alarm rate; correct-type rate</w:t>
            </w:r>
          </w:p>
        </w:tc>
        <w:tc>
          <w:tcPr>
            <w:tcW w:w="1646" w:type="dxa"/>
            <w:vAlign w:val="center"/>
          </w:tcPr>
          <w:p>
            <w:pPr>
              <w:pStyle w:val="TableText"/>
              <w:jc w:val="left"/>
            </w:pPr>
            <w:r>
              <w:rPr>
                <w:sz w:val="17"/>
                <w:szCs w:val="17"/>
              </w:rPr>
              <w:t xml:space="preserve">Section </w:t>
            </w:r>
            <w:r>
              <w:rPr>
                <w:sz w:val="17"/>
                <w:szCs w:val="17"/>
              </w:rPr>
              <w:t xml:space="preserve">7.4</w:t>
            </w:r>
          </w:p>
        </w:tc>
        <w:tc>
          <w:tcPr>
            <w:tcW w:w="1646" w:type="dxa"/>
            <w:vAlign w:val="center"/>
          </w:tcPr>
          <w:p>
            <w:pPr>
              <w:pStyle w:val="TableText"/>
              <w:jc w:val="left"/>
            </w:pPr>
            <w:r>
              <w:rPr>
                <w:sz w:val="17"/>
                <w:szCs w:val="17"/>
              </w:rPr>
              <w:t xml:space="preserve">Indirect; no deployment</w:t>
            </w:r>
          </w:p>
        </w:tc>
      </w:tr>
      <w:tr>
        <w:trPr>
          <w:cantSplit/>
        </w:trPr>
        <w:tc>
          <w:tcPr>
            <w:tcW w:w="1646" w:type="dxa"/>
            <w:vAlign w:val="center"/>
          </w:tcPr>
          <w:p>
            <w:pPr>
              <w:pStyle w:val="TableText"/>
              <w:jc w:val="left"/>
            </w:pPr>
            <w:r>
              <w:rPr>
                <w:sz w:val="17"/>
                <w:szCs w:val="17"/>
              </w:rPr>
              <w:t xml:space="preserve">Governance: privacy / security / fairness</w:t>
            </w:r>
          </w:p>
        </w:tc>
        <w:tc>
          <w:tcPr>
            <w:tcW w:w="2572" w:type="dxa"/>
            <w:vAlign w:val="center"/>
          </w:tcPr>
          <w:p>
            <w:pPr>
              <w:pStyle w:val="TableText"/>
              <w:jc w:val="left"/>
            </w:pPr>
            <w:r>
              <w:rPr>
                <w:sz w:val="17"/>
                <w:szCs w:val="17"/>
              </w:rPr>
              <w:t xml:space="preserve">Public data only, local processing; census tasks include sensitive attributes</w:t>
            </w:r>
          </w:p>
        </w:tc>
        <w:tc>
          <w:tcPr>
            <w:tcW w:w="1749" w:type="dxa"/>
            <w:vAlign w:val="center"/>
          </w:tcPr>
          <w:p>
            <w:pPr>
              <w:pStyle w:val="TableText"/>
              <w:jc w:val="left"/>
            </w:pPr>
            <w:r>
              <w:rPr>
                <w:sz w:val="17"/>
                <w:szCs w:val="17"/>
              </w:rPr>
              <w:t xml:space="preserve">Personal records collected; data leaving the machine</w:t>
            </w:r>
          </w:p>
        </w:tc>
        <w:tc>
          <w:tcPr>
            <w:tcW w:w="1646" w:type="dxa"/>
            <w:vAlign w:val="center"/>
          </w:tcPr>
          <w:p>
            <w:pPr>
              <w:pStyle w:val="TableText"/>
              <w:jc w:val="left"/>
            </w:pPr>
            <w:r>
              <w:rPr>
                <w:sz w:val="17"/>
                <w:szCs w:val="17"/>
              </w:rPr>
              <w:t xml:space="preserve">Design; dataset licences</w:t>
            </w:r>
          </w:p>
        </w:tc>
        <w:tc>
          <w:tcPr>
            <w:tcW w:w="1646" w:type="dxa"/>
            <w:vAlign w:val="center"/>
          </w:tcPr>
          <w:p>
            <w:pPr>
              <w:pStyle w:val="TableText"/>
              <w:jc w:val="left"/>
            </w:pPr>
            <w:r>
              <w:rPr>
                <w:sz w:val="17"/>
                <w:szCs w:val="17"/>
              </w:rPr>
              <w:t xml:space="preserve">No fairness audit of the monitored models</w:t>
            </w:r>
          </w:p>
        </w:tc>
      </w:tr>
    </w:tbl>
    <w:p>
      <w:pPr>
        <w:spacing w:before="0" w:after="120" w:line="240" w:lineRule="auto"/>
      </w:pPr>
    </w:p>
    <w:p>
      <w:pPr>
        <w:pStyle w:val="Heading3"/>
      </w:pPr>
      <w:r>
        <w:t xml:space="preserve">7.7.3 Sustainability Targets and Progress</w:t>
      </w:r>
    </w:p>
    <w:p>
      <w:pPr>
        <w:pStyle w:val="Normal"/>
      </w:pPr>
      <w:r>
        <w:t xml:space="preserve">Table </w:t>
      </w:r>
      <w:r>
        <w:t xml:space="preserve">7.9</w:t>
      </w:r>
      <w:r>
        <w:t xml:space="preserve"> sets project-specific targets for the material topics. They were set for this assessment from the requirements of Chapter </w:t>
      </w:r>
      <w:r>
        <w:t xml:space="preserve">3</w:t>
      </w:r>
      <w:r>
        <w:t xml:space="preserve">; where no baseline exists, the alternative a team would otherwise use serves as the reference.</w:t>
      </w:r>
    </w:p>
    <w:p>
      <w:pPr>
        <w:pStyle w:val="TableCaption"/>
      </w:pPr>
      <w:r>
        <w:rPr>
          <w:b/>
          <w:bCs/>
        </w:rPr>
        <w:t xml:space="preserve">Table 7.9: </w:t>
      </w:r>
      <w:r>
        <w:t xml:space="preserve">Sustainability targets and progress</w:t>
      </w:r>
    </w:p>
    <w:tbl>
      <w:tblPr>
        <w:tblW w:w="925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30" w:type="dxa"/>
          <w:left w:w="80" w:type="dxa"/>
          <w:bottom w:w="30" w:type="dxa"/>
          <w:right w:w="80" w:type="dxa"/>
        </w:tblCellMar>
        <w:tblLook w:val="0000"/>
      </w:tblPr>
      <w:tblGrid>
        <w:gridCol w:w="2214"/>
        <w:gridCol w:w="2013"/>
        <w:gridCol w:w="1610"/>
        <w:gridCol w:w="1811"/>
        <w:gridCol w:w="1610"/>
      </w:tblGrid>
      <w:tr>
        <w:trPr>
          <w:cantSplit/>
          <w:tblHeader/>
        </w:trPr>
        <w:tc>
          <w:tcPr>
            <w:tcW w:w="2214" w:type="dxa"/>
            <w:shd w:val="clear" w:color="auto" w:fill="D9E2F3"/>
            <w:vAlign w:val="center"/>
          </w:tcPr>
          <w:p>
            <w:pPr>
              <w:pStyle w:val="TableText"/>
              <w:keepNext/>
              <w:jc w:val="center"/>
            </w:pPr>
            <w:r>
              <w:rPr>
                <w:sz w:val="18"/>
                <w:szCs w:val="18"/>
                <w:b/>
                <w:bCs/>
              </w:rPr>
              <w:t xml:space="preserve">Topic / target</w:t>
            </w:r>
          </w:p>
        </w:tc>
        <w:tc>
          <w:tcPr>
            <w:tcW w:w="2013" w:type="dxa"/>
            <w:shd w:val="clear" w:color="auto" w:fill="D9E2F3"/>
            <w:vAlign w:val="center"/>
          </w:tcPr>
          <w:p>
            <w:pPr>
              <w:pStyle w:val="TableText"/>
              <w:keepNext/>
              <w:jc w:val="center"/>
            </w:pPr>
            <w:r>
              <w:rPr>
                <w:sz w:val="18"/>
                <w:szCs w:val="18"/>
                <w:b/>
                <w:bCs/>
              </w:rPr>
              <w:t xml:space="preserve">Baseline and date</w:t>
            </w:r>
          </w:p>
        </w:tc>
        <w:tc>
          <w:tcPr>
            <w:tcW w:w="1610" w:type="dxa"/>
            <w:shd w:val="clear" w:color="auto" w:fill="D9E2F3"/>
            <w:vAlign w:val="center"/>
          </w:tcPr>
          <w:p>
            <w:pPr>
              <w:pStyle w:val="TableText"/>
              <w:keepNext/>
              <w:jc w:val="center"/>
            </w:pPr>
            <w:r>
              <w:rPr>
                <w:sz w:val="18"/>
                <w:szCs w:val="18"/>
                <w:b/>
                <w:bCs/>
              </w:rPr>
              <w:t xml:space="preserve">Target / due date</w:t>
            </w:r>
          </w:p>
        </w:tc>
        <w:tc>
          <w:tcPr>
            <w:tcW w:w="1811" w:type="dxa"/>
            <w:shd w:val="clear" w:color="auto" w:fill="D9E2F3"/>
            <w:vAlign w:val="center"/>
          </w:tcPr>
          <w:p>
            <w:pPr>
              <w:pStyle w:val="TableText"/>
              <w:keepNext/>
              <w:jc w:val="center"/>
            </w:pPr>
            <w:r>
              <w:rPr>
                <w:sz w:val="18"/>
                <w:szCs w:val="18"/>
                <w:b/>
                <w:bCs/>
              </w:rPr>
              <w:t xml:space="preserve">Actual result</w:t>
            </w:r>
          </w:p>
        </w:tc>
        <w:tc>
          <w:tcPr>
            <w:tcW w:w="1610" w:type="dxa"/>
            <w:shd w:val="clear" w:color="auto" w:fill="D9E2F3"/>
            <w:vAlign w:val="center"/>
          </w:tcPr>
          <w:p>
            <w:pPr>
              <w:pStyle w:val="TableText"/>
              <w:keepNext/>
              <w:jc w:val="center"/>
            </w:pPr>
            <w:r>
              <w:rPr>
                <w:sz w:val="18"/>
                <w:szCs w:val="18"/>
                <w:b/>
                <w:bCs/>
              </w:rPr>
              <w:t xml:space="preserve">Status / corrective action</w:t>
            </w:r>
          </w:p>
        </w:tc>
      </w:tr>
      <w:tr>
        <w:trPr>
          <w:cantSplit/>
        </w:trPr>
        <w:tc>
          <w:tcPr>
            <w:tcW w:w="2214" w:type="dxa"/>
            <w:vAlign w:val="center"/>
          </w:tcPr>
          <w:p>
            <w:pPr>
              <w:pStyle w:val="TableText"/>
              <w:keepNext/>
              <w:jc w:val="left"/>
            </w:pPr>
            <w:r>
              <w:rPr>
                <w:sz w:val="18"/>
                <w:szCs w:val="18"/>
              </w:rPr>
              <w:t xml:space="preserve">Labels needed per window</w:t>
            </w:r>
          </w:p>
        </w:tc>
        <w:tc>
          <w:tcPr>
            <w:tcW w:w="2013" w:type="dxa"/>
            <w:vAlign w:val="center"/>
          </w:tcPr>
          <w:p>
            <w:pPr>
              <w:pStyle w:val="TableText"/>
              <w:keepNext/>
              <w:jc w:val="left"/>
            </w:pPr>
            <w:r>
              <w:rPr>
                <w:sz w:val="18"/>
                <w:szCs w:val="18"/>
              </w:rPr>
              <w:t xml:space="preserve">Label the whole window: 4,000 rows (benchmark)</w:t>
            </w:r>
          </w:p>
        </w:tc>
        <w:tc>
          <w:tcPr>
            <w:tcW w:w="1610" w:type="dxa"/>
            <w:vAlign w:val="center"/>
          </w:tcPr>
          <w:p>
            <w:pPr>
              <w:pStyle w:val="TableText"/>
              <w:keepNext/>
              <w:jc w:val="left"/>
            </w:pPr>
            <w:r>
              <w:rPr>
                <w:sz w:val="18"/>
                <w:szCs w:val="18"/>
              </w:rPr>
              <w:t xml:space="preserve">At most 600, by October 2026</w:t>
            </w:r>
          </w:p>
        </w:tc>
        <w:tc>
          <w:tcPr>
            <w:tcW w:w="1811" w:type="dxa"/>
            <w:vAlign w:val="center"/>
          </w:tcPr>
          <w:p>
            <w:pPr>
              <w:pStyle w:val="TableText"/>
              <w:keepNext/>
              <w:jc w:val="left"/>
            </w:pPr>
            <w:r>
              <w:rPr>
                <w:sz w:val="18"/>
                <w:szCs w:val="18"/>
              </w:rPr>
              <w:t xml:space="preserve">600 audit labels, only when no label-free test rejects</w:t>
            </w:r>
          </w:p>
        </w:tc>
        <w:tc>
          <w:tcPr>
            <w:tcW w:w="1610" w:type="dxa"/>
            <w:vAlign w:val="center"/>
          </w:tcPr>
          <w:p>
            <w:pPr>
              <w:pStyle w:val="TableText"/>
              <w:keepNext/>
              <w:jc w:val="left"/>
            </w:pPr>
            <w:r>
              <w:rPr>
                <w:sz w:val="18"/>
                <w:szCs w:val="18"/>
              </w:rPr>
              <w:t xml:space="preserve">Met</w:t>
            </w:r>
          </w:p>
        </w:tc>
      </w:tr>
      <w:tr>
        <w:trPr>
          <w:cantSplit/>
        </w:trPr>
        <w:tc>
          <w:tcPr>
            <w:tcW w:w="2214" w:type="dxa"/>
            <w:vAlign w:val="center"/>
          </w:tcPr>
          <w:p>
            <w:pPr>
              <w:pStyle w:val="TableText"/>
              <w:keepNext/>
              <w:jc w:val="left"/>
            </w:pPr>
            <w:r>
              <w:rPr>
                <w:sz w:val="18"/>
                <w:szCs w:val="18"/>
              </w:rPr>
              <w:t xml:space="preserve">Retrain only when it helps</w:t>
            </w:r>
          </w:p>
        </w:tc>
        <w:tc>
          <w:tcPr>
            <w:tcW w:w="2013" w:type="dxa"/>
            <w:vAlign w:val="center"/>
          </w:tcPr>
          <w:p>
            <w:pPr>
              <w:pStyle w:val="TableText"/>
              <w:keepNext/>
              <w:jc w:val="left"/>
            </w:pPr>
            <w:r>
              <w:rPr>
                <w:sz w:val="18"/>
                <w:szCs w:val="18"/>
              </w:rPr>
              <w:t xml:space="preserve">Retrain on every alarm</w:t>
            </w:r>
          </w:p>
        </w:tc>
        <w:tc>
          <w:tcPr>
            <w:tcW w:w="1610" w:type="dxa"/>
            <w:vAlign w:val="center"/>
          </w:tcPr>
          <w:p>
            <w:pPr>
              <w:pStyle w:val="TableText"/>
              <w:keepNext/>
              <w:jc w:val="left"/>
            </w:pPr>
            <w:r>
              <w:rPr>
                <w:sz w:val="18"/>
                <w:szCs w:val="18"/>
              </w:rPr>
              <w:t xml:space="preserve">Triage right in most settings, by October 2026</w:t>
            </w:r>
          </w:p>
        </w:tc>
        <w:tc>
          <w:tcPr>
            <w:tcW w:w="1811" w:type="dxa"/>
            <w:vAlign w:val="center"/>
          </w:tcPr>
          <w:p>
            <w:pPr>
              <w:pStyle w:val="TableText"/>
              <w:keepNext/>
              <w:jc w:val="left"/>
            </w:pPr>
            <w:r>
              <w:rPr>
                <w:sz w:val="18"/>
                <w:szCs w:val="18"/>
              </w:rPr>
              <w:t xml:space="preserve">Right in 77 of 82 real settings</w:t>
            </w:r>
          </w:p>
        </w:tc>
        <w:tc>
          <w:tcPr>
            <w:tcW w:w="1610" w:type="dxa"/>
            <w:vAlign w:val="center"/>
          </w:tcPr>
          <w:p>
            <w:pPr>
              <w:pStyle w:val="TableText"/>
              <w:keepNext/>
              <w:jc w:val="left"/>
            </w:pPr>
            <w:r>
              <w:rPr>
                <w:sz w:val="18"/>
                <w:szCs w:val="18"/>
              </w:rPr>
              <w:t xml:space="preserve">Met with real labels; low recall without them; future work</w:t>
            </w:r>
          </w:p>
        </w:tc>
      </w:tr>
      <w:tr>
        <w:trPr>
          <w:cantSplit/>
        </w:trPr>
        <w:tc>
          <w:tcPr>
            <w:tcW w:w="2214" w:type="dxa"/>
            <w:vAlign w:val="center"/>
          </w:tcPr>
          <w:p>
            <w:pPr>
              <w:pStyle w:val="TableText"/>
              <w:jc w:val="left"/>
            </w:pPr>
            <w:r>
              <w:rPr>
                <w:sz w:val="18"/>
                <w:szCs w:val="18"/>
              </w:rPr>
              <w:t xml:space="preserve">Compute per window</w:t>
            </w:r>
          </w:p>
        </w:tc>
        <w:tc>
          <w:tcPr>
            <w:tcW w:w="2013" w:type="dxa"/>
            <w:vAlign w:val="center"/>
          </w:tcPr>
          <w:p>
            <w:pPr>
              <w:pStyle w:val="TableText"/>
              <w:jc w:val="left"/>
            </w:pPr>
            <w:r>
              <w:rPr>
                <w:sz w:val="18"/>
                <w:szCs w:val="18"/>
              </w:rPr>
              <w:t xml:space="preserve">None</w:t>
            </w:r>
          </w:p>
        </w:tc>
        <w:tc>
          <w:tcPr>
            <w:tcW w:w="1610" w:type="dxa"/>
            <w:vAlign w:val="center"/>
          </w:tcPr>
          <w:p>
            <w:pPr>
              <w:pStyle w:val="TableText"/>
              <w:jc w:val="left"/>
            </w:pPr>
            <w:r>
              <w:rPr>
                <w:sz w:val="18"/>
                <w:szCs w:val="18"/>
              </w:rPr>
              <w:t xml:space="preserve">Within a daily cycle on one workstation</w:t>
            </w:r>
          </w:p>
        </w:tc>
        <w:tc>
          <w:tcPr>
            <w:tcW w:w="1811" w:type="dxa"/>
            <w:vAlign w:val="center"/>
          </w:tcPr>
          <w:p>
            <w:pPr>
              <w:pStyle w:val="TableText"/>
              <w:jc w:val="left"/>
            </w:pPr>
            <w:r>
              <w:rPr>
                <w:sz w:val="18"/>
                <w:szCs w:val="18"/>
              </w:rPr>
              <w:t xml:space="preserve">At most 90 s per window</w:t>
            </w:r>
          </w:p>
        </w:tc>
        <w:tc>
          <w:tcPr>
            <w:tcW w:w="1610" w:type="dxa"/>
            <w:vAlign w:val="center"/>
          </w:tcPr>
          <w:p>
            <w:pPr>
              <w:pStyle w:val="TableText"/>
              <w:jc w:val="left"/>
            </w:pPr>
            <w:r>
              <w:rPr>
                <w:sz w:val="18"/>
                <w:szCs w:val="18"/>
              </w:rPr>
              <w:t xml:space="preserve">Met</w:t>
            </w:r>
          </w:p>
        </w:tc>
      </w:tr>
      <w:tr>
        <w:trPr>
          <w:cantSplit/>
        </w:trPr>
        <w:tc>
          <w:tcPr>
            <w:tcW w:w="2214" w:type="dxa"/>
            <w:vAlign w:val="center"/>
          </w:tcPr>
          <w:p>
            <w:pPr>
              <w:pStyle w:val="TableText"/>
              <w:jc w:val="left"/>
            </w:pPr>
            <w:r>
              <w:rPr>
                <w:sz w:val="18"/>
                <w:szCs w:val="18"/>
              </w:rPr>
              <w:t xml:space="preserve">Energy of all experiments</w:t>
            </w:r>
          </w:p>
        </w:tc>
        <w:tc>
          <w:tcPr>
            <w:tcW w:w="2013" w:type="dxa"/>
            <w:vAlign w:val="center"/>
          </w:tcPr>
          <w:p>
            <w:pPr>
              <w:pStyle w:val="TableText"/>
              <w:jc w:val="left"/>
            </w:pPr>
            <w:r>
              <w:rPr>
                <w:sz w:val="18"/>
                <w:szCs w:val="18"/>
              </w:rPr>
              <w:t xml:space="preserve">None</w:t>
            </w:r>
          </w:p>
        </w:tc>
        <w:tc>
          <w:tcPr>
            <w:tcW w:w="1610" w:type="dxa"/>
            <w:vAlign w:val="center"/>
          </w:tcPr>
          <w:p>
            <w:pPr>
              <w:pStyle w:val="TableText"/>
              <w:jc w:val="left"/>
            </w:pPr>
            <w:r>
              <w:rPr>
                <w:sz w:val="18"/>
                <w:szCs w:val="18"/>
              </w:rPr>
              <w:t xml:space="preserve">Below 5 kWh</w:t>
            </w:r>
          </w:p>
        </w:tc>
        <w:tc>
          <w:tcPr>
            <w:tcW w:w="1811" w:type="dxa"/>
            <w:vAlign w:val="center"/>
          </w:tcPr>
          <w:p>
            <w:pPr>
              <w:pStyle w:val="TableText"/>
              <w:jc w:val="left"/>
            </w:pPr>
            <w:r>
              <w:rPr>
                <w:sz w:val="18"/>
                <w:szCs w:val="18"/>
              </w:rPr>
              <w:t xml:space="preserve">About 0.43 kWh (upper bound)</w:t>
            </w:r>
          </w:p>
        </w:tc>
        <w:tc>
          <w:tcPr>
            <w:tcW w:w="1610" w:type="dxa"/>
            <w:vAlign w:val="center"/>
          </w:tcPr>
          <w:p>
            <w:pPr>
              <w:pStyle w:val="TableText"/>
              <w:jc w:val="left"/>
            </w:pPr>
            <w:r>
              <w:rPr>
                <w:sz w:val="18"/>
                <w:szCs w:val="18"/>
              </w:rPr>
              <w:t xml:space="preserve">Met; meter future runs</w:t>
            </w:r>
          </w:p>
        </w:tc>
      </w:tr>
      <w:tr>
        <w:trPr>
          <w:cantSplit/>
        </w:trPr>
        <w:tc>
          <w:tcPr>
            <w:tcW w:w="2214" w:type="dxa"/>
            <w:vAlign w:val="center"/>
          </w:tcPr>
          <w:p>
            <w:pPr>
              <w:pStyle w:val="TableText"/>
              <w:jc w:val="left"/>
            </w:pPr>
            <w:r>
              <w:rPr>
                <w:sz w:val="18"/>
                <w:szCs w:val="18"/>
              </w:rPr>
              <w:t xml:space="preserve">Personal data collected</w:t>
            </w:r>
          </w:p>
        </w:tc>
        <w:tc>
          <w:tcPr>
            <w:tcW w:w="2013" w:type="dxa"/>
            <w:vAlign w:val="center"/>
          </w:tcPr>
          <w:p>
            <w:pPr>
              <w:pStyle w:val="TableText"/>
              <w:jc w:val="left"/>
            </w:pPr>
            <w:r>
              <w:rPr>
                <w:sz w:val="18"/>
                <w:szCs w:val="18"/>
              </w:rPr>
              <w:t xml:space="preserve">None</w:t>
            </w:r>
          </w:p>
        </w:tc>
        <w:tc>
          <w:tcPr>
            <w:tcW w:w="1610" w:type="dxa"/>
            <w:vAlign w:val="center"/>
          </w:tcPr>
          <w:p>
            <w:pPr>
              <w:pStyle w:val="TableText"/>
              <w:jc w:val="left"/>
            </w:pPr>
            <w:r>
              <w:rPr>
                <w:sz w:val="18"/>
                <w:szCs w:val="18"/>
              </w:rPr>
              <w:t xml:space="preserve">Zero records</w:t>
            </w:r>
          </w:p>
        </w:tc>
        <w:tc>
          <w:tcPr>
            <w:tcW w:w="1811" w:type="dxa"/>
            <w:vAlign w:val="center"/>
          </w:tcPr>
          <w:p>
            <w:pPr>
              <w:pStyle w:val="TableText"/>
              <w:jc w:val="left"/>
            </w:pPr>
            <w:r>
              <w:rPr>
                <w:sz w:val="18"/>
                <w:szCs w:val="18"/>
              </w:rPr>
              <w:t xml:space="preserve">Zero</w:t>
            </w:r>
          </w:p>
        </w:tc>
        <w:tc>
          <w:tcPr>
            <w:tcW w:w="1610" w:type="dxa"/>
            <w:vAlign w:val="center"/>
          </w:tcPr>
          <w:p>
            <w:pPr>
              <w:pStyle w:val="TableText"/>
              <w:jc w:val="left"/>
            </w:pPr>
            <w:r>
              <w:rPr>
                <w:sz w:val="18"/>
                <w:szCs w:val="18"/>
              </w:rPr>
              <w:t xml:space="preserve">Met</w:t>
            </w:r>
          </w:p>
        </w:tc>
      </w:tr>
      <w:tr>
        <w:trPr>
          <w:cantSplit/>
        </w:trPr>
        <w:tc>
          <w:tcPr>
            <w:tcW w:w="2214" w:type="dxa"/>
            <w:vAlign w:val="center"/>
          </w:tcPr>
          <w:p>
            <w:pPr>
              <w:pStyle w:val="TableText"/>
              <w:jc w:val="left"/>
            </w:pPr>
            <w:r>
              <w:rPr>
                <w:sz w:val="18"/>
                <w:szCs w:val="18"/>
              </w:rPr>
              <w:t xml:space="preserve">Plain-language explanation</w:t>
            </w:r>
          </w:p>
        </w:tc>
        <w:tc>
          <w:tcPr>
            <w:tcW w:w="2013" w:type="dxa"/>
            <w:vAlign w:val="center"/>
          </w:tcPr>
          <w:p>
            <w:pPr>
              <w:pStyle w:val="TableText"/>
              <w:jc w:val="left"/>
            </w:pPr>
            <w:r>
              <w:rPr>
                <w:sz w:val="18"/>
                <w:szCs w:val="18"/>
              </w:rPr>
              <w:t xml:space="preserve">None</w:t>
            </w:r>
          </w:p>
        </w:tc>
        <w:tc>
          <w:tcPr>
            <w:tcW w:w="1610" w:type="dxa"/>
            <w:vAlign w:val="center"/>
          </w:tcPr>
          <w:p>
            <w:pPr>
              <w:pStyle w:val="TableText"/>
              <w:jc w:val="left"/>
            </w:pPr>
            <w:r>
              <w:rPr>
                <w:sz w:val="18"/>
                <w:szCs w:val="18"/>
              </w:rPr>
              <w:t xml:space="preserve">Every dashboard step</w:t>
            </w:r>
          </w:p>
        </w:tc>
        <w:tc>
          <w:tcPr>
            <w:tcW w:w="1811" w:type="dxa"/>
            <w:vAlign w:val="center"/>
          </w:tcPr>
          <w:p>
            <w:pPr>
              <w:pStyle w:val="TableText"/>
              <w:jc w:val="left"/>
            </w:pPr>
            <w:r>
              <w:rPr>
                <w:sz w:val="18"/>
                <w:szCs w:val="18"/>
              </w:rPr>
              <w:t xml:space="preserve">Every step has a question and a generated note</w:t>
            </w:r>
          </w:p>
        </w:tc>
        <w:tc>
          <w:tcPr>
            <w:tcW w:w="1610" w:type="dxa"/>
            <w:vAlign w:val="center"/>
          </w:tcPr>
          <w:p>
            <w:pPr>
              <w:pStyle w:val="TableText"/>
              <w:jc w:val="left"/>
            </w:pPr>
            <w:r>
              <w:rPr>
                <w:sz w:val="18"/>
                <w:szCs w:val="18"/>
              </w:rPr>
              <w:t xml:space="preserve">Met; no accessibility audit yet</w:t>
            </w:r>
          </w:p>
        </w:tc>
      </w:tr>
    </w:tbl>
    <w:p>
      <w:pPr>
        <w:spacing w:before="0" w:after="120" w:line="240" w:lineRule="auto"/>
      </w:pPr>
    </w:p>
    <w:p>
      <w:pPr>
        <w:pStyle w:val="Heading3"/>
      </w:pPr>
      <w:r>
        <w:t xml:space="preserve">7.7.4 SDG Alignment and Evidence</w:t>
      </w:r>
    </w:p>
    <w:p>
      <w:pPr>
        <w:pStyle w:val="Normal"/>
      </w:pPr>
      <w:r>
        <w:t xml:space="preserve">The links of Section </w:t>
      </w:r>
      <w:r>
        <w:t xml:space="preserve">1.7</w:t>
      </w:r>
      <w:r>
        <w:t xml:space="preserve"> can now be graded. For SDG 9, target 9.5, the link is a tested output: the audit test and the error-controlled diagnosis were built and evaluated with the results above and then described in a research paper. For target 9.4 it is an expected contribution: the system keeps deployed models reliable in evaluation, but it has not yet been used in a real deployment. For SDG 12, target 12.2, the label economy is a tested output (600 labels instead of whole windows), while the computation saved by the triage is a design intent supported by its accuracy on real settings but not measured in a deployment. For target 12.6 the link is demonstrated by this section, which reports energy, emissions, privacy and inclusion with its method and limits. We do not claim any measurable effect on national or global progress towards these goals; the project is a small contribution to their targets.</w:t>
      </w:r>
    </w:p>
    <w:p>
      <w:pPr>
        <w:pStyle w:val="Heading3"/>
      </w:pPr>
      <w:r>
        <w:t xml:space="preserve">7.7.5 Sustainability Assessment Rubric</w:t>
      </w:r>
    </w:p>
    <w:p>
      <w:pPr>
        <w:pStyle w:val="Normal"/>
      </w:pPr>
      <w:r>
        <w:t xml:space="preserve">The department’s rubric rates six criteria from 0 to 3. Table </w:t>
      </w:r>
      <w:r>
        <w:t xml:space="preserve">7.10</w:t>
      </w:r>
      <w:r>
        <w:t xml:space="preserve"> reproduces it and Table </w:t>
      </w:r>
      <w:r>
        <w:t xml:space="preserve">7.11</w:t>
      </w:r>
      <w:r>
        <w:t xml:space="preserve"> gives our self-assessment, to be confirmed by the mentor and examiners.</w:t>
      </w:r>
    </w:p>
    <w:p>
      <w:pPr>
        <w:pStyle w:val="TableCaption"/>
      </w:pPr>
      <w:r>
        <w:rPr>
          <w:b/>
          <w:bCs/>
        </w:rPr>
        <w:t xml:space="preserve">Table 7.10: </w:t>
      </w:r>
      <w:r>
        <w:t xml:space="preserve">Sustainability assessment rubric of the department</w:t>
      </w:r>
    </w:p>
    <w:tbl>
      <w:tblPr>
        <w:tblW w:w="925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30" w:type="dxa"/>
          <w:left w:w="80" w:type="dxa"/>
          <w:bottom w:w="30" w:type="dxa"/>
          <w:right w:w="80" w:type="dxa"/>
        </w:tblCellMar>
        <w:tblLook w:val="0000"/>
      </w:tblPr>
      <w:tblGrid>
        <w:gridCol w:w="1558"/>
        <w:gridCol w:w="733"/>
        <w:gridCol w:w="1466"/>
        <w:gridCol w:w="1558"/>
        <w:gridCol w:w="1741"/>
        <w:gridCol w:w="2200"/>
      </w:tblGrid>
      <w:tr>
        <w:trPr>
          <w:cantSplit/>
          <w:tblHeader/>
        </w:trPr>
        <w:tc>
          <w:tcPr>
            <w:tcW w:w="1558" w:type="dxa"/>
            <w:shd w:val="clear" w:color="auto" w:fill="D9E2F3"/>
            <w:vAlign w:val="center"/>
          </w:tcPr>
          <w:p>
            <w:pPr>
              <w:pStyle w:val="TableText"/>
              <w:keepNext/>
              <w:jc w:val="center"/>
            </w:pPr>
            <w:r>
              <w:rPr>
                <w:sz w:val="16"/>
                <w:szCs w:val="16"/>
                <w:b/>
                <w:bCs/>
              </w:rPr>
              <w:t xml:space="preserve">Criterion</w:t>
            </w:r>
          </w:p>
        </w:tc>
        <w:tc>
          <w:tcPr>
            <w:tcW w:w="733" w:type="dxa"/>
            <w:shd w:val="clear" w:color="auto" w:fill="D9E2F3"/>
            <w:vAlign w:val="center"/>
          </w:tcPr>
          <w:p>
            <w:pPr>
              <w:pStyle w:val="TableText"/>
              <w:keepNext/>
              <w:jc w:val="center"/>
            </w:pPr>
            <w:r>
              <w:rPr>
                <w:sz w:val="16"/>
                <w:szCs w:val="16"/>
                <w:b/>
                <w:bCs/>
              </w:rPr>
              <w:t xml:space="preserve">Weight</w:t>
            </w:r>
          </w:p>
        </w:tc>
        <w:tc>
          <w:tcPr>
            <w:tcW w:w="1466" w:type="dxa"/>
            <w:shd w:val="clear" w:color="auto" w:fill="D9E2F3"/>
            <w:vAlign w:val="center"/>
          </w:tcPr>
          <w:p>
            <w:pPr>
              <w:pStyle w:val="TableText"/>
              <w:keepNext/>
              <w:jc w:val="center"/>
            </w:pPr>
            <w:r>
              <w:rPr>
                <w:sz w:val="16"/>
                <w:szCs w:val="16"/>
                <w:b/>
                <w:bCs/>
              </w:rPr>
              <w:t xml:space="preserve">0 – Not evidenced</w:t>
            </w:r>
          </w:p>
        </w:tc>
        <w:tc>
          <w:tcPr>
            <w:tcW w:w="1558" w:type="dxa"/>
            <w:shd w:val="clear" w:color="auto" w:fill="D9E2F3"/>
            <w:vAlign w:val="center"/>
          </w:tcPr>
          <w:p>
            <w:pPr>
              <w:pStyle w:val="TableText"/>
              <w:keepNext/>
              <w:jc w:val="center"/>
            </w:pPr>
            <w:r>
              <w:rPr>
                <w:sz w:val="16"/>
                <w:szCs w:val="16"/>
                <w:b/>
                <w:bCs/>
              </w:rPr>
              <w:t xml:space="preserve">1 – Initial</w:t>
            </w:r>
          </w:p>
        </w:tc>
        <w:tc>
          <w:tcPr>
            <w:tcW w:w="1741" w:type="dxa"/>
            <w:shd w:val="clear" w:color="auto" w:fill="D9E2F3"/>
            <w:vAlign w:val="center"/>
          </w:tcPr>
          <w:p>
            <w:pPr>
              <w:pStyle w:val="TableText"/>
              <w:keepNext/>
              <w:jc w:val="center"/>
            </w:pPr>
            <w:r>
              <w:rPr>
                <w:sz w:val="16"/>
                <w:szCs w:val="16"/>
                <w:b/>
                <w:bCs/>
              </w:rPr>
              <w:t xml:space="preserve">2 – Developing</w:t>
            </w:r>
          </w:p>
        </w:tc>
        <w:tc>
          <w:tcPr>
            <w:tcW w:w="2200" w:type="dxa"/>
            <w:shd w:val="clear" w:color="auto" w:fill="D9E2F3"/>
            <w:vAlign w:val="center"/>
          </w:tcPr>
          <w:p>
            <w:pPr>
              <w:pStyle w:val="TableText"/>
              <w:keepNext/>
              <w:jc w:val="center"/>
            </w:pPr>
            <w:r>
              <w:rPr>
                <w:sz w:val="16"/>
                <w:szCs w:val="16"/>
                <w:b/>
                <w:bCs/>
              </w:rPr>
              <w:t xml:space="preserve">3 – Strong</w:t>
            </w:r>
          </w:p>
        </w:tc>
      </w:tr>
      <w:tr>
        <w:trPr>
          <w:cantSplit/>
        </w:trPr>
        <w:tc>
          <w:tcPr>
            <w:tcW w:w="1558" w:type="dxa"/>
            <w:vAlign w:val="center"/>
          </w:tcPr>
          <w:p>
            <w:pPr>
              <w:pStyle w:val="TableText"/>
              <w:keepNext/>
              <w:jc w:val="left"/>
            </w:pPr>
            <w:r>
              <w:rPr>
                <w:sz w:val="16"/>
                <w:szCs w:val="16"/>
              </w:rPr>
              <w:t xml:space="preserve">A. Scope, materiality and baseline</w:t>
            </w:r>
          </w:p>
        </w:tc>
        <w:tc>
          <w:tcPr>
            <w:tcW w:w="733" w:type="dxa"/>
            <w:vAlign w:val="center"/>
          </w:tcPr>
          <w:p>
            <w:pPr>
              <w:pStyle w:val="TableText"/>
              <w:keepNext/>
              <w:jc w:val="left"/>
            </w:pPr>
            <w:r>
              <w:rPr>
                <w:sz w:val="16"/>
                <w:szCs w:val="16"/>
              </w:rPr>
              <w:t xml:space="preserve">15%</w:t>
            </w:r>
          </w:p>
        </w:tc>
        <w:tc>
          <w:tcPr>
            <w:tcW w:w="1466" w:type="dxa"/>
            <w:vAlign w:val="center"/>
          </w:tcPr>
          <w:p>
            <w:pPr>
              <w:pStyle w:val="TableText"/>
              <w:keepNext/>
              <w:jc w:val="left"/>
            </w:pPr>
            <w:r>
              <w:rPr>
                <w:sz w:val="16"/>
                <w:szCs w:val="16"/>
              </w:rPr>
              <w:t xml:space="preserve">No boundary or relevant topics identified</w:t>
            </w:r>
          </w:p>
        </w:tc>
        <w:tc>
          <w:tcPr>
            <w:tcW w:w="1558" w:type="dxa"/>
            <w:vAlign w:val="center"/>
          </w:tcPr>
          <w:p>
            <w:pPr>
              <w:pStyle w:val="TableText"/>
              <w:keepNext/>
              <w:jc w:val="left"/>
            </w:pPr>
            <w:r>
              <w:rPr>
                <w:sz w:val="16"/>
                <w:szCs w:val="16"/>
              </w:rPr>
              <w:t xml:space="preserve">Boundary/topics stated but vague; no baseline rationale</w:t>
            </w:r>
          </w:p>
        </w:tc>
        <w:tc>
          <w:tcPr>
            <w:tcW w:w="1741" w:type="dxa"/>
            <w:vAlign w:val="center"/>
          </w:tcPr>
          <w:p>
            <w:pPr>
              <w:pStyle w:val="TableText"/>
              <w:keepNext/>
              <w:jc w:val="left"/>
            </w:pPr>
            <w:r>
              <w:rPr>
                <w:sz w:val="16"/>
                <w:szCs w:val="16"/>
              </w:rPr>
              <w:t xml:space="preserve">Boundary and material topics explained; baseline partly defined</w:t>
            </w:r>
          </w:p>
        </w:tc>
        <w:tc>
          <w:tcPr>
            <w:tcW w:w="2200" w:type="dxa"/>
            <w:vAlign w:val="center"/>
          </w:tcPr>
          <w:p>
            <w:pPr>
              <w:pStyle w:val="TableText"/>
              <w:keepNext/>
              <w:jc w:val="left"/>
            </w:pPr>
            <w:r>
              <w:rPr>
                <w:sz w:val="16"/>
                <w:szCs w:val="16"/>
              </w:rPr>
              <w:t xml:space="preserve">Clear life-cycle boundary, justified material topics, reporting period and baseline/data gaps stated</w:t>
            </w:r>
          </w:p>
        </w:tc>
      </w:tr>
      <w:tr>
        <w:trPr>
          <w:cantSplit/>
        </w:trPr>
        <w:tc>
          <w:tcPr>
            <w:tcW w:w="1558" w:type="dxa"/>
            <w:vAlign w:val="center"/>
          </w:tcPr>
          <w:p>
            <w:pPr>
              <w:pStyle w:val="TableText"/>
              <w:keepNext/>
              <w:jc w:val="left"/>
            </w:pPr>
            <w:r>
              <w:rPr>
                <w:sz w:val="16"/>
                <w:szCs w:val="16"/>
              </w:rPr>
              <w:t xml:space="preserve">B. Environmental/resource impacts</w:t>
            </w:r>
          </w:p>
        </w:tc>
        <w:tc>
          <w:tcPr>
            <w:tcW w:w="733" w:type="dxa"/>
            <w:vAlign w:val="center"/>
          </w:tcPr>
          <w:p>
            <w:pPr>
              <w:pStyle w:val="TableText"/>
              <w:keepNext/>
              <w:jc w:val="left"/>
            </w:pPr>
            <w:r>
              <w:rPr>
                <w:sz w:val="16"/>
                <w:szCs w:val="16"/>
              </w:rPr>
              <w:t xml:space="preserve">20%</w:t>
            </w:r>
          </w:p>
        </w:tc>
        <w:tc>
          <w:tcPr>
            <w:tcW w:w="1466" w:type="dxa"/>
            <w:vAlign w:val="center"/>
          </w:tcPr>
          <w:p>
            <w:pPr>
              <w:pStyle w:val="TableText"/>
              <w:keepNext/>
              <w:jc w:val="left"/>
            </w:pPr>
            <w:r>
              <w:rPr>
                <w:sz w:val="16"/>
                <w:szCs w:val="16"/>
              </w:rPr>
              <w:t xml:space="preserve">No relevant impact considered</w:t>
            </w:r>
          </w:p>
        </w:tc>
        <w:tc>
          <w:tcPr>
            <w:tcW w:w="1558" w:type="dxa"/>
            <w:vAlign w:val="center"/>
          </w:tcPr>
          <w:p>
            <w:pPr>
              <w:pStyle w:val="TableText"/>
              <w:keepNext/>
              <w:jc w:val="left"/>
            </w:pPr>
            <w:r>
              <w:rPr>
                <w:sz w:val="16"/>
                <w:szCs w:val="16"/>
              </w:rPr>
              <w:t xml:space="preserve">Mentions impacts without method or evidence</w:t>
            </w:r>
          </w:p>
        </w:tc>
        <w:tc>
          <w:tcPr>
            <w:tcW w:w="1741" w:type="dxa"/>
            <w:vAlign w:val="center"/>
          </w:tcPr>
          <w:p>
            <w:pPr>
              <w:pStyle w:val="TableText"/>
              <w:keepNext/>
              <w:jc w:val="left"/>
            </w:pPr>
            <w:r>
              <w:rPr>
                <w:sz w:val="16"/>
                <w:szCs w:val="16"/>
              </w:rPr>
              <w:t xml:space="preserve">Uses relevant indicator(s) with method and some evidence</w:t>
            </w:r>
          </w:p>
        </w:tc>
        <w:tc>
          <w:tcPr>
            <w:tcW w:w="2200" w:type="dxa"/>
            <w:vAlign w:val="center"/>
          </w:tcPr>
          <w:p>
            <w:pPr>
              <w:pStyle w:val="TableText"/>
              <w:keepNext/>
              <w:jc w:val="left"/>
            </w:pPr>
            <w:r>
              <w:rPr>
                <w:sz w:val="16"/>
                <w:szCs w:val="16"/>
              </w:rPr>
              <w:t xml:space="preserve">Quantifies/estimates relevant energy, emissions, materials/waste or explains N/A with sound rationale; method and limits disclosed</w:t>
            </w:r>
          </w:p>
        </w:tc>
      </w:tr>
      <w:tr>
        <w:trPr>
          <w:cantSplit/>
        </w:trPr>
        <w:tc>
          <w:tcPr>
            <w:tcW w:w="1558" w:type="dxa"/>
            <w:vAlign w:val="center"/>
          </w:tcPr>
          <w:p>
            <w:pPr>
              <w:pStyle w:val="TableText"/>
              <w:jc w:val="left"/>
            </w:pPr>
            <w:r>
              <w:rPr>
                <w:sz w:val="16"/>
                <w:szCs w:val="16"/>
              </w:rPr>
              <w:t xml:space="preserve">C. Social value, inclusion and safety</w:t>
            </w:r>
          </w:p>
        </w:tc>
        <w:tc>
          <w:tcPr>
            <w:tcW w:w="733" w:type="dxa"/>
            <w:vAlign w:val="center"/>
          </w:tcPr>
          <w:p>
            <w:pPr>
              <w:pStyle w:val="TableText"/>
              <w:jc w:val="left"/>
            </w:pPr>
            <w:r>
              <w:rPr>
                <w:sz w:val="16"/>
                <w:szCs w:val="16"/>
              </w:rPr>
              <w:t xml:space="preserve">20%</w:t>
            </w:r>
          </w:p>
        </w:tc>
        <w:tc>
          <w:tcPr>
            <w:tcW w:w="1466" w:type="dxa"/>
            <w:vAlign w:val="center"/>
          </w:tcPr>
          <w:p>
            <w:pPr>
              <w:pStyle w:val="TableText"/>
              <w:jc w:val="left"/>
            </w:pPr>
            <w:r>
              <w:rPr>
                <w:sz w:val="16"/>
                <w:szCs w:val="16"/>
              </w:rPr>
              <w:t xml:space="preserve">No social effects considered</w:t>
            </w:r>
          </w:p>
        </w:tc>
        <w:tc>
          <w:tcPr>
            <w:tcW w:w="1558" w:type="dxa"/>
            <w:vAlign w:val="center"/>
          </w:tcPr>
          <w:p>
            <w:pPr>
              <w:pStyle w:val="TableText"/>
              <w:jc w:val="left"/>
            </w:pPr>
            <w:r>
              <w:rPr>
                <w:sz w:val="16"/>
                <w:szCs w:val="16"/>
              </w:rPr>
              <w:t xml:space="preserve">Benefits asserted without stakeholder evidence</w:t>
            </w:r>
          </w:p>
        </w:tc>
        <w:tc>
          <w:tcPr>
            <w:tcW w:w="1741" w:type="dxa"/>
            <w:vAlign w:val="center"/>
          </w:tcPr>
          <w:p>
            <w:pPr>
              <w:pStyle w:val="TableText"/>
              <w:jc w:val="left"/>
            </w:pPr>
            <w:r>
              <w:rPr>
                <w:sz w:val="16"/>
                <w:szCs w:val="16"/>
              </w:rPr>
              <w:t xml:space="preserve">Stakeholders and relevant usability/accessibility/safety measures identified</w:t>
            </w:r>
          </w:p>
        </w:tc>
        <w:tc>
          <w:tcPr>
            <w:tcW w:w="2200" w:type="dxa"/>
            <w:vAlign w:val="center"/>
          </w:tcPr>
          <w:p>
            <w:pPr>
              <w:pStyle w:val="TableText"/>
              <w:jc w:val="left"/>
            </w:pPr>
            <w:r>
              <w:rPr>
                <w:sz w:val="16"/>
                <w:szCs w:val="16"/>
              </w:rPr>
              <w:t xml:space="preserve">Impact on affected users assessed with suitable tests/feedback; inclusion, safety and limitations documented</w:t>
            </w:r>
          </w:p>
        </w:tc>
      </w:tr>
      <w:tr>
        <w:trPr>
          <w:cantSplit/>
        </w:trPr>
        <w:tc>
          <w:tcPr>
            <w:tcW w:w="1558" w:type="dxa"/>
            <w:vAlign w:val="center"/>
          </w:tcPr>
          <w:p>
            <w:pPr>
              <w:pStyle w:val="TableText"/>
              <w:jc w:val="left"/>
            </w:pPr>
            <w:r>
              <w:rPr>
                <w:sz w:val="16"/>
                <w:szCs w:val="16"/>
              </w:rPr>
              <w:t xml:space="preserve">D. Governance, privacy, security and ethics</w:t>
            </w:r>
          </w:p>
        </w:tc>
        <w:tc>
          <w:tcPr>
            <w:tcW w:w="733" w:type="dxa"/>
            <w:vAlign w:val="center"/>
          </w:tcPr>
          <w:p>
            <w:pPr>
              <w:pStyle w:val="TableText"/>
              <w:jc w:val="left"/>
            </w:pPr>
            <w:r>
              <w:rPr>
                <w:sz w:val="16"/>
                <w:szCs w:val="16"/>
              </w:rPr>
              <w:t xml:space="preserve">20%</w:t>
            </w:r>
          </w:p>
        </w:tc>
        <w:tc>
          <w:tcPr>
            <w:tcW w:w="1466" w:type="dxa"/>
            <w:vAlign w:val="center"/>
          </w:tcPr>
          <w:p>
            <w:pPr>
              <w:pStyle w:val="TableText"/>
              <w:jc w:val="left"/>
            </w:pPr>
            <w:r>
              <w:rPr>
                <w:sz w:val="16"/>
                <w:szCs w:val="16"/>
              </w:rPr>
              <w:t xml:space="preserve">Risks not considered</w:t>
            </w:r>
          </w:p>
        </w:tc>
        <w:tc>
          <w:tcPr>
            <w:tcW w:w="1558" w:type="dxa"/>
            <w:vAlign w:val="center"/>
          </w:tcPr>
          <w:p>
            <w:pPr>
              <w:pStyle w:val="TableText"/>
              <w:jc w:val="left"/>
            </w:pPr>
            <w:r>
              <w:rPr>
                <w:sz w:val="16"/>
                <w:szCs w:val="16"/>
              </w:rPr>
              <w:t xml:space="preserve">Generic statements only</w:t>
            </w:r>
          </w:p>
        </w:tc>
        <w:tc>
          <w:tcPr>
            <w:tcW w:w="1741" w:type="dxa"/>
            <w:vAlign w:val="center"/>
          </w:tcPr>
          <w:p>
            <w:pPr>
              <w:pStyle w:val="TableText"/>
              <w:jc w:val="left"/>
            </w:pPr>
            <w:r>
              <w:rPr>
                <w:sz w:val="16"/>
                <w:szCs w:val="16"/>
              </w:rPr>
              <w:t xml:space="preserve">Relevant risks and controls documented; some verification</w:t>
            </w:r>
          </w:p>
        </w:tc>
        <w:tc>
          <w:tcPr>
            <w:tcW w:w="2200" w:type="dxa"/>
            <w:vAlign w:val="center"/>
          </w:tcPr>
          <w:p>
            <w:pPr>
              <w:pStyle w:val="TableText"/>
              <w:jc w:val="left"/>
            </w:pPr>
            <w:r>
              <w:rPr>
                <w:sz w:val="16"/>
                <w:szCs w:val="16"/>
              </w:rPr>
              <w:t xml:space="preserve">Data handling, consent/licensing, security, fairness/accountability controls and test evidence clearly documented</w:t>
            </w:r>
          </w:p>
        </w:tc>
      </w:tr>
      <w:tr>
        <w:trPr>
          <w:cantSplit/>
        </w:trPr>
        <w:tc>
          <w:tcPr>
            <w:tcW w:w="1558" w:type="dxa"/>
            <w:vAlign w:val="center"/>
          </w:tcPr>
          <w:p>
            <w:pPr>
              <w:pStyle w:val="TableText"/>
              <w:jc w:val="left"/>
            </w:pPr>
            <w:r>
              <w:rPr>
                <w:sz w:val="16"/>
                <w:szCs w:val="16"/>
              </w:rPr>
              <w:t xml:space="preserve">E. SDG linkage and measurable targets</w:t>
            </w:r>
          </w:p>
        </w:tc>
        <w:tc>
          <w:tcPr>
            <w:tcW w:w="733" w:type="dxa"/>
            <w:vAlign w:val="center"/>
          </w:tcPr>
          <w:p>
            <w:pPr>
              <w:pStyle w:val="TableText"/>
              <w:jc w:val="left"/>
            </w:pPr>
            <w:r>
              <w:rPr>
                <w:sz w:val="16"/>
                <w:szCs w:val="16"/>
              </w:rPr>
              <w:t xml:space="preserve">10%</w:t>
            </w:r>
          </w:p>
        </w:tc>
        <w:tc>
          <w:tcPr>
            <w:tcW w:w="1466" w:type="dxa"/>
            <w:vAlign w:val="center"/>
          </w:tcPr>
          <w:p>
            <w:pPr>
              <w:pStyle w:val="TableText"/>
              <w:jc w:val="left"/>
            </w:pPr>
            <w:r>
              <w:rPr>
                <w:sz w:val="16"/>
                <w:szCs w:val="16"/>
              </w:rPr>
              <w:t xml:space="preserve">No SDG/target linkage</w:t>
            </w:r>
          </w:p>
        </w:tc>
        <w:tc>
          <w:tcPr>
            <w:tcW w:w="1558" w:type="dxa"/>
            <w:vAlign w:val="center"/>
          </w:tcPr>
          <w:p>
            <w:pPr>
              <w:pStyle w:val="TableText"/>
              <w:jc w:val="left"/>
            </w:pPr>
            <w:r>
              <w:rPr>
                <w:sz w:val="16"/>
                <w:szCs w:val="16"/>
              </w:rPr>
              <w:t xml:space="preserve">SDGs listed without causal explanation</w:t>
            </w:r>
          </w:p>
        </w:tc>
        <w:tc>
          <w:tcPr>
            <w:tcW w:w="1741" w:type="dxa"/>
            <w:vAlign w:val="center"/>
          </w:tcPr>
          <w:p>
            <w:pPr>
              <w:pStyle w:val="TableText"/>
              <w:jc w:val="left"/>
            </w:pPr>
            <w:r>
              <w:rPr>
                <w:sz w:val="16"/>
                <w:szCs w:val="16"/>
              </w:rPr>
              <w:t xml:space="preserve">Relevant SDG target and plausible indicator linked to project</w:t>
            </w:r>
          </w:p>
        </w:tc>
        <w:tc>
          <w:tcPr>
            <w:tcW w:w="2200" w:type="dxa"/>
            <w:vAlign w:val="center"/>
          </w:tcPr>
          <w:p>
            <w:pPr>
              <w:pStyle w:val="TableText"/>
              <w:jc w:val="left"/>
            </w:pPr>
            <w:r>
              <w:rPr>
                <w:sz w:val="16"/>
                <w:szCs w:val="16"/>
              </w:rPr>
              <w:t xml:space="preserve">Target-level mapping, baseline/target/indicator and supporting evidence; expected vs demonstrated impact distinguished</w:t>
            </w:r>
          </w:p>
        </w:tc>
      </w:tr>
      <w:tr>
        <w:trPr>
          <w:cantSplit/>
        </w:trPr>
        <w:tc>
          <w:tcPr>
            <w:tcW w:w="1558" w:type="dxa"/>
            <w:vAlign w:val="center"/>
          </w:tcPr>
          <w:p>
            <w:pPr>
              <w:pStyle w:val="TableText"/>
              <w:jc w:val="left"/>
            </w:pPr>
            <w:r>
              <w:rPr>
                <w:sz w:val="16"/>
                <w:szCs w:val="16"/>
              </w:rPr>
              <w:t xml:space="preserve">F. Measurement, transparency and improvement</w:t>
            </w:r>
          </w:p>
        </w:tc>
        <w:tc>
          <w:tcPr>
            <w:tcW w:w="733" w:type="dxa"/>
            <w:vAlign w:val="center"/>
          </w:tcPr>
          <w:p>
            <w:pPr>
              <w:pStyle w:val="TableText"/>
              <w:jc w:val="left"/>
            </w:pPr>
            <w:r>
              <w:rPr>
                <w:sz w:val="16"/>
                <w:szCs w:val="16"/>
              </w:rPr>
              <w:t xml:space="preserve">15%</w:t>
            </w:r>
          </w:p>
        </w:tc>
        <w:tc>
          <w:tcPr>
            <w:tcW w:w="1466" w:type="dxa"/>
            <w:vAlign w:val="center"/>
          </w:tcPr>
          <w:p>
            <w:pPr>
              <w:pStyle w:val="TableText"/>
              <w:jc w:val="left"/>
            </w:pPr>
            <w:r>
              <w:rPr>
                <w:sz w:val="16"/>
                <w:szCs w:val="16"/>
              </w:rPr>
              <w:t xml:space="preserve">No results or limitations</w:t>
            </w:r>
          </w:p>
        </w:tc>
        <w:tc>
          <w:tcPr>
            <w:tcW w:w="1558" w:type="dxa"/>
            <w:vAlign w:val="center"/>
          </w:tcPr>
          <w:p>
            <w:pPr>
              <w:pStyle w:val="TableText"/>
              <w:jc w:val="left"/>
            </w:pPr>
            <w:r>
              <w:rPr>
                <w:sz w:val="16"/>
                <w:szCs w:val="16"/>
              </w:rPr>
              <w:t xml:space="preserve">Anecdotal results; no method or limitations</w:t>
            </w:r>
          </w:p>
        </w:tc>
        <w:tc>
          <w:tcPr>
            <w:tcW w:w="1741" w:type="dxa"/>
            <w:vAlign w:val="center"/>
          </w:tcPr>
          <w:p>
            <w:pPr>
              <w:pStyle w:val="TableText"/>
              <w:jc w:val="left"/>
            </w:pPr>
            <w:r>
              <w:rPr>
                <w:sz w:val="16"/>
                <w:szCs w:val="16"/>
              </w:rPr>
              <w:t xml:space="preserve">Metrics/methods/results partly reproducible; limitations noted</w:t>
            </w:r>
          </w:p>
        </w:tc>
        <w:tc>
          <w:tcPr>
            <w:tcW w:w="2200" w:type="dxa"/>
            <w:vAlign w:val="center"/>
          </w:tcPr>
          <w:p>
            <w:pPr>
              <w:pStyle w:val="TableText"/>
              <w:jc w:val="left"/>
            </w:pPr>
            <w:r>
              <w:rPr>
                <w:sz w:val="16"/>
                <w:szCs w:val="16"/>
              </w:rPr>
              <w:t xml:space="preserve">Evidence traceable and repeatable; assumptions, uncertainty, gaps and corrective/future actions disclosed</w:t>
            </w:r>
          </w:p>
        </w:tc>
      </w:tr>
    </w:tbl>
    <w:p>
      <w:pPr>
        <w:spacing w:before="0" w:after="120" w:line="240" w:lineRule="auto"/>
      </w:pPr>
    </w:p>
    <w:p>
      <w:pPr>
        <w:pStyle w:val="TableCaption"/>
      </w:pPr>
      <w:r>
        <w:rPr>
          <w:b/>
          <w:bCs/>
        </w:rPr>
        <w:t xml:space="preserve">Table 7.11: </w:t>
      </w:r>
      <w:r>
        <w:t xml:space="preserve">Self-assessment against the rubric. Weighted points = (rating ÷ 3) × weight</w:t>
      </w:r>
    </w:p>
    <w:tbl>
      <w:tblPr>
        <w:tblW w:w="925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30" w:type="dxa"/>
          <w:left w:w="80" w:type="dxa"/>
          <w:bottom w:w="30" w:type="dxa"/>
          <w:right w:w="80" w:type="dxa"/>
        </w:tblCellMar>
        <w:tblLook w:val="0000"/>
      </w:tblPr>
      <w:tblGrid>
        <w:gridCol w:w="2389"/>
        <w:gridCol w:w="896"/>
        <w:gridCol w:w="896"/>
        <w:gridCol w:w="1095"/>
        <w:gridCol w:w="3982"/>
      </w:tblGrid>
      <w:tr>
        <w:trPr>
          <w:cantSplit/>
          <w:tblHeader/>
        </w:trPr>
        <w:tc>
          <w:tcPr>
            <w:tcW w:w="2389" w:type="dxa"/>
            <w:shd w:val="clear" w:color="auto" w:fill="D9E2F3"/>
            <w:vAlign w:val="center"/>
          </w:tcPr>
          <w:p>
            <w:pPr>
              <w:pStyle w:val="TableText"/>
              <w:keepNext/>
              <w:jc w:val="center"/>
            </w:pPr>
            <w:r>
              <w:rPr>
                <w:sz w:val="18"/>
                <w:szCs w:val="18"/>
                <w:b/>
                <w:bCs/>
              </w:rPr>
              <w:t xml:space="preserve">Criterion</w:t>
            </w:r>
          </w:p>
        </w:tc>
        <w:tc>
          <w:tcPr>
            <w:tcW w:w="896" w:type="dxa"/>
            <w:shd w:val="clear" w:color="auto" w:fill="D9E2F3"/>
            <w:vAlign w:val="center"/>
          </w:tcPr>
          <w:p>
            <w:pPr>
              <w:pStyle w:val="TableText"/>
              <w:keepNext/>
              <w:jc w:val="center"/>
            </w:pPr>
            <w:r>
              <w:rPr>
                <w:sz w:val="18"/>
                <w:szCs w:val="18"/>
                <w:b/>
                <w:bCs/>
              </w:rPr>
              <w:t xml:space="preserve">Weight</w:t>
            </w:r>
          </w:p>
        </w:tc>
        <w:tc>
          <w:tcPr>
            <w:tcW w:w="896" w:type="dxa"/>
            <w:shd w:val="clear" w:color="auto" w:fill="D9E2F3"/>
            <w:vAlign w:val="center"/>
          </w:tcPr>
          <w:p>
            <w:pPr>
              <w:pStyle w:val="TableText"/>
              <w:keepNext/>
              <w:jc w:val="center"/>
            </w:pPr>
            <w:r>
              <w:rPr>
                <w:sz w:val="18"/>
                <w:szCs w:val="18"/>
                <w:b/>
                <w:bCs/>
              </w:rPr>
              <w:t xml:space="preserve">Rating</w:t>
            </w:r>
          </w:p>
        </w:tc>
        <w:tc>
          <w:tcPr>
            <w:tcW w:w="1095" w:type="dxa"/>
            <w:shd w:val="clear" w:color="auto" w:fill="D9E2F3"/>
            <w:vAlign w:val="center"/>
          </w:tcPr>
          <w:p>
            <w:pPr>
              <w:pStyle w:val="TableText"/>
              <w:keepNext/>
              <w:jc w:val="center"/>
            </w:pPr>
            <w:r>
              <w:rPr>
                <w:sz w:val="18"/>
                <w:szCs w:val="18"/>
                <w:b/>
                <w:bCs/>
              </w:rPr>
              <w:t xml:space="preserve">Points</w:t>
            </w:r>
          </w:p>
        </w:tc>
        <w:tc>
          <w:tcPr>
            <w:tcW w:w="3982" w:type="dxa"/>
            <w:shd w:val="clear" w:color="auto" w:fill="D9E2F3"/>
            <w:vAlign w:val="center"/>
          </w:tcPr>
          <w:p>
            <w:pPr>
              <w:pStyle w:val="TableText"/>
              <w:keepNext/>
              <w:jc w:val="center"/>
            </w:pPr>
            <w:r>
              <w:rPr>
                <w:sz w:val="18"/>
                <w:szCs w:val="18"/>
                <w:b/>
                <w:bCs/>
              </w:rPr>
              <w:t xml:space="preserve">Basis</w:t>
            </w:r>
          </w:p>
        </w:tc>
      </w:tr>
      <w:tr>
        <w:trPr>
          <w:cantSplit/>
        </w:trPr>
        <w:tc>
          <w:tcPr>
            <w:tcW w:w="2389" w:type="dxa"/>
            <w:vAlign w:val="center"/>
          </w:tcPr>
          <w:p>
            <w:pPr>
              <w:pStyle w:val="TableText"/>
              <w:keepNext/>
              <w:jc w:val="left"/>
            </w:pPr>
            <w:r>
              <w:rPr>
                <w:sz w:val="18"/>
                <w:szCs w:val="18"/>
              </w:rPr>
              <w:t xml:space="preserve">A. Scope, materiality and baseline</w:t>
            </w:r>
          </w:p>
        </w:tc>
        <w:tc>
          <w:tcPr>
            <w:tcW w:w="896" w:type="dxa"/>
            <w:vAlign w:val="center"/>
          </w:tcPr>
          <w:p>
            <w:pPr>
              <w:pStyle w:val="TableText"/>
              <w:keepNext/>
              <w:jc w:val="left"/>
            </w:pPr>
            <w:r>
              <w:rPr>
                <w:sz w:val="18"/>
                <w:szCs w:val="18"/>
              </w:rPr>
              <w:t xml:space="preserve">15</w:t>
            </w:r>
          </w:p>
        </w:tc>
        <w:tc>
          <w:tcPr>
            <w:tcW w:w="896" w:type="dxa"/>
            <w:vAlign w:val="center"/>
          </w:tcPr>
          <w:p>
            <w:pPr>
              <w:pStyle w:val="TableText"/>
              <w:keepNext/>
              <w:jc w:val="left"/>
            </w:pPr>
            <w:r>
              <w:rPr>
                <w:sz w:val="18"/>
                <w:szCs w:val="18"/>
              </w:rPr>
              <w:t xml:space="preserve">2</w:t>
            </w:r>
          </w:p>
        </w:tc>
        <w:tc>
          <w:tcPr>
            <w:tcW w:w="1095" w:type="dxa"/>
            <w:vAlign w:val="center"/>
          </w:tcPr>
          <w:p>
            <w:pPr>
              <w:pStyle w:val="TableText"/>
              <w:keepNext/>
              <w:jc w:val="left"/>
            </w:pPr>
            <w:r>
              <w:rPr>
                <w:sz w:val="18"/>
                <w:szCs w:val="18"/>
              </w:rPr>
              <w:t xml:space="preserve">10.0</w:t>
            </w:r>
          </w:p>
        </w:tc>
        <w:tc>
          <w:tcPr>
            <w:tcW w:w="3982" w:type="dxa"/>
            <w:vAlign w:val="center"/>
          </w:tcPr>
          <w:p>
            <w:pPr>
              <w:pStyle w:val="TableText"/>
              <w:keepNext/>
              <w:jc w:val="left"/>
            </w:pPr>
            <w:r>
              <w:rPr>
                <w:sz w:val="18"/>
                <w:szCs w:val="18"/>
              </w:rPr>
              <w:t xml:space="preserve">Boundary, period and material topics stated; no measured baseline, only the alternative practice</w:t>
            </w:r>
          </w:p>
        </w:tc>
      </w:tr>
      <w:tr>
        <w:trPr>
          <w:cantSplit/>
        </w:trPr>
        <w:tc>
          <w:tcPr>
            <w:tcW w:w="2389" w:type="dxa"/>
            <w:vAlign w:val="center"/>
          </w:tcPr>
          <w:p>
            <w:pPr>
              <w:pStyle w:val="TableText"/>
              <w:keepNext/>
              <w:jc w:val="left"/>
            </w:pPr>
            <w:r>
              <w:rPr>
                <w:sz w:val="18"/>
                <w:szCs w:val="18"/>
              </w:rPr>
              <w:t xml:space="preserve">B. Environmental/resource impacts</w:t>
            </w:r>
          </w:p>
        </w:tc>
        <w:tc>
          <w:tcPr>
            <w:tcW w:w="896" w:type="dxa"/>
            <w:vAlign w:val="center"/>
          </w:tcPr>
          <w:p>
            <w:pPr>
              <w:pStyle w:val="TableText"/>
              <w:keepNext/>
              <w:jc w:val="left"/>
            </w:pPr>
            <w:r>
              <w:rPr>
                <w:sz w:val="18"/>
                <w:szCs w:val="18"/>
              </w:rPr>
              <w:t xml:space="preserve">20</w:t>
            </w:r>
          </w:p>
        </w:tc>
        <w:tc>
          <w:tcPr>
            <w:tcW w:w="896" w:type="dxa"/>
            <w:vAlign w:val="center"/>
          </w:tcPr>
          <w:p>
            <w:pPr>
              <w:pStyle w:val="TableText"/>
              <w:keepNext/>
              <w:jc w:val="left"/>
            </w:pPr>
            <w:r>
              <w:rPr>
                <w:sz w:val="18"/>
                <w:szCs w:val="18"/>
              </w:rPr>
              <w:t xml:space="preserve">2</w:t>
            </w:r>
          </w:p>
        </w:tc>
        <w:tc>
          <w:tcPr>
            <w:tcW w:w="1095" w:type="dxa"/>
            <w:vAlign w:val="center"/>
          </w:tcPr>
          <w:p>
            <w:pPr>
              <w:pStyle w:val="TableText"/>
              <w:keepNext/>
              <w:jc w:val="left"/>
            </w:pPr>
            <w:r>
              <w:rPr>
                <w:sz w:val="18"/>
                <w:szCs w:val="18"/>
              </w:rPr>
              <w:t xml:space="preserve">13.3</w:t>
            </w:r>
          </w:p>
        </w:tc>
        <w:tc>
          <w:tcPr>
            <w:tcW w:w="3982" w:type="dxa"/>
            <w:vAlign w:val="center"/>
          </w:tcPr>
          <w:p>
            <w:pPr>
              <w:pStyle w:val="TableText"/>
              <w:keepNext/>
              <w:jc w:val="left"/>
            </w:pPr>
            <w:r>
              <w:rPr>
                <w:sz w:val="18"/>
                <w:szCs w:val="18"/>
              </w:rPr>
              <w:t xml:space="preserve">Energy and emissions estimated with a stated method and sources; not metered</w:t>
            </w:r>
          </w:p>
        </w:tc>
      </w:tr>
      <w:tr>
        <w:trPr>
          <w:cantSplit/>
        </w:trPr>
        <w:tc>
          <w:tcPr>
            <w:tcW w:w="2389" w:type="dxa"/>
            <w:vAlign w:val="center"/>
          </w:tcPr>
          <w:p>
            <w:pPr>
              <w:pStyle w:val="TableText"/>
              <w:jc w:val="left"/>
            </w:pPr>
            <w:r>
              <w:rPr>
                <w:sz w:val="18"/>
                <w:szCs w:val="18"/>
              </w:rPr>
              <w:t xml:space="preserve">C. Social value, inclusion and safety</w:t>
            </w:r>
          </w:p>
        </w:tc>
        <w:tc>
          <w:tcPr>
            <w:tcW w:w="896" w:type="dxa"/>
            <w:vAlign w:val="center"/>
          </w:tcPr>
          <w:p>
            <w:pPr>
              <w:pStyle w:val="TableText"/>
              <w:jc w:val="left"/>
            </w:pPr>
            <w:r>
              <w:rPr>
                <w:sz w:val="18"/>
                <w:szCs w:val="18"/>
              </w:rPr>
              <w:t xml:space="preserve">20</w:t>
            </w:r>
          </w:p>
        </w:tc>
        <w:tc>
          <w:tcPr>
            <w:tcW w:w="896" w:type="dxa"/>
            <w:vAlign w:val="center"/>
          </w:tcPr>
          <w:p>
            <w:pPr>
              <w:pStyle w:val="TableText"/>
              <w:jc w:val="left"/>
            </w:pPr>
            <w:r>
              <w:rPr>
                <w:sz w:val="18"/>
                <w:szCs w:val="18"/>
              </w:rPr>
              <w:t xml:space="preserve">2</w:t>
            </w:r>
          </w:p>
        </w:tc>
        <w:tc>
          <w:tcPr>
            <w:tcW w:w="1095" w:type="dxa"/>
            <w:vAlign w:val="center"/>
          </w:tcPr>
          <w:p>
            <w:pPr>
              <w:pStyle w:val="TableText"/>
              <w:jc w:val="left"/>
            </w:pPr>
            <w:r>
              <w:rPr>
                <w:sz w:val="18"/>
                <w:szCs w:val="18"/>
              </w:rPr>
              <w:t xml:space="preserve">13.3</w:t>
            </w:r>
          </w:p>
        </w:tc>
        <w:tc>
          <w:tcPr>
            <w:tcW w:w="3982" w:type="dxa"/>
            <w:vAlign w:val="center"/>
          </w:tcPr>
          <w:p>
            <w:pPr>
              <w:pStyle w:val="TableText"/>
              <w:jc w:val="left"/>
            </w:pPr>
            <w:r>
              <w:rPr>
                <w:sz w:val="18"/>
                <w:szCs w:val="18"/>
              </w:rPr>
              <w:t xml:space="preserve">Stakeholders and usability measures identified; no test with outside users</w:t>
            </w:r>
          </w:p>
        </w:tc>
      </w:tr>
      <w:tr>
        <w:trPr>
          <w:cantSplit/>
        </w:trPr>
        <w:tc>
          <w:tcPr>
            <w:tcW w:w="2389" w:type="dxa"/>
            <w:vAlign w:val="center"/>
          </w:tcPr>
          <w:p>
            <w:pPr>
              <w:pStyle w:val="TableText"/>
              <w:jc w:val="left"/>
            </w:pPr>
            <w:r>
              <w:rPr>
                <w:sz w:val="18"/>
                <w:szCs w:val="18"/>
              </w:rPr>
              <w:t xml:space="preserve">D. Governance, privacy, security and ethics</w:t>
            </w:r>
          </w:p>
        </w:tc>
        <w:tc>
          <w:tcPr>
            <w:tcW w:w="896" w:type="dxa"/>
            <w:vAlign w:val="center"/>
          </w:tcPr>
          <w:p>
            <w:pPr>
              <w:pStyle w:val="TableText"/>
              <w:jc w:val="left"/>
            </w:pPr>
            <w:r>
              <w:rPr>
                <w:sz w:val="18"/>
                <w:szCs w:val="18"/>
              </w:rPr>
              <w:t xml:space="preserve">20</w:t>
            </w:r>
          </w:p>
        </w:tc>
        <w:tc>
          <w:tcPr>
            <w:tcW w:w="896" w:type="dxa"/>
            <w:vAlign w:val="center"/>
          </w:tcPr>
          <w:p>
            <w:pPr>
              <w:pStyle w:val="TableText"/>
              <w:jc w:val="left"/>
            </w:pPr>
            <w:r>
              <w:rPr>
                <w:sz w:val="18"/>
                <w:szCs w:val="18"/>
              </w:rPr>
              <w:t xml:space="preserve">2</w:t>
            </w:r>
          </w:p>
        </w:tc>
        <w:tc>
          <w:tcPr>
            <w:tcW w:w="1095" w:type="dxa"/>
            <w:vAlign w:val="center"/>
          </w:tcPr>
          <w:p>
            <w:pPr>
              <w:pStyle w:val="TableText"/>
              <w:jc w:val="left"/>
            </w:pPr>
            <w:r>
              <w:rPr>
                <w:sz w:val="18"/>
                <w:szCs w:val="18"/>
              </w:rPr>
              <w:t xml:space="preserve">13.3</w:t>
            </w:r>
          </w:p>
        </w:tc>
        <w:tc>
          <w:tcPr>
            <w:tcW w:w="3982" w:type="dxa"/>
            <w:vAlign w:val="center"/>
          </w:tcPr>
          <w:p>
            <w:pPr>
              <w:pStyle w:val="TableText"/>
              <w:jc w:val="left"/>
            </w:pPr>
            <w:r>
              <w:rPr>
                <w:sz w:val="18"/>
                <w:szCs w:val="18"/>
              </w:rPr>
              <w:t xml:space="preserve">Licences, privacy and local processing documented; no fairness audit</w:t>
            </w:r>
          </w:p>
        </w:tc>
      </w:tr>
      <w:tr>
        <w:trPr>
          <w:cantSplit/>
        </w:trPr>
        <w:tc>
          <w:tcPr>
            <w:tcW w:w="2389" w:type="dxa"/>
            <w:vAlign w:val="center"/>
          </w:tcPr>
          <w:p>
            <w:pPr>
              <w:pStyle w:val="TableText"/>
              <w:jc w:val="left"/>
            </w:pPr>
            <w:r>
              <w:rPr>
                <w:sz w:val="18"/>
                <w:szCs w:val="18"/>
              </w:rPr>
              <w:t xml:space="preserve">E. SDG linkage and measurable targets</w:t>
            </w:r>
          </w:p>
        </w:tc>
        <w:tc>
          <w:tcPr>
            <w:tcW w:w="896" w:type="dxa"/>
            <w:vAlign w:val="center"/>
          </w:tcPr>
          <w:p>
            <w:pPr>
              <w:pStyle w:val="TableText"/>
              <w:jc w:val="left"/>
            </w:pPr>
            <w:r>
              <w:rPr>
                <w:sz w:val="18"/>
                <w:szCs w:val="18"/>
              </w:rPr>
              <w:t xml:space="preserve">10</w:t>
            </w:r>
          </w:p>
        </w:tc>
        <w:tc>
          <w:tcPr>
            <w:tcW w:w="896" w:type="dxa"/>
            <w:vAlign w:val="center"/>
          </w:tcPr>
          <w:p>
            <w:pPr>
              <w:pStyle w:val="TableText"/>
              <w:jc w:val="left"/>
            </w:pPr>
            <w:r>
              <w:rPr>
                <w:sz w:val="18"/>
                <w:szCs w:val="18"/>
              </w:rPr>
              <w:t xml:space="preserve">2</w:t>
            </w:r>
          </w:p>
        </w:tc>
        <w:tc>
          <w:tcPr>
            <w:tcW w:w="1095" w:type="dxa"/>
            <w:vAlign w:val="center"/>
          </w:tcPr>
          <w:p>
            <w:pPr>
              <w:pStyle w:val="TableText"/>
              <w:jc w:val="left"/>
            </w:pPr>
            <w:r>
              <w:rPr>
                <w:sz w:val="18"/>
                <w:szCs w:val="18"/>
              </w:rPr>
              <w:t xml:space="preserve">6.7</w:t>
            </w:r>
          </w:p>
        </w:tc>
        <w:tc>
          <w:tcPr>
            <w:tcW w:w="3982" w:type="dxa"/>
            <w:vAlign w:val="center"/>
          </w:tcPr>
          <w:p>
            <w:pPr>
              <w:pStyle w:val="TableText"/>
              <w:jc w:val="left"/>
            </w:pPr>
            <w:r>
              <w:rPr>
                <w:sz w:val="18"/>
                <w:szCs w:val="18"/>
              </w:rPr>
              <w:t xml:space="preserve">Target-level mapping with indicators; expected and demonstrated effects distinguished; few numeric baselines</w:t>
            </w:r>
          </w:p>
        </w:tc>
      </w:tr>
      <w:tr>
        <w:trPr>
          <w:cantSplit/>
        </w:trPr>
        <w:tc>
          <w:tcPr>
            <w:tcW w:w="2389" w:type="dxa"/>
            <w:vAlign w:val="center"/>
          </w:tcPr>
          <w:p>
            <w:pPr>
              <w:pStyle w:val="TableText"/>
              <w:jc w:val="left"/>
            </w:pPr>
            <w:r>
              <w:rPr>
                <w:sz w:val="18"/>
                <w:szCs w:val="18"/>
              </w:rPr>
              <w:t xml:space="preserve">F. Measurement, transparency and improvement</w:t>
            </w:r>
          </w:p>
        </w:tc>
        <w:tc>
          <w:tcPr>
            <w:tcW w:w="896" w:type="dxa"/>
            <w:vAlign w:val="center"/>
          </w:tcPr>
          <w:p>
            <w:pPr>
              <w:pStyle w:val="TableText"/>
              <w:jc w:val="left"/>
            </w:pPr>
            <w:r>
              <w:rPr>
                <w:sz w:val="18"/>
                <w:szCs w:val="18"/>
              </w:rPr>
              <w:t xml:space="preserve">15</w:t>
            </w:r>
          </w:p>
        </w:tc>
        <w:tc>
          <w:tcPr>
            <w:tcW w:w="896" w:type="dxa"/>
            <w:vAlign w:val="center"/>
          </w:tcPr>
          <w:p>
            <w:pPr>
              <w:pStyle w:val="TableText"/>
              <w:jc w:val="left"/>
            </w:pPr>
            <w:r>
              <w:rPr>
                <w:sz w:val="18"/>
                <w:szCs w:val="18"/>
              </w:rPr>
              <w:t xml:space="preserve">3</w:t>
            </w:r>
          </w:p>
        </w:tc>
        <w:tc>
          <w:tcPr>
            <w:tcW w:w="1095" w:type="dxa"/>
            <w:vAlign w:val="center"/>
          </w:tcPr>
          <w:p>
            <w:pPr>
              <w:pStyle w:val="TableText"/>
              <w:jc w:val="left"/>
            </w:pPr>
            <w:r>
              <w:rPr>
                <w:sz w:val="18"/>
                <w:szCs w:val="18"/>
              </w:rPr>
              <w:t xml:space="preserve">15.0</w:t>
            </w:r>
          </w:p>
        </w:tc>
        <w:tc>
          <w:tcPr>
            <w:tcW w:w="3982" w:type="dxa"/>
            <w:vAlign w:val="center"/>
          </w:tcPr>
          <w:p>
            <w:pPr>
              <w:pStyle w:val="TableText"/>
              <w:jc w:val="left"/>
            </w:pPr>
            <w:r>
              <w:rPr>
                <w:sz w:val="18"/>
                <w:szCs w:val="18"/>
              </w:rPr>
              <w:t xml:space="preserve">Every number generated from stored outputs and repeatable with seeds; assumptions and gaps disclosed</w:t>
            </w:r>
          </w:p>
        </w:tc>
      </w:tr>
      <w:tr>
        <w:trPr>
          <w:cantSplit/>
        </w:trPr>
        <w:tc>
          <w:tcPr>
            <w:tcW w:w="2389" w:type="dxa"/>
            <w:vAlign w:val="center"/>
          </w:tcPr>
          <w:p>
            <w:pPr>
              <w:pStyle w:val="TableText"/>
              <w:jc w:val="left"/>
            </w:pPr>
            <w:r>
              <w:rPr>
                <w:sz w:val="18"/>
                <w:szCs w:val="18"/>
              </w:rPr>
              <w:t xml:space="preserve">Total</w:t>
            </w:r>
          </w:p>
        </w:tc>
        <w:tc>
          <w:tcPr>
            <w:tcW w:w="896" w:type="dxa"/>
            <w:vAlign w:val="center"/>
          </w:tcPr>
          <w:p>
            <w:pPr>
              <w:pStyle w:val="TableText"/>
              <w:jc w:val="left"/>
            </w:pPr>
            <w:r>
              <w:rPr>
                <w:sz w:val="18"/>
                <w:szCs w:val="18"/>
              </w:rPr>
              <w:t xml:space="preserve">100</w:t>
            </w:r>
          </w:p>
        </w:tc>
        <w:tc>
          <w:tcPr>
            <w:tcW w:w="896" w:type="dxa"/>
            <w:vAlign w:val="center"/>
          </w:tcPr>
          <w:p>
            <w:pPr>
              <w:pStyle w:val="TableText"/>
              <w:jc w:val="left"/>
            </w:pPr>
          </w:p>
        </w:tc>
        <w:tc>
          <w:tcPr>
            <w:tcW w:w="1095" w:type="dxa"/>
            <w:vAlign w:val="center"/>
          </w:tcPr>
          <w:p>
            <w:pPr>
              <w:pStyle w:val="TableText"/>
              <w:jc w:val="left"/>
            </w:pPr>
            <w:r>
              <w:rPr>
                <w:sz w:val="18"/>
                <w:szCs w:val="18"/>
              </w:rPr>
              <w:t xml:space="preserve">71.7</w:t>
            </w:r>
          </w:p>
        </w:tc>
        <w:tc>
          <w:tcPr>
            <w:tcW w:w="3982" w:type="dxa"/>
            <w:vAlign w:val="center"/>
          </w:tcPr>
          <w:p>
            <w:pPr>
              <w:pStyle w:val="TableText"/>
              <w:jc w:val="left"/>
            </w:pPr>
            <w:r>
              <w:rPr>
                <w:sz w:val="18"/>
                <w:szCs w:val="18"/>
              </w:rPr>
              <w:t xml:space="preserve">Satisfactory (60–79) on the department’s suggested scale</w:t>
            </w:r>
          </w:p>
        </w:tc>
      </w:tr>
    </w:tbl>
    <w:p>
      <w:pPr>
        <w:spacing w:before="0" w:after="120" w:line="240" w:lineRule="auto"/>
      </w:pPr>
    </w:p>
    <w:p>
      <w:pPr>
        <w:pStyle w:val="Normal"/>
      </w:pPr>
      <w:r>
        <w:t xml:space="preserve">The strongest criterion is transparency, because every figure in the assessment can be traced to stored outputs and rebuilt. The weakest are the social and governance criteria, where the evidence stops at identification: a usability study with outside users and a fairness audit of the monitored models would raise both.</w:t>
      </w:r>
    </w:p>
    <w:p>
      <w:pPr>
        <w:pStyle w:val="Heading3"/>
      </w:pPr>
      <w:r>
        <w:t xml:space="preserve">7.7.6 Evidence and Limitations Statement</w:t>
      </w:r>
    </w:p>
    <w:p>
      <w:pPr>
        <w:pStyle w:val="Normal"/>
      </w:pPr>
      <w:r>
        <w:t xml:space="preserve">The run times and the benchmark’s wall-clock time were measured and are stored in the study reports. The energy and emission figures are estimated: they multiply measured time by the processor’s rated maximum power, which overstates the real draw and by the average emission factor of the Indian grid for 2023–24 (later versions of the database give lower factors, so this also errs on the high side). They exclude the graphics card’s work on image embeddings, the development time and the time spent writing. Inclusion and usability were assessed qualitatively by the team and in mentor reviews. Fairness and accessibility were not assessed. The savings in labels are tested on the benchmark; the savings in computation from the triage are not measured in a deployment. Future work should meter the energy of a full run, run a short usability study with a monitoring team and add a fairness check of the monitored models.</w:t>
      </w:r>
    </w:p>
    <w:p>
      <w:pPr>
        <w:pStyle w:val="Heading1"/>
      </w:pPr>
      <w:r>
        <w:t xml:space="preserve">CHAPTER 8: CONCLUSION</w:t>
      </w:r>
    </w:p>
    <w:p>
      <w:pPr>
        <w:pStyle w:val="Normal"/>
      </w:pPr>
      <w:r>
        <w:t xml:space="preserve">This project set out to turn a drift alarm into a decision. ResilientAI watches a deployed classifier, tests every new window of production data for a change, estimates the accuracy the model is likely to have, locates the features that moved and names the type of drift, so that a monitoring team knows whether to reweight, recalibrate, collect fresh labels or check its labeling process. It also explains the change, scores the trust due to each prediction, advises whether a cheap retrain would help and presents everything in a dashboard.</w:t>
      </w:r>
    </w:p>
    <w:p>
      <w:pPr>
        <w:pStyle w:val="Normal"/>
      </w:pPr>
      <w:r>
        <w:t xml:space="preserve">The central result is that hypothesis tests with a stated error rate can name the drift type from label-free tests and a few hundred late labels. The new audit test separates concept drift from label noise by asking whether the change in errors depends on a feature beyond what the model’s confidence explains. On injected drift the procedure named the type in 85.7 to 94.3% of windows, beat every rule from monitoring practice and kept its false alarms below their bound. Unlike a learned meta-classifier, it carried over to drift mechanisms held out from its design, because its tests encode the definitions of the types rather than the look of past examples. On four real datasets it raised no false verdict on any control window and traced documented events, from new occupation codes in the census to aging gas sensors.</w:t>
      </w:r>
    </w:p>
    <w:p>
      <w:pPr>
        <w:pStyle w:val="Normal"/>
      </w:pPr>
      <w:r>
        <w:t xml:space="preserve">The project met the deliverables of Section </w:t>
      </w:r>
      <w:r>
        <w:t xml:space="preserve">2.7</w:t>
      </w:r>
      <w:r>
        <w:t xml:space="preserve">. Along the way it also showed the value of practices that are easy to skip in a student project: fixing the protocol before the evaluation, generating every reported number from stored outputs and testing the error rates of the statistics themselves. Those practices caught real errors and made it possible to correct them honestly.</w:t>
      </w:r>
    </w:p>
    <w:p>
      <w:pPr>
        <w:pStyle w:val="Heading2"/>
      </w:pPr>
      <w:r>
        <w:t xml:space="preserve">8.1 Limitations</w:t>
      </w:r>
    </w:p>
    <w:p>
      <w:pPr>
        <w:pStyle w:val="Normal"/>
      </w:pPr>
      <w:r>
        <w:t xml:space="preserve">The system has the following limitations, each visible in the results of Chapter </w:t>
      </w:r>
      <w:r>
        <w:t xml:space="preserve">7</w:t>
      </w:r>
      <w:r>
        <w:t xml:space="preserve">.</w:t>
      </w:r>
    </w:p>
    <w:p>
      <w:pPr>
        <w:pStyle w:val="ListItem"/>
        <w:numPr>
          <w:ilvl w:val="0"/>
          <w:numId w:val="100"/>
        </w:numPr>
        <w:ind w:left="567" w:hanging="340"/>
      </w:pPr>
      <w:r>
        <w:rPr>
          <w:b/>
          <w:bCs/>
        </w:rPr>
        <w:t xml:space="preserve">One type per window.</w:t>
      </w:r>
      <w:r>
        <w:t xml:space="preserve"> Each benchmark window holds a single drift type, while real windows such as ACS Income 2023 mix several. The procedure reports the first type it finds.</w:t>
      </w:r>
    </w:p>
    <w:p>
      <w:pPr>
        <w:pStyle w:val="ListItem"/>
        <w:numPr>
          <w:ilvl w:val="0"/>
          <w:numId w:val="100"/>
        </w:numPr>
        <w:ind w:left="567" w:hanging="340"/>
      </w:pPr>
      <w:r>
        <w:rPr>
          <w:b/>
          <w:bCs/>
        </w:rPr>
        <w:t xml:space="preserve">Idealized types.</w:t>
      </w:r>
      <w:r>
        <w:t xml:space="preserve"> Sensor aging changes </w:t>
      </w:r>
      <m:oMath>
        <m:r>
          <m:t>P</m:t>
        </m:r>
        <m:r>
          <m:rPr>
            <m:sty m:val="p"/>
          </m:rPr>
          <m:t>(</m:t>
        </m:r>
        <m:r>
          <m:t>X</m:t>
        </m:r>
        <m:r>
          <m:rPr>
            <m:sty m:val="p"/>
          </m:rPr>
          <m:t>∣</m:t>
        </m:r>
        <m:r>
          <m:t>Y</m:t>
        </m:r>
        <m:r>
          <m:rPr>
            <m:sty m:val="p"/>
          </m:rPr>
          <m:t>)</m:t>
        </m:r>
      </m:oMath>
      <w:r>
        <w:t xml:space="preserve"> and, through it, </w:t>
      </w:r>
      <m:oMath>
        <m:r>
          <m:t>P</m:t>
        </m:r>
        <m:r>
          <m:rPr>
            <m:sty m:val="p"/>
          </m:rPr>
          <m:t>(</m:t>
        </m:r>
        <m:r>
          <m:t>Y</m:t>
        </m:r>
        <m:r>
          <m:rPr>
            <m:sty m:val="p"/>
          </m:rPr>
          <m:t>∣</m:t>
        </m:r>
        <m:r>
          <m:t>X</m:t>
        </m:r>
        <m:r>
          <m:rPr>
            <m:sty m:val="p"/>
          </m:rPr>
          <m:t>)</m:t>
        </m:r>
      </m:oMath>
      <w:r>
        <w:t xml:space="preserve">, yet the procedure reports it as covariate shift, because the four types are an idealization of real change.</w:t>
      </w:r>
    </w:p>
    <w:p>
      <w:pPr>
        <w:pStyle w:val="ListItem"/>
        <w:numPr>
          <w:ilvl w:val="0"/>
          <w:numId w:val="100"/>
        </w:numPr>
        <w:ind w:left="567" w:hanging="340"/>
      </w:pPr>
      <w:r>
        <w:rPr>
          <w:b/>
          <w:bCs/>
        </w:rPr>
        <w:t xml:space="preserve">Class-conditional label noise.</w:t>
      </w:r>
      <w:r>
        <w:t xml:space="preserve"> The audit often mistakes noise that depends on the true class for concept drift, since a null model built on confidence alone cannot separate the two.</w:t>
      </w:r>
    </w:p>
    <w:p>
      <w:pPr>
        <w:pStyle w:val="ListItem"/>
        <w:numPr>
          <w:ilvl w:val="0"/>
          <w:numId w:val="100"/>
        </w:numPr>
        <w:ind w:left="567" w:hanging="340"/>
      </w:pPr>
      <w:r>
        <w:rPr>
          <w:b/>
          <w:bCs/>
        </w:rPr>
        <w:t xml:space="preserve">Drift without loss.</w:t>
      </w:r>
      <w:r>
        <w:t xml:space="preserve"> The audit lets through drift that does not hurt accuracy, such as the raised income threshold. This is by design but may surprise a user.</w:t>
      </w:r>
    </w:p>
    <w:p>
      <w:pPr>
        <w:pStyle w:val="ListItem"/>
        <w:numPr>
          <w:ilvl w:val="0"/>
          <w:numId w:val="100"/>
        </w:numPr>
        <w:ind w:left="567" w:hanging="340"/>
      </w:pPr>
      <w:r>
        <w:rPr>
          <w:b/>
          <w:bCs/>
        </w:rPr>
        <w:t xml:space="preserve">Sampling error of the weights.</w:t>
      </w:r>
      <w:r>
        <w:t xml:space="preserve"> The weighted residual tests do not account for the sampling error of the BBSE weights.</w:t>
      </w:r>
    </w:p>
    <w:p>
      <w:pPr>
        <w:pStyle w:val="ListItem"/>
        <w:numPr>
          <w:ilvl w:val="0"/>
          <w:numId w:val="100"/>
        </w:numPr>
        <w:ind w:left="567" w:hanging="340"/>
      </w:pPr>
      <w:r>
        <w:rPr>
          <w:b/>
          <w:bCs/>
        </w:rPr>
        <w:t xml:space="preserve">Large samples.</w:t>
      </w:r>
      <w:r>
        <w:t xml:space="preserve"> At several hundred thousand rows almost any shift is significant, so each decision must be read with its effect size.</w:t>
      </w:r>
    </w:p>
    <w:p>
      <w:pPr>
        <w:pStyle w:val="ListItem"/>
        <w:numPr>
          <w:ilvl w:val="0"/>
          <w:numId w:val="100"/>
        </w:numPr>
        <w:ind w:left="567" w:hanging="340"/>
      </w:pPr>
      <w:r>
        <w:rPr>
          <w:b/>
          <w:bCs/>
        </w:rPr>
        <w:t xml:space="preserve">Optimistic estimates.</w:t>
      </w:r>
      <w:r>
        <w:t xml:space="preserve"> The accuracy estimate fails when the model stays confident while its accuracy falls, as on the gas sensor data and is best read as an upper bound.</w:t>
      </w:r>
    </w:p>
    <w:p>
      <w:pPr>
        <w:pStyle w:val="ListItem"/>
        <w:numPr>
          <w:ilvl w:val="0"/>
          <w:numId w:val="100"/>
        </w:numPr>
        <w:ind w:left="567" w:hanging="340"/>
      </w:pPr>
      <w:r>
        <w:rPr>
          <w:b/>
          <w:bCs/>
        </w:rPr>
        <w:t xml:space="preserve">Weak supporting stages.</w:t>
      </w:r>
      <w:r>
        <w:t xml:space="preserve"> The reliability fusion adds almost nothing beyond confidence and the triage has low recall when no earlier labeled window exists.</w:t>
      </w:r>
    </w:p>
    <w:p>
      <w:pPr>
        <w:pStyle w:val="ListItem"/>
        <w:numPr>
          <w:ilvl w:val="0"/>
          <w:numId w:val="100"/>
        </w:numPr>
        <w:ind w:left="567" w:hanging="340"/>
      </w:pPr>
      <w:r>
        <w:rPr>
          <w:b/>
          <w:bCs/>
        </w:rPr>
        <w:t xml:space="preserve">Scope.</w:t>
      </w:r>
      <w:r>
        <w:t xml:space="preserve"> Deep models trained end to end, text data and real-time streams remain untested and the system has not been used by a monitoring team outside the project.</w:t>
      </w:r>
    </w:p>
    <w:p>
      <w:pPr>
        <w:pStyle w:val="Heading2"/>
      </w:pPr>
      <w:r>
        <w:t xml:space="preserve">8.2 Future Scope</w:t>
      </w:r>
    </w:p>
    <w:p>
      <w:pPr>
        <w:pStyle w:val="Normal"/>
      </w:pPr>
      <w:r>
        <w:t xml:space="preserve">The limits above point to realistic next steps.</w:t>
      </w:r>
    </w:p>
    <w:p>
      <w:pPr>
        <w:pStyle w:val="ListItem"/>
        <w:numPr>
          <w:ilvl w:val="0"/>
          <w:numId w:val="202"/>
        </w:numPr>
        <w:ind w:left="567" w:hanging="340"/>
      </w:pPr>
      <w:r>
        <w:rPr>
          <w:b/>
          <w:bCs/>
        </w:rPr>
        <w:t xml:space="preserve">An audit conditioned on the full model output</w:t>
      </w:r>
      <w:r>
        <w:t xml:space="preserve">, such as cells of predicted class and confidence, to separate class-conditional label noise from concept drift. The ablation in Section </w:t>
      </w:r>
      <w:r>
        <w:t xml:space="preserve">7.4</w:t>
      </w:r>
      <w:r>
        <w:t xml:space="preserve"> suggests this helps on held-out drift and it should be tested on a fresh benchmark design to avoid bias.</w:t>
      </w:r>
    </w:p>
    <w:p>
      <w:pPr>
        <w:pStyle w:val="ListItem"/>
        <w:numPr>
          <w:ilvl w:val="0"/>
          <w:numId w:val="202"/>
        </w:numPr>
        <w:ind w:left="567" w:hanging="340"/>
      </w:pPr>
      <w:r>
        <w:rPr>
          <w:b/>
          <w:bCs/>
        </w:rPr>
        <w:t xml:space="preserve">A model of the sampling error of the BBSE weights</w:t>
      </w:r>
      <w:r>
        <w:t xml:space="preserve"> in the label shift consistency test.</w:t>
      </w:r>
    </w:p>
    <w:p>
      <w:pPr>
        <w:pStyle w:val="ListItem"/>
        <w:numPr>
          <w:ilvl w:val="0"/>
          <w:numId w:val="202"/>
        </w:numPr>
        <w:ind w:left="567" w:hanging="340"/>
      </w:pPr>
      <w:r>
        <w:rPr>
          <w:b/>
          <w:bCs/>
        </w:rPr>
        <w:t xml:space="preserve">Benchmark windows that mix several types</w:t>
      </w:r>
      <w:r>
        <w:t xml:space="preserve">, with a diagnosis that can report more than one.</w:t>
      </w:r>
    </w:p>
    <w:p>
      <w:pPr>
        <w:pStyle w:val="ListItem"/>
        <w:numPr>
          <w:ilvl w:val="0"/>
          <w:numId w:val="202"/>
        </w:numPr>
        <w:ind w:left="567" w:hanging="340"/>
      </w:pPr>
      <w:r>
        <w:rPr>
          <w:b/>
          <w:bCs/>
        </w:rPr>
        <w:t xml:space="preserve">Text and deep models</w:t>
      </w:r>
      <w:r>
        <w:t xml:space="preserve">, by applying the same tests to embeddings of text and to models fine-tuned on the production stream.</w:t>
      </w:r>
    </w:p>
    <w:p>
      <w:pPr>
        <w:pStyle w:val="ListItem"/>
        <w:numPr>
          <w:ilvl w:val="0"/>
          <w:numId w:val="202"/>
        </w:numPr>
        <w:ind w:left="567" w:hanging="340"/>
      </w:pPr>
      <w:r>
        <w:rPr>
          <w:b/>
          <w:bCs/>
        </w:rPr>
        <w:t xml:space="preserve">Streaming operation</w:t>
      </w:r>
      <w:r>
        <w:t xml:space="preserve">, with sequential tests that keep the error rate over an open-ended sequence of windows.</w:t>
      </w:r>
    </w:p>
    <w:p>
      <w:pPr>
        <w:pStyle w:val="ListItem"/>
        <w:numPr>
          <w:ilvl w:val="0"/>
          <w:numId w:val="202"/>
        </w:numPr>
        <w:ind w:left="567" w:hanging="340"/>
      </w:pPr>
      <w:r>
        <w:rPr>
          <w:b/>
          <w:bCs/>
        </w:rPr>
        <w:t xml:space="preserve">A pilot deployment</w:t>
      </w:r>
      <w:r>
        <w:t xml:space="preserve"> with a monitoring team, together with a usability study, metered energy use and a fairness check of the monitored models, which would also complete the sustainability evidence of Section </w:t>
      </w:r>
      <w:r>
        <w:t xml:space="preserve">7.7</w:t>
      </w:r>
      <w:r>
        <w:t xml:space="preserve">.</w:t>
      </w:r>
    </w:p>
    <w:p>
      <w:pPr>
        <w:pStyle w:val="ListItem"/>
        <w:numPr>
          <w:ilvl w:val="0"/>
          <w:numId w:val="202"/>
        </w:numPr>
        <w:ind w:left="567" w:hanging="340"/>
      </w:pPr>
      <w:r>
        <w:rPr>
          <w:b/>
          <w:bCs/>
        </w:rPr>
        <w:t xml:space="preserve">Integration with existing monitoring platforms</w:t>
      </w:r>
      <w:r>
        <w:t xml:space="preserve">, so that the diagnosis can run beside the detectors teams already use.</w:t>
      </w:r>
    </w:p>
    <w:p>
      <w:pPr>
        <w:pStyle w:val="Heading1"/>
      </w:pPr>
      <w:r>
        <w:t xml:space="preserve">REFERENCES</w:t>
      </w:r>
    </w:p>
    <w:p>
      <w:pPr>
        <w:pStyle w:val="Reference"/>
        <w:tabs>
          <w:tab w:val="left" w:pos="567"/>
        </w:tabs>
      </w:pPr>
      <w:r>
        <w:t xml:space="preserve">[1]</w:t>
        <w:tab/>
        <w:t xml:space="preserve"/>
      </w:r>
      <w:r>
        <w:t xml:space="preserve">J. G. Moreno-Torres, T. Raeder, R. Alaiz-Rodríguez, N. V. Chawla, and F. Herrera, “A Unifying View on Dataset Shift in Classification,” </w:t>
      </w:r>
      <w:r>
        <w:rPr>
          <w:i/>
          <w:iCs/>
        </w:rPr>
        <w:t xml:space="preserve">Pattern Recognition</w:t>
      </w:r>
      <w:r>
        <w:t xml:space="preserve">, vol. 45, no. 1, pp. 521–530, 2012</w:t>
      </w:r>
      <w:r>
        <w:t xml:space="preserve">, doi: </w:t>
      </w:r>
      <w:hyperlink r:id="rIdL26" w:history="1">
        <w:r>
          <w:rPr>
            <w:color w:val="1F3B73"/>
          </w:rPr>
          <w:t xml:space="preserve">10.1016/j.patcog.2011.06.019</w:t>
        </w:r>
      </w:hyperlink>
      <w:r>
        <w:t xml:space="preserve">.</w:t>
      </w:r>
    </w:p>
    <w:p>
      <w:pPr>
        <w:pStyle w:val="Reference"/>
        <w:tabs>
          <w:tab w:val="left" w:pos="567"/>
        </w:tabs>
      </w:pPr>
      <w:r>
        <w:t xml:space="preserve">[2]</w:t>
        <w:tab/>
        <w:t xml:space="preserve"/>
      </w:r>
      <w:r>
        <w:rPr>
          <w:i/>
          <w:iCs/>
        </w:rPr>
        <w:t xml:space="preserve">Dataset Shift in Machine Learning</w:t>
      </w:r>
      <w:r>
        <w:t xml:space="preserve">. MIT Press, 2009</w:t>
      </w:r>
      <w:r>
        <w:t xml:space="preserve">.</w:t>
      </w:r>
    </w:p>
    <w:p>
      <w:pPr>
        <w:pStyle w:val="Reference"/>
        <w:tabs>
          <w:tab w:val="left" w:pos="567"/>
        </w:tabs>
      </w:pPr>
      <w:r>
        <w:t xml:space="preserve">[3]</w:t>
        <w:tab/>
        <w:t xml:space="preserve"/>
      </w:r>
      <w:r>
        <w:t xml:space="preserve">S. Rabanser, S. Günnemann, and Z. C. Lipton, “Failing Loudly: An Empirical Study of Methods for Detecting Dataset Shift,” in </w:t>
      </w:r>
      <w:r>
        <w:rPr>
          <w:i/>
          <w:iCs/>
        </w:rPr>
        <w:t xml:space="preserve">Advances in Neural Information Processing Systems 32</w:t>
      </w:r>
      <w:r>
        <w:t xml:space="preserve">, 2019, pp. 1394–1406</w:t>
      </w:r>
      <w:r>
        <w:t xml:space="preserve">. [Online]. Available: </w:t>
      </w:r>
      <w:hyperlink r:id="rIdL27" w:history="1">
        <w:r>
          <w:rPr>
            <w:color w:val="1F3B73"/>
          </w:rPr>
          <w:t xml:space="preserve">https://proceedings.neurips.cc/paper_files/paper/2019/hash/846c260d715e5b854ffad5f70a516c88-Abstract.html</w:t>
        </w:r>
      </w:hyperlink>
      <w:r>
        <w:t xml:space="preserve"> (accessed Oct. 21, 2026).</w:t>
      </w:r>
    </w:p>
    <w:p>
      <w:pPr>
        <w:pStyle w:val="Reference"/>
        <w:tabs>
          <w:tab w:val="left" w:pos="567"/>
        </w:tabs>
      </w:pPr>
      <w:r>
        <w:t xml:space="preserve">[4]</w:t>
        <w:tab/>
        <w:t xml:space="preserve"/>
      </w:r>
      <w:r>
        <w:t xml:space="preserve">D. Sculley et al., “Hidden Technical Debt in Machine Learning Systems,” in </w:t>
      </w:r>
      <w:r>
        <w:rPr>
          <w:i/>
          <w:iCs/>
        </w:rPr>
        <w:t xml:space="preserve">Advances in Neural Information Processing Systems (NeurIPS)</w:t>
      </w:r>
      <w:r>
        <w:t xml:space="preserve">, 2015, pp. 2503–2511</w:t>
      </w:r>
      <w:r>
        <w:t xml:space="preserve">.</w:t>
      </w:r>
    </w:p>
    <w:p>
      <w:pPr>
        <w:pStyle w:val="Reference"/>
        <w:tabs>
          <w:tab w:val="left" w:pos="567"/>
        </w:tabs>
      </w:pPr>
      <w:r>
        <w:t xml:space="preserve">[5]</w:t>
        <w:tab/>
        <w:t xml:space="preserve"/>
      </w:r>
      <w:r>
        <w:t xml:space="preserve">A. Paleyes, R.-G. Urma, and N. D. Lawrence, “Challenges in Deploying Machine Learning: A Survey of Case Studies,” </w:t>
      </w:r>
      <w:r>
        <w:rPr>
          <w:i/>
          <w:iCs/>
        </w:rPr>
        <w:t xml:space="preserve">ACM Computing Surveys</w:t>
      </w:r>
      <w:r>
        <w:t xml:space="preserve">, vol. 55, no. 6, pp. 1–29, 2022</w:t>
      </w:r>
      <w:r>
        <w:t xml:space="preserve">, doi: </w:t>
      </w:r>
      <w:hyperlink r:id="rIdL28" w:history="1">
        <w:r>
          <w:rPr>
            <w:color w:val="1F3B73"/>
          </w:rPr>
          <w:t xml:space="preserve">10.1145/3533378</w:t>
        </w:r>
      </w:hyperlink>
      <w:r>
        <w:t xml:space="preserve">.</w:t>
      </w:r>
    </w:p>
    <w:p>
      <w:pPr>
        <w:pStyle w:val="Reference"/>
        <w:tabs>
          <w:tab w:val="left" w:pos="567"/>
        </w:tabs>
      </w:pPr>
      <w:r>
        <w:t xml:space="preserve">[6]</w:t>
        <w:tab/>
        <w:t xml:space="preserve"/>
      </w:r>
      <w:r>
        <w:t xml:space="preserve">C. Huyen, </w:t>
      </w:r>
      <w:r>
        <w:rPr>
          <w:i/>
          <w:iCs/>
        </w:rPr>
        <w:t xml:space="preserve">Designing Machine Learning Systems</w:t>
      </w:r>
      <w:r>
        <w:t xml:space="preserve">. O'Reilly Media, 2022</w:t>
      </w:r>
      <w:r>
        <w:t xml:space="preserve">.</w:t>
      </w:r>
    </w:p>
    <w:p>
      <w:pPr>
        <w:pStyle w:val="Reference"/>
        <w:tabs>
          <w:tab w:val="left" w:pos="567"/>
        </w:tabs>
      </w:pPr>
      <w:r>
        <w:t xml:space="preserve">[7]</w:t>
        <w:tab/>
        <w:t xml:space="preserve"/>
      </w:r>
      <w:r>
        <w:t xml:space="preserve">J. Gama, P. Medas, G. Castillo, and P. Rodrigues, “Learning with Drift Detection,” in </w:t>
      </w:r>
      <w:r>
        <w:rPr>
          <w:i/>
          <w:iCs/>
        </w:rPr>
        <w:t xml:space="preserve">Advances in Artificial Intelligence – SBIA 2004</w:t>
      </w:r>
      <w:r>
        <w:t xml:space="preserve">, 2004, pp. 286–295</w:t>
      </w:r>
      <w:r>
        <w:t xml:space="preserve">, doi: </w:t>
      </w:r>
      <w:hyperlink r:id="rIdL29" w:history="1">
        <w:r>
          <w:rPr>
            <w:color w:val="1F3B73"/>
          </w:rPr>
          <w:t xml:space="preserve">10.1007/978-3-540-28645-5_29</w:t>
        </w:r>
      </w:hyperlink>
      <w:r>
        <w:t xml:space="preserve">.</w:t>
      </w:r>
    </w:p>
    <w:p>
      <w:pPr>
        <w:pStyle w:val="Reference"/>
        <w:tabs>
          <w:tab w:val="left" w:pos="567"/>
        </w:tabs>
      </w:pPr>
      <w:r>
        <w:t xml:space="preserve">[8]</w:t>
        <w:tab/>
        <w:t xml:space="preserve"/>
      </w:r>
      <w:r>
        <w:t xml:space="preserve">A. Bifet and R. Gavaldà, “Learning from Time-Changing Data with Adaptive Windowing,” in </w:t>
      </w:r>
      <w:r>
        <w:rPr>
          <w:i/>
          <w:iCs/>
        </w:rPr>
        <w:t xml:space="preserve">Proceedings of the SIAM International Conference on Data Mining (SDM)</w:t>
      </w:r>
      <w:r>
        <w:t xml:space="preserve">, 2007, pp. 443–448</w:t>
      </w:r>
      <w:r>
        <w:t xml:space="preserve">, doi: </w:t>
      </w:r>
      <w:hyperlink r:id="rIdL30" w:history="1">
        <w:r>
          <w:rPr>
            <w:color w:val="1F3B73"/>
          </w:rPr>
          <w:t xml:space="preserve">10.1137/1.9781611972771.42</w:t>
        </w:r>
      </w:hyperlink>
      <w:r>
        <w:t xml:space="preserve">.</w:t>
      </w:r>
    </w:p>
    <w:p>
      <w:pPr>
        <w:pStyle w:val="Reference"/>
        <w:tabs>
          <w:tab w:val="left" w:pos="567"/>
        </w:tabs>
      </w:pPr>
      <w:r>
        <w:t xml:space="preserve">[9]</w:t>
        <w:tab/>
        <w:t xml:space="preserve"/>
      </w:r>
      <w:r>
        <w:t xml:space="preserve">A. Gretton, K. M. Borgwardt, M. J. Rasch, B. Schölkopf, and A. Smola, “A Kernel Two-Sample Test,” </w:t>
      </w:r>
      <w:r>
        <w:rPr>
          <w:i/>
          <w:iCs/>
        </w:rPr>
        <w:t xml:space="preserve">Journal of Machine Learning Research</w:t>
      </w:r>
      <w:r>
        <w:t xml:space="preserve">, vol. 13, pp. 723–773, 2012</w:t>
      </w:r>
      <w:r>
        <w:t xml:space="preserve">. [Online]. Available: </w:t>
      </w:r>
      <w:hyperlink r:id="rIdL31" w:history="1">
        <w:r>
          <w:rPr>
            <w:color w:val="1F3B73"/>
          </w:rPr>
          <w:t xml:space="preserve">https://jmlr.org/papers/v13/gretton12a.html</w:t>
        </w:r>
      </w:hyperlink>
      <w:r>
        <w:t xml:space="preserve"> (accessed Oct. 21, 2026).</w:t>
      </w:r>
    </w:p>
    <w:p>
      <w:pPr>
        <w:pStyle w:val="Reference"/>
        <w:tabs>
          <w:tab w:val="left" w:pos="567"/>
        </w:tabs>
      </w:pPr>
      <w:r>
        <w:t xml:space="preserve">[10]</w:t>
        <w:tab/>
        <w:t xml:space="preserve"/>
      </w:r>
      <w:r>
        <w:t xml:space="preserve">D. Lopez-Paz and M. Oquab, “Revisiting Classifier Two-Sample Tests,” in </w:t>
      </w:r>
      <w:r>
        <w:rPr>
          <w:i/>
          <w:iCs/>
        </w:rPr>
        <w:t xml:space="preserve">5th International Conference on Learning Representations</w:t>
      </w:r>
      <w:r>
        <w:t xml:space="preserve">, 2017</w:t>
      </w:r>
      <w:r>
        <w:t xml:space="preserve">. [Online]. Available: </w:t>
      </w:r>
      <w:hyperlink r:id="rIdL32" w:history="1">
        <w:r>
          <w:rPr>
            <w:color w:val="1F3B73"/>
          </w:rPr>
          <w:t xml:space="preserve">https://arxiv.org/abs/1610.06545</w:t>
        </w:r>
      </w:hyperlink>
      <w:r>
        <w:t xml:space="preserve"> (accessed Oct. 21, 2026).</w:t>
      </w:r>
    </w:p>
    <w:p>
      <w:pPr>
        <w:pStyle w:val="Reference"/>
        <w:tabs>
          <w:tab w:val="left" w:pos="567"/>
        </w:tabs>
      </w:pPr>
      <w:r>
        <w:t xml:space="preserve">[11]</w:t>
        <w:tab/>
        <w:t xml:space="preserve"/>
      </w:r>
      <w:r>
        <w:t xml:space="preserve">Z. C. Lipton, Y.-X. Wang, and A. J. Smola, “Detecting and Correcting for Label Shift with Black Box Predictors,” in </w:t>
      </w:r>
      <w:r>
        <w:rPr>
          <w:i/>
          <w:iCs/>
        </w:rPr>
        <w:t xml:space="preserve">Proceedings of the 35th International Conference on Machine Learning</w:t>
      </w:r>
      <w:r>
        <w:t xml:space="preserve">, 2018, pp. 3122–3130</w:t>
      </w:r>
      <w:r>
        <w:t xml:space="preserve">. [Online]. Available: </w:t>
      </w:r>
      <w:hyperlink r:id="rIdL33" w:history="1">
        <w:r>
          <w:rPr>
            <w:color w:val="1F3B73"/>
          </w:rPr>
          <w:t xml:space="preserve">https://proceedings.mlr.press/v80/lipton18a.html</w:t>
        </w:r>
      </w:hyperlink>
      <w:r>
        <w:t xml:space="preserve"> (accessed Oct. 21, 2026).</w:t>
      </w:r>
    </w:p>
    <w:p>
      <w:pPr>
        <w:pStyle w:val="Reference"/>
        <w:tabs>
          <w:tab w:val="left" w:pos="567"/>
        </w:tabs>
      </w:pPr>
      <w:r>
        <w:t xml:space="preserve">[12]</w:t>
        <w:tab/>
        <w:t xml:space="preserve"/>
      </w:r>
      <w:r>
        <w:t xml:space="preserve">J. Kivimäki, J. Białek, W. Kuberski, and J. K. Nurminen, “Performance Estimation in Binary Classification Using Calibrated Confidence,” </w:t>
      </w:r>
      <w:r>
        <w:rPr>
          <w:i/>
          <w:iCs/>
        </w:rPr>
        <w:t xml:space="preserve">Machine Learning</w:t>
      </w:r>
      <w:r>
        <w:t xml:space="preserve">, vol. 115, no. 3, Art. no. 67, 2026</w:t>
      </w:r>
      <w:r>
        <w:t xml:space="preserve">, doi: </w:t>
      </w:r>
      <w:hyperlink r:id="rIdL34" w:history="1">
        <w:r>
          <w:rPr>
            <w:color w:val="1F3B73"/>
          </w:rPr>
          <w:t xml:space="preserve">10.1007/s10994-025-06970-3</w:t>
        </w:r>
      </w:hyperlink>
      <w:r>
        <w:t xml:space="preserve">.</w:t>
      </w:r>
    </w:p>
    <w:p>
      <w:pPr>
        <w:pStyle w:val="Reference"/>
        <w:tabs>
          <w:tab w:val="left" w:pos="567"/>
        </w:tabs>
      </w:pPr>
      <w:r>
        <w:t xml:space="preserve">[13]</w:t>
        <w:tab/>
        <w:t xml:space="preserve"/>
      </w:r>
      <w:r>
        <w:t xml:space="preserve">NannyML, “Confidence-Based Performance Estimation (CBPE),” 2023</w:t>
      </w:r>
      <w:r>
        <w:t xml:space="preserve">.</w:t>
      </w:r>
    </w:p>
    <w:p>
      <w:pPr>
        <w:pStyle w:val="Reference"/>
        <w:tabs>
          <w:tab w:val="left" w:pos="567"/>
        </w:tabs>
      </w:pPr>
      <w:r>
        <w:t xml:space="preserve">[14]</w:t>
        <w:tab/>
        <w:t xml:space="preserve"/>
      </w:r>
      <w:r>
        <w:t xml:space="preserve">J. Klaise, A. Van Looveren, C. Cox, G. Vacanti, and A. Coca, “Monitoring and Explainability of Models in Production,” in </w:t>
      </w:r>
      <w:r>
        <w:rPr>
          <w:i/>
          <w:iCs/>
        </w:rPr>
        <w:t xml:space="preserve">ICML Workshop on Challenges in Deploying and Monitoring Machine Learning Systems</w:t>
      </w:r>
      <w:r>
        <w:t xml:space="preserve">, 2020</w:t>
      </w:r>
      <w:r>
        <w:t xml:space="preserve">.</w:t>
      </w:r>
    </w:p>
    <w:p>
      <w:pPr>
        <w:pStyle w:val="Reference"/>
        <w:tabs>
          <w:tab w:val="left" w:pos="567"/>
        </w:tabs>
      </w:pPr>
      <w:r>
        <w:t xml:space="preserve">[15]</w:t>
        <w:tab/>
        <w:t xml:space="preserve"/>
      </w:r>
      <w:r>
        <w:t xml:space="preserve">F. Maia Polo, R. Izbicki, E. G. Lacerda, J. P. Ibieta-Jimenez, and R. Vicente, “A Unified Framework for Dataset Shift Diagnostics,” </w:t>
      </w:r>
      <w:r>
        <w:rPr>
          <w:i/>
          <w:iCs/>
        </w:rPr>
        <w:t xml:space="preserve">Information Sciences</w:t>
      </w:r>
      <w:r>
        <w:t xml:space="preserve">, vol. 649, Art. no. 119612, 2023</w:t>
      </w:r>
      <w:r>
        <w:t xml:space="preserve">, doi: </w:t>
      </w:r>
      <w:hyperlink r:id="rIdL35" w:history="1">
        <w:r>
          <w:rPr>
            <w:color w:val="1F3B73"/>
          </w:rPr>
          <w:t xml:space="preserve">10.1016/j.ins.2023.119612</w:t>
        </w:r>
      </w:hyperlink>
      <w:r>
        <w:t xml:space="preserve">.</w:t>
      </w:r>
    </w:p>
    <w:p>
      <w:pPr>
        <w:pStyle w:val="Reference"/>
        <w:tabs>
          <w:tab w:val="left" w:pos="567"/>
        </w:tabs>
      </w:pPr>
      <w:r>
        <w:t xml:space="preserve">[16]</w:t>
        <w:tab/>
        <w:t xml:space="preserve"/>
      </w:r>
      <w:r>
        <w:t xml:space="preserve">Y. Ovadia et al., “Can You Trust Your Model's Uncertainty? Evaluating Predictive Uncertainty under Dataset Shift,” in </w:t>
      </w:r>
      <w:r>
        <w:rPr>
          <w:i/>
          <w:iCs/>
        </w:rPr>
        <w:t xml:space="preserve">Advances in Neural Information Processing Systems 32</w:t>
      </w:r>
      <w:r>
        <w:t xml:space="preserve">, 2019, pp. 13991–14002</w:t>
      </w:r>
      <w:r>
        <w:t xml:space="preserve">. [Online]. Available: </w:t>
      </w:r>
      <w:hyperlink r:id="rIdL36" w:history="1">
        <w:r>
          <w:rPr>
            <w:color w:val="1F3B73"/>
          </w:rPr>
          <w:t xml:space="preserve">https://proceedings.neurips.cc/paper_files/paper/2019/hash/8558cb408c1d76621371888657d2eb1d-Abstract.html</w:t>
        </w:r>
      </w:hyperlink>
      <w:r>
        <w:t xml:space="preserve"> (accessed Oct. 21, 2026).</w:t>
      </w:r>
    </w:p>
    <w:p>
      <w:pPr>
        <w:pStyle w:val="Reference"/>
        <w:tabs>
          <w:tab w:val="left" w:pos="567"/>
        </w:tabs>
      </w:pPr>
      <w:r>
        <w:t xml:space="preserve">[17]</w:t>
        <w:tab/>
        <w:t xml:space="preserve"/>
      </w:r>
      <w:r>
        <w:t xml:space="preserve">United Nations General Assembly, “Transforming our world: the 2030 Agenda for Sustainable Development, Resolution A/RES/70/1,” 2015</w:t>
      </w:r>
      <w:r>
        <w:t xml:space="preserve">. [Online]. Available: </w:t>
      </w:r>
      <w:hyperlink r:id="rIdL37" w:history="1">
        <w:r>
          <w:rPr>
            <w:color w:val="1F3B73"/>
          </w:rPr>
          <w:t xml:space="preserve">https://sdgs.un.org/2030agenda</w:t>
        </w:r>
      </w:hyperlink>
      <w:r>
        <w:t xml:space="preserve"> (accessed Oct. 30, 2026).</w:t>
      </w:r>
    </w:p>
    <w:p>
      <w:pPr>
        <w:pStyle w:val="Reference"/>
        <w:tabs>
          <w:tab w:val="left" w:pos="567"/>
        </w:tabs>
      </w:pPr>
      <w:r>
        <w:t xml:space="preserve">[18]</w:t>
        <w:tab/>
        <w:t xml:space="preserve"/>
      </w:r>
      <w:r>
        <w:t xml:space="preserve">J. Gama, Žliobait\.e, Indr\.e, A. Bifet, M. Pechenizkiy, and A. Bouchachia, “A Survey on Concept Drift Adaptation,” </w:t>
      </w:r>
      <w:r>
        <w:rPr>
          <w:i/>
          <w:iCs/>
        </w:rPr>
        <w:t xml:space="preserve">ACM Computing Surveys</w:t>
      </w:r>
      <w:r>
        <w:t xml:space="preserve">, vol. 46, no. 4, pp. 1–37, 2014</w:t>
      </w:r>
      <w:r>
        <w:t xml:space="preserve">, doi: </w:t>
      </w:r>
      <w:hyperlink r:id="rIdL38" w:history="1">
        <w:r>
          <w:rPr>
            <w:color w:val="1F3B73"/>
          </w:rPr>
          <w:t xml:space="preserve">10.1145/2523813</w:t>
        </w:r>
      </w:hyperlink>
      <w:r>
        <w:t xml:space="preserve">.</w:t>
      </w:r>
    </w:p>
    <w:p>
      <w:pPr>
        <w:pStyle w:val="Reference"/>
        <w:tabs>
          <w:tab w:val="left" w:pos="567"/>
        </w:tabs>
      </w:pPr>
      <w:r>
        <w:t xml:space="preserve">[19]</w:t>
        <w:tab/>
        <w:t xml:space="preserve"/>
      </w:r>
      <w:r>
        <w:t xml:space="preserve">J. Lu, A. Liu, F. Dong, F. Gu, J. Gama, and G. Zhang, “Learning under Concept Drift: A Review,” </w:t>
      </w:r>
      <w:r>
        <w:rPr>
          <w:i/>
          <w:iCs/>
        </w:rPr>
        <w:t xml:space="preserve">IEEE Transactions on Knowledge and Data Engineering</w:t>
      </w:r>
      <w:r>
        <w:t xml:space="preserve">, vol. 31, no. 12, pp. 2346–2363, 2019</w:t>
      </w:r>
      <w:r>
        <w:t xml:space="preserve">, doi: </w:t>
      </w:r>
      <w:hyperlink r:id="rIdL39" w:history="1">
        <w:r>
          <w:rPr>
            <w:color w:val="1F3B73"/>
          </w:rPr>
          <w:t xml:space="preserve">10.1109/TKDE.2018.2876857</w:t>
        </w:r>
      </w:hyperlink>
      <w:r>
        <w:t xml:space="preserve">.</w:t>
      </w:r>
    </w:p>
    <w:p>
      <w:pPr>
        <w:pStyle w:val="Reference"/>
        <w:tabs>
          <w:tab w:val="left" w:pos="567"/>
        </w:tabs>
      </w:pPr>
      <w:r>
        <w:t xml:space="preserve">[20]</w:t>
        <w:tab/>
        <w:t xml:space="preserve"/>
      </w:r>
      <w:r>
        <w:t xml:space="preserve">G. I. Webb, R. Hyde, H. Cao, H. L. Nguyen, and F. Petitjean, “Characterizing Concept Drift,” </w:t>
      </w:r>
      <w:r>
        <w:rPr>
          <w:i/>
          <w:iCs/>
        </w:rPr>
        <w:t xml:space="preserve">Data Mining and Knowledge Discovery</w:t>
      </w:r>
      <w:r>
        <w:t xml:space="preserve">, vol. 30, no. 4, pp. 964–994, 2016</w:t>
      </w:r>
      <w:r>
        <w:t xml:space="preserve">, doi: </w:t>
      </w:r>
      <w:hyperlink r:id="rIdL40" w:history="1">
        <w:r>
          <w:rPr>
            <w:color w:val="1F3B73"/>
          </w:rPr>
          <w:t xml:space="preserve">10.1007/s10618-015-0448-4</w:t>
        </w:r>
      </w:hyperlink>
      <w:r>
        <w:t xml:space="preserve">.</w:t>
      </w:r>
    </w:p>
    <w:p>
      <w:pPr>
        <w:pStyle w:val="Reference"/>
        <w:tabs>
          <w:tab w:val="left" w:pos="567"/>
        </w:tabs>
      </w:pPr>
      <w:r>
        <w:t xml:space="preserve">[21]</w:t>
        <w:tab/>
        <w:t xml:space="preserve"/>
      </w:r>
      <w:r>
        <w:t xml:space="preserve">M. Roschewitz, R. Mehta, C. Jones, and B. Glocker, “Automatic Dataset Shift Identification to Support Safe Deployment of Medical Imaging AI,” in </w:t>
      </w:r>
      <w:r>
        <w:rPr>
          <w:i/>
          <w:iCs/>
        </w:rPr>
        <w:t xml:space="preserve">Medical Image Computing and Computer Assisted Intervention – MICCAI 2025</w:t>
      </w:r>
      <w:r>
        <w:t xml:space="preserve">, 2025, pp. 67–76</w:t>
      </w:r>
      <w:r>
        <w:t xml:space="preserve">, doi: </w:t>
      </w:r>
      <w:hyperlink r:id="rIdL41" w:history="1">
        <w:r>
          <w:rPr>
            <w:color w:val="1F3B73"/>
          </w:rPr>
          <w:t xml:space="preserve">10.1007/978-3-032-04981-0_7</w:t>
        </w:r>
      </w:hyperlink>
      <w:r>
        <w:t xml:space="preserve">.</w:t>
      </w:r>
    </w:p>
    <w:p>
      <w:pPr>
        <w:pStyle w:val="Reference"/>
        <w:tabs>
          <w:tab w:val="left" w:pos="567"/>
        </w:tabs>
      </w:pPr>
      <w:r>
        <w:t xml:space="preserve">[22]</w:t>
        <w:tab/>
        <w:t xml:space="preserve"/>
      </w:r>
      <w:r>
        <w:t xml:space="preserve">D. Hendrycks and K. Gimpel, “A Baseline for Detecting Misclassified and Out-of-Distribution Examples in Neural Networks,” in </w:t>
      </w:r>
      <w:r>
        <w:rPr>
          <w:i/>
          <w:iCs/>
        </w:rPr>
        <w:t xml:space="preserve">5th International Conference on Learning Representations</w:t>
      </w:r>
      <w:r>
        <w:t xml:space="preserve">, 2017</w:t>
      </w:r>
      <w:r>
        <w:t xml:space="preserve">. [Online]. Available: </w:t>
      </w:r>
      <w:hyperlink r:id="rIdL42" w:history="1">
        <w:r>
          <w:rPr>
            <w:color w:val="1F3B73"/>
          </w:rPr>
          <w:t xml:space="preserve">https://arxiv.org/abs/1610.02136</w:t>
        </w:r>
      </w:hyperlink>
      <w:r>
        <w:t xml:space="preserve"> (accessed Oct. 21, 2026).</w:t>
      </w:r>
    </w:p>
    <w:p>
      <w:pPr>
        <w:pStyle w:val="Reference"/>
        <w:tabs>
          <w:tab w:val="left" w:pos="567"/>
        </w:tabs>
      </w:pPr>
      <w:r>
        <w:t xml:space="preserve">[23]</w:t>
        <w:tab/>
        <w:t xml:space="preserve"/>
      </w:r>
      <w:r>
        <w:t xml:space="preserve">D. Guillory, V. Shankar, S. Ebrahimi, T. Darrell, and L. Schmidt, “Predicting with Confidence on Unseen Distributions,” in </w:t>
      </w:r>
      <w:r>
        <w:rPr>
          <w:i/>
          <w:iCs/>
        </w:rPr>
        <w:t xml:space="preserve">2021 IEEE/CVF International Conference on Computer Vision</w:t>
      </w:r>
      <w:r>
        <w:t xml:space="preserve">, 2021, pp. 1114–1124</w:t>
      </w:r>
      <w:r>
        <w:t xml:space="preserve">, doi: </w:t>
      </w:r>
      <w:hyperlink r:id="rIdL43" w:history="1">
        <w:r>
          <w:rPr>
            <w:color w:val="1F3B73"/>
          </w:rPr>
          <w:t xml:space="preserve">10.1109/ICCV48922.2021.00117</w:t>
        </w:r>
      </w:hyperlink>
      <w:r>
        <w:t xml:space="preserve">.</w:t>
      </w:r>
    </w:p>
    <w:p>
      <w:pPr>
        <w:pStyle w:val="Reference"/>
        <w:tabs>
          <w:tab w:val="left" w:pos="567"/>
        </w:tabs>
      </w:pPr>
      <w:r>
        <w:t xml:space="preserve">[24]</w:t>
        <w:tab/>
        <w:t xml:space="preserve"/>
      </w:r>
      <w:r>
        <w:t xml:space="preserve">S. Garg, S. Balakrishnan, Z. C. Lipton, B. Neyshabur, and H. Sedghi, “Leveraging Unlabeled Data to Predict Out-of-Distribution Performance,” in </w:t>
      </w:r>
      <w:r>
        <w:rPr>
          <w:i/>
          <w:iCs/>
        </w:rPr>
        <w:t xml:space="preserve">The Tenth International Conference on Learning Representations</w:t>
      </w:r>
      <w:r>
        <w:t xml:space="preserve">, 2022</w:t>
      </w:r>
      <w:r>
        <w:t xml:space="preserve">. [Online]. Available: </w:t>
      </w:r>
      <w:hyperlink r:id="rIdL44" w:history="1">
        <w:r>
          <w:rPr>
            <w:color w:val="1F3B73"/>
          </w:rPr>
          <w:t xml:space="preserve">https://arxiv.org/abs/2201.04234</w:t>
        </w:r>
      </w:hyperlink>
      <w:r>
        <w:t xml:space="preserve"> (accessed Oct. 21, 2026).</w:t>
      </w:r>
    </w:p>
    <w:p>
      <w:pPr>
        <w:pStyle w:val="Reference"/>
        <w:tabs>
          <w:tab w:val="left" w:pos="567"/>
        </w:tabs>
      </w:pPr>
      <w:r>
        <w:t xml:space="preserve">[25]</w:t>
        <w:tab/>
        <w:t xml:space="preserve"/>
      </w:r>
      <w:r>
        <w:t xml:space="preserve">S. M. Lundberg and S.-I. Lee, “A Unified Approach to Interpreting Model Predictions,” in </w:t>
      </w:r>
      <w:r>
        <w:rPr>
          <w:i/>
          <w:iCs/>
        </w:rPr>
        <w:t xml:space="preserve">Advances in Neural Information Processing Systems 30</w:t>
      </w:r>
      <w:r>
        <w:t xml:space="preserve">, 2017, pp. 4765–4774</w:t>
      </w:r>
      <w:r>
        <w:t xml:space="preserve">. [Online]. Available: </w:t>
      </w:r>
      <w:hyperlink r:id="rIdL45" w:history="1">
        <w:r>
          <w:rPr>
            <w:color w:val="1F3B73"/>
          </w:rPr>
          <w:t xml:space="preserve">https://proceedings.neurips.cc/paper_files/paper/2017/hash/8a20a8621978632d76c43dfd28b67767-Abstract.html</w:t>
        </w:r>
      </w:hyperlink>
      <w:r>
        <w:t xml:space="preserve"> (accessed Oct. 21, 2026).</w:t>
      </w:r>
    </w:p>
    <w:p>
      <w:pPr>
        <w:pStyle w:val="Reference"/>
        <w:tabs>
          <w:tab w:val="left" w:pos="567"/>
        </w:tabs>
      </w:pPr>
      <w:r>
        <w:t xml:space="preserve">[26]</w:t>
        <w:tab/>
        <w:t xml:space="preserve"/>
      </w:r>
      <w:r>
        <w:t xml:space="preserve">F. Ding, M. Hardt, J. Miller, and L. Schmidt, “Retiring Adult: New Datasets for Fair Machine Learning,” in </w:t>
      </w:r>
      <w:r>
        <w:rPr>
          <w:i/>
          <w:iCs/>
        </w:rPr>
        <w:t xml:space="preserve">Advances in Neural Information Processing Systems 34</w:t>
      </w:r>
      <w:r>
        <w:t xml:space="preserve">, 2021, pp. 6478–6490</w:t>
      </w:r>
      <w:r>
        <w:t xml:space="preserve">. [Online]. Available: </w:t>
      </w:r>
      <w:hyperlink r:id="rIdL46" w:history="1">
        <w:r>
          <w:rPr>
            <w:color w:val="1F3B73"/>
          </w:rPr>
          <w:t xml:space="preserve">https://proceedings.neurips.cc/paper_files/paper/2021/hash/32e54441e6382a7fbacbbbaf3c450059-Abstract.html</w:t>
        </w:r>
      </w:hyperlink>
      <w:r>
        <w:t xml:space="preserve"> (accessed Oct. 21, 2026).</w:t>
      </w:r>
    </w:p>
    <w:p>
      <w:pPr>
        <w:pStyle w:val="Reference"/>
        <w:tabs>
          <w:tab w:val="left" w:pos="567"/>
        </w:tabs>
      </w:pPr>
      <w:r>
        <w:t xml:space="preserve">[27]</w:t>
        <w:tab/>
        <w:t xml:space="preserve"/>
      </w:r>
      <w:r>
        <w:t xml:space="preserve">Z. Lin, J. Shi, D. Pathak, and D. Ramanan, “The CLEAR Benchmark: Continual LEArning on Real-World Imagery,” in </w:t>
      </w:r>
      <w:r>
        <w:rPr>
          <w:i/>
          <w:iCs/>
        </w:rPr>
        <w:t xml:space="preserve">Proceedings of the Neural Information Processing Systems Track on Datasets and Benchmarks 1</w:t>
      </w:r>
      <w:r>
        <w:t xml:space="preserve">, 2021</w:t>
      </w:r>
      <w:r>
        <w:t xml:space="preserve">. [Online]. Available: </w:t>
      </w:r>
      <w:hyperlink r:id="rIdL47" w:history="1">
        <w:r>
          <w:rPr>
            <w:color w:val="1F3B73"/>
          </w:rPr>
          <w:t xml:space="preserve">https://datasets-benchmarks-proceedings.neurips.cc/paper/2021/hash/2838023a778dfaecdc212708f721b788-Abstract-round2.html</w:t>
        </w:r>
      </w:hyperlink>
      <w:r>
        <w:t xml:space="preserve"> (accessed Oct. 21, 2026).</w:t>
      </w:r>
    </w:p>
    <w:p>
      <w:pPr>
        <w:pStyle w:val="Reference"/>
        <w:tabs>
          <w:tab w:val="left" w:pos="567"/>
        </w:tabs>
      </w:pPr>
      <w:r>
        <w:t xml:space="preserve">[28]</w:t>
        <w:tab/>
        <w:t xml:space="preserve"/>
      </w:r>
      <w:r>
        <w:t xml:space="preserve">B. Zhou, A. Khosla, A. Lapedriza, A. Oliva, and A. Torralba, “Learning Deep Features for Discriminative Localization,” in </w:t>
      </w:r>
      <w:r>
        <w:rPr>
          <w:i/>
          <w:iCs/>
        </w:rPr>
        <w:t xml:space="preserve">2016 IEEE Conference on Computer Vision and Pattern Recognition</w:t>
      </w:r>
      <w:r>
        <w:t xml:space="preserve">, 2016, pp. 2921–2929</w:t>
      </w:r>
      <w:r>
        <w:t xml:space="preserve">, doi: </w:t>
      </w:r>
      <w:hyperlink r:id="rIdL48" w:history="1">
        <w:r>
          <w:rPr>
            <w:color w:val="1F3B73"/>
          </w:rPr>
          <w:t xml:space="preserve">10.1109/CVPR.2016.319</w:t>
        </w:r>
      </w:hyperlink>
      <w:r>
        <w:t xml:space="preserve">.</w:t>
      </w:r>
    </w:p>
    <w:p>
      <w:pPr>
        <w:pStyle w:val="Reference"/>
        <w:tabs>
          <w:tab w:val="left" w:pos="567"/>
        </w:tabs>
      </w:pPr>
      <w:r>
        <w:t xml:space="preserve">[29]</w:t>
        <w:tab/>
        <w:t xml:space="preserve"/>
      </w:r>
      <w:r>
        <w:t xml:space="preserve">F. T. Liu, K. M. Ting, and Z.-H. Zhou, “Isolation Forest,” in </w:t>
      </w:r>
      <w:r>
        <w:rPr>
          <w:i/>
          <w:iCs/>
        </w:rPr>
        <w:t xml:space="preserve">2008 Eighth IEEE International Conference on Data Mining</w:t>
      </w:r>
      <w:r>
        <w:t xml:space="preserve">, 2008, pp. 413–422</w:t>
      </w:r>
      <w:r>
        <w:t xml:space="preserve">, doi: </w:t>
      </w:r>
      <w:hyperlink r:id="rIdL49" w:history="1">
        <w:r>
          <w:rPr>
            <w:color w:val="1F3B73"/>
          </w:rPr>
          <w:t xml:space="preserve">10.1109/ICDM.2008.17</w:t>
        </w:r>
      </w:hyperlink>
      <w:r>
        <w:t xml:space="preserve">.</w:t>
      </w:r>
    </w:p>
    <w:p>
      <w:pPr>
        <w:pStyle w:val="Reference"/>
        <w:tabs>
          <w:tab w:val="left" w:pos="567"/>
        </w:tabs>
      </w:pPr>
      <w:r>
        <w:t xml:space="preserve">[30]</w:t>
        <w:tab/>
        <w:t xml:space="preserve"/>
      </w:r>
      <w:r>
        <w:t xml:space="preserve">P. W. Koh et al., “WILDS: a benchmark of in-the-wild distribution shifts,” in </w:t>
      </w:r>
      <w:r>
        <w:rPr>
          <w:i/>
          <w:iCs/>
        </w:rPr>
        <w:t xml:space="preserve">Proceedings of the 38th International Conference on Machine Learning</w:t>
      </w:r>
      <w:r>
        <w:t xml:space="preserve">, 2021, pp. 5637–5664</w:t>
      </w:r>
      <w:r>
        <w:t xml:space="preserve">.</w:t>
      </w:r>
    </w:p>
    <w:p>
      <w:pPr>
        <w:pStyle w:val="Reference"/>
        <w:tabs>
          <w:tab w:val="left" w:pos="567"/>
        </w:tabs>
      </w:pPr>
      <w:r>
        <w:t xml:space="preserve">[31]</w:t>
        <w:tab/>
        <w:t xml:space="preserve"/>
      </w:r>
      <w:r>
        <w:t xml:space="preserve">J. Gardner, Z. Popovic, and L. Schmidt, “Benchmarking distribution shift in tabular data with TableShift,” in </w:t>
      </w:r>
      <w:r>
        <w:rPr>
          <w:i/>
          <w:iCs/>
        </w:rPr>
        <w:t xml:space="preserve">Advances in Neural Information Processing Systems (Datasets and Benchmarks Track)</w:t>
      </w:r>
      <w:r>
        <w:t xml:space="preserve">, 2023</w:t>
      </w:r>
      <w:r>
        <w:t xml:space="preserve">.</w:t>
      </w:r>
    </w:p>
    <w:p>
      <w:pPr>
        <w:pStyle w:val="Reference"/>
        <w:tabs>
          <w:tab w:val="left" w:pos="567"/>
        </w:tabs>
      </w:pPr>
      <w:r>
        <w:t xml:space="preserve">[32]</w:t>
        <w:tab/>
        <w:t xml:space="preserve"/>
      </w:r>
      <w:r>
        <w:t xml:space="preserve">J. Liu, T. Wang, P. Cui, and H. Namkoong, “On the need for a language describing distribution shifts: illustrations on tabular datasets,” in </w:t>
      </w:r>
      <w:r>
        <w:rPr>
          <w:i/>
          <w:iCs/>
        </w:rPr>
        <w:t xml:space="preserve">Advances in Neural Information Processing Systems (Datasets and Benchmarks Track)</w:t>
      </w:r>
      <w:r>
        <w:t xml:space="preserve">, 2023</w:t>
      </w:r>
      <w:r>
        <w:t xml:space="preserve">.</w:t>
      </w:r>
    </w:p>
    <w:p>
      <w:pPr>
        <w:pStyle w:val="Reference"/>
        <w:tabs>
          <w:tab w:val="left" w:pos="567"/>
        </w:tabs>
      </w:pPr>
      <w:r>
        <w:t xml:space="preserve">[33]</w:t>
        <w:tab/>
        <w:t xml:space="preserve"/>
      </w:r>
      <w:r>
        <w:t xml:space="preserve">E. A. Fly and T. McDaniel, “Real-time drift detection in machine learning systems and applications,” U.S. Patent 10 762 444 B2, Sep. 1, 2020</w:t>
      </w:r>
      <w:r>
        <w:t xml:space="preserve">. [Online]. Available: </w:t>
      </w:r>
      <w:hyperlink r:id="rIdL50" w:history="1">
        <w:r>
          <w:rPr>
            <w:color w:val="1F3B73"/>
          </w:rPr>
          <w:t xml:space="preserve">https://patents.google.com/patent/US10762444B2/en</w:t>
        </w:r>
      </w:hyperlink>
      <w:r>
        <w:t xml:space="preserve"> (accessed Oct. 30, 2026).</w:t>
      </w:r>
    </w:p>
    <w:p>
      <w:pPr>
        <w:pStyle w:val="Reference"/>
        <w:tabs>
          <w:tab w:val="left" w:pos="567"/>
        </w:tabs>
      </w:pPr>
      <w:r>
        <w:t xml:space="preserve">[34]</w:t>
        <w:tab/>
        <w:t xml:space="preserve"/>
      </w:r>
      <w:r>
        <w:t xml:space="preserve">K. E. Hines, J. P. Dickerson, K. Rao, R. Cheung, and R. M. E. Hyde, “Systems and methods for detecting drift between data used to train a machine learning model and data used to execute the machine learning model,” U.S. Patent 11 568 167 B2, Jan. 31, 2023</w:t>
      </w:r>
      <w:r>
        <w:t xml:space="preserve">. [Online]. Available: </w:t>
      </w:r>
      <w:hyperlink r:id="rIdL51" w:history="1">
        <w:r>
          <w:rPr>
            <w:color w:val="1F3B73"/>
          </w:rPr>
          <w:t xml:space="preserve">https://patents.google.com/patent/US11568167B2/en</w:t>
        </w:r>
      </w:hyperlink>
      <w:r>
        <w:t xml:space="preserve"> (accessed Oct. 30, 2026).</w:t>
      </w:r>
    </w:p>
    <w:p>
      <w:pPr>
        <w:pStyle w:val="Reference"/>
        <w:tabs>
          <w:tab w:val="left" w:pos="567"/>
        </w:tabs>
      </w:pPr>
      <w:r>
        <w:t xml:space="preserve">[35]</w:t>
        <w:tab/>
        <w:t xml:space="preserve"/>
      </w:r>
      <w:r>
        <w:t xml:space="preserve">V. K. Kolar, J.-P. Vasseur, G. Mermoud, and P.-A. Savalle, “Anomaly detection of model performance in an MLOps platform,” U.S. Patent 12 199 847 B2, Jan. 14, 2025</w:t>
      </w:r>
      <w:r>
        <w:t xml:space="preserve">. [Online]. Available: </w:t>
      </w:r>
      <w:hyperlink r:id="rIdL52" w:history="1">
        <w:r>
          <w:rPr>
            <w:color w:val="1F3B73"/>
          </w:rPr>
          <w:t xml:space="preserve">https://patents.google.com/patent/US12199847B2/en</w:t>
        </w:r>
      </w:hyperlink>
      <w:r>
        <w:t xml:space="preserve"> (accessed Oct. 30, 2026).</w:t>
      </w:r>
    </w:p>
    <w:p>
      <w:pPr>
        <w:pStyle w:val="Reference"/>
        <w:tabs>
          <w:tab w:val="left" w:pos="567"/>
        </w:tabs>
      </w:pPr>
      <w:r>
        <w:t xml:space="preserve">[36]</w:t>
        <w:tab/>
        <w:t xml:space="preserve"/>
      </w:r>
      <w:r>
        <w:t xml:space="preserve">U. K. Gosala, R. Prakash, G. Cherian, and R. Velega, “Systems and methods for detecting drift,” U.S. Patent 12 282 384 B2, Apr. 22, 2025</w:t>
      </w:r>
      <w:r>
        <w:t xml:space="preserve">. [Online]. Available: </w:t>
      </w:r>
      <w:hyperlink r:id="rIdL53" w:history="1">
        <w:r>
          <w:rPr>
            <w:color w:val="1F3B73"/>
          </w:rPr>
          <w:t xml:space="preserve">https://patents.google.com/patent/US20240303148A1/en</w:t>
        </w:r>
      </w:hyperlink>
      <w:r>
        <w:t xml:space="preserve"> (accessed Oct. 30, 2026).</w:t>
      </w:r>
    </w:p>
    <w:p>
      <w:pPr>
        <w:pStyle w:val="Reference"/>
        <w:tabs>
          <w:tab w:val="left" w:pos="567"/>
        </w:tabs>
      </w:pPr>
      <w:r>
        <w:t xml:space="preserve">[37]</w:t>
        <w:tab/>
        <w:t xml:space="preserve"/>
      </w:r>
      <w:r>
        <w:t xml:space="preserve">L. Kröger and E. Schwulera, “Drift detection for machine learning operations,” European Patent Appl. EP 4 459 516 A1, Nov. 6, 2024</w:t>
      </w:r>
      <w:r>
        <w:t xml:space="preserve">. [Online]. Available: </w:t>
      </w:r>
      <w:hyperlink r:id="rIdL54" w:history="1">
        <w:r>
          <w:rPr>
            <w:color w:val="1F3B73"/>
          </w:rPr>
          <w:t xml:space="preserve">https://patents.google.com/patent/EP4459516A1/en</w:t>
        </w:r>
      </w:hyperlink>
      <w:r>
        <w:t xml:space="preserve"> (accessed Oct. 30, 2026).</w:t>
      </w:r>
    </w:p>
    <w:p>
      <w:pPr>
        <w:pStyle w:val="Reference"/>
        <w:tabs>
          <w:tab w:val="left" w:pos="567"/>
        </w:tabs>
      </w:pPr>
      <w:r>
        <w:t xml:space="preserve">[38]</w:t>
        <w:tab/>
        <w:t xml:space="preserve"/>
      </w:r>
      <w:r>
        <w:t xml:space="preserve">Y. Zhang and W. Lin, “Real time detection, prediction and remediation of machine learning model drift in asset hierarchy based on time-series data,” European Patent Appl. EP 4 577 950 A1, Jul. 2, 2025</w:t>
      </w:r>
      <w:r>
        <w:t xml:space="preserve">. [Online]. Available: </w:t>
      </w:r>
      <w:hyperlink r:id="rIdL55" w:history="1">
        <w:r>
          <w:rPr>
            <w:color w:val="1F3B73"/>
          </w:rPr>
          <w:t xml:space="preserve">https://patents.google.com/patent/EP4577950A1/en</w:t>
        </w:r>
      </w:hyperlink>
      <w:r>
        <w:t xml:space="preserve"> (accessed Oct. 30, 2026).</w:t>
      </w:r>
    </w:p>
    <w:p>
      <w:pPr>
        <w:pStyle w:val="Reference"/>
        <w:tabs>
          <w:tab w:val="left" w:pos="567"/>
        </w:tabs>
      </w:pPr>
      <w:r>
        <w:t xml:space="preserve">[39]</w:t>
        <w:tab/>
        <w:t xml:space="preserve"/>
      </w:r>
      <w:r>
        <w:t xml:space="preserve">F. Pedregosa et al., “Scikit-learn: Machine Learning in Python,” </w:t>
      </w:r>
      <w:r>
        <w:rPr>
          <w:i/>
          <w:iCs/>
        </w:rPr>
        <w:t xml:space="preserve">Journal of Machine Learning Research</w:t>
      </w:r>
      <w:r>
        <w:t xml:space="preserve">, vol. 12, pp. 2825–2830, 2011</w:t>
      </w:r>
      <w:r>
        <w:t xml:space="preserve">. [Online]. Available: </w:t>
      </w:r>
      <w:hyperlink r:id="rIdL56" w:history="1">
        <w:r>
          <w:rPr>
            <w:color w:val="1F3B73"/>
          </w:rPr>
          <w:t xml:space="preserve">https://jmlr.org/papers/v12/pedregosa11a.html</w:t>
        </w:r>
      </w:hyperlink>
      <w:r>
        <w:t xml:space="preserve"> (accessed Oct. 21, 2026).</w:t>
      </w:r>
    </w:p>
    <w:p>
      <w:pPr>
        <w:pStyle w:val="Reference"/>
        <w:tabs>
          <w:tab w:val="left" w:pos="567"/>
        </w:tabs>
      </w:pPr>
      <w:r>
        <w:t xml:space="preserve">[40]</w:t>
        <w:tab/>
        <w:t xml:space="preserve"/>
      </w:r>
      <w:r>
        <w:t xml:space="preserve">P. Virtanen et al., “SciPy 1.0: Fundamental Algorithms for Scientific Computing in Python,” </w:t>
      </w:r>
      <w:r>
        <w:rPr>
          <w:i/>
          <w:iCs/>
        </w:rPr>
        <w:t xml:space="preserve">Nature Methods</w:t>
      </w:r>
      <w:r>
        <w:t xml:space="preserve">, vol. 17, pp. 261–272, 2020</w:t>
      </w:r>
      <w:r>
        <w:t xml:space="preserve">, doi: </w:t>
      </w:r>
      <w:hyperlink r:id="rIdL57" w:history="1">
        <w:r>
          <w:rPr>
            <w:color w:val="1F3B73"/>
          </w:rPr>
          <w:t xml:space="preserve">10.1038/s41592-019-0686-2</w:t>
        </w:r>
      </w:hyperlink>
      <w:r>
        <w:t xml:space="preserve">.</w:t>
      </w:r>
    </w:p>
    <w:p>
      <w:pPr>
        <w:pStyle w:val="Reference"/>
        <w:tabs>
          <w:tab w:val="left" w:pos="567"/>
        </w:tabs>
      </w:pPr>
      <w:r>
        <w:t xml:space="preserve">[41]</w:t>
        <w:tab/>
        <w:t xml:space="preserve"/>
      </w:r>
      <w:r>
        <w:t xml:space="preserve">C. R. Harris et al., “Array Programming with NumPy,” </w:t>
      </w:r>
      <w:r>
        <w:rPr>
          <w:i/>
          <w:iCs/>
        </w:rPr>
        <w:t xml:space="preserve">Nature</w:t>
      </w:r>
      <w:r>
        <w:t xml:space="preserve">, vol. 585, pp. 357–362, 2020</w:t>
      </w:r>
      <w:r>
        <w:t xml:space="preserve">, doi: </w:t>
      </w:r>
      <w:hyperlink r:id="rIdL58" w:history="1">
        <w:r>
          <w:rPr>
            <w:color w:val="1F3B73"/>
          </w:rPr>
          <w:t xml:space="preserve">10.1038/s41586-020-2649-2</w:t>
        </w:r>
      </w:hyperlink>
      <w:r>
        <w:t xml:space="preserve">.</w:t>
      </w:r>
    </w:p>
    <w:p>
      <w:pPr>
        <w:pStyle w:val="Reference"/>
        <w:tabs>
          <w:tab w:val="left" w:pos="567"/>
        </w:tabs>
      </w:pPr>
      <w:r>
        <w:t xml:space="preserve">[42]</w:t>
        <w:tab/>
        <w:t xml:space="preserve"/>
      </w:r>
      <w:r>
        <w:t xml:space="preserve">S. Holm, “A Simple Sequentially Rejective Multiple Test Procedure,” </w:t>
      </w:r>
      <w:r>
        <w:rPr>
          <w:i/>
          <w:iCs/>
        </w:rPr>
        <w:t xml:space="preserve">Scandinavian Journal of Statistics</w:t>
      </w:r>
      <w:r>
        <w:t xml:space="preserve">, vol. 6, no. 2, pp. 65–70, 1979</w:t>
      </w:r>
      <w:r>
        <w:t xml:space="preserve">. [Online]. Available: </w:t>
      </w:r>
      <w:hyperlink r:id="rIdL59" w:history="1">
        <w:r>
          <w:rPr>
            <w:color w:val="1F3B73"/>
          </w:rPr>
          <w:t xml:space="preserve">https://www.jstor.org/stable/4615733</w:t>
        </w:r>
      </w:hyperlink>
      <w:r>
        <w:t xml:space="preserve"> (accessed Oct. 21, 2026).</w:t>
      </w:r>
    </w:p>
    <w:p>
      <w:pPr>
        <w:pStyle w:val="Reference"/>
        <w:tabs>
          <w:tab w:val="left" w:pos="567"/>
        </w:tabs>
      </w:pPr>
      <w:r>
        <w:t xml:space="preserve">[43]</w:t>
        <w:tab/>
        <w:t xml:space="preserve"/>
      </w:r>
      <w:r>
        <w:t xml:space="preserve">G. Ke et al., “LightGBM: A Highly Efficient Gradient Boosting Decision Tree,” in </w:t>
      </w:r>
      <w:r>
        <w:rPr>
          <w:i/>
          <w:iCs/>
        </w:rPr>
        <w:t xml:space="preserve">Advances in Neural Information Processing Systems 30</w:t>
      </w:r>
      <w:r>
        <w:t xml:space="preserve">, 2017, pp. 3146–3154</w:t>
      </w:r>
      <w:r>
        <w:t xml:space="preserve">. [Online]. Available: </w:t>
      </w:r>
      <w:hyperlink r:id="rIdL60" w:history="1">
        <w:r>
          <w:rPr>
            <w:color w:val="1F3B73"/>
          </w:rPr>
          <w:t xml:space="preserve">https://proceedings.neurips.cc/paper_files/paper/2017/hash/6449f44a102fde848669bdd9eb6b76fa-Abstract.html</w:t>
        </w:r>
      </w:hyperlink>
      <w:r>
        <w:t xml:space="preserve"> (accessed Oct. 21, 2026).</w:t>
      </w:r>
    </w:p>
    <w:p>
      <w:pPr>
        <w:pStyle w:val="Reference"/>
        <w:tabs>
          <w:tab w:val="left" w:pos="567"/>
        </w:tabs>
      </w:pPr>
      <w:r>
        <w:t xml:space="preserve">[44]</w:t>
        <w:tab/>
        <w:t xml:space="preserve"/>
      </w:r>
      <w:r>
        <w:t xml:space="preserve">N. Siddiqi, </w:t>
      </w:r>
      <w:r>
        <w:rPr>
          <w:i/>
          <w:iCs/>
        </w:rPr>
        <w:t xml:space="preserve">Credit Risk Scorecards: Developing and Implementing Intelligent Credit Scoring</w:t>
      </w:r>
      <w:r>
        <w:t xml:space="preserve">. Hoboken, NJ, USA: Wiley, 2006</w:t>
      </w:r>
      <w:r>
        <w:t xml:space="preserve">, doi: </w:t>
      </w:r>
      <w:hyperlink r:id="rIdL61" w:history="1">
        <w:r>
          <w:rPr>
            <w:color w:val="1F3B73"/>
          </w:rPr>
          <w:t xml:space="preserve">10.1002/9781119201731</w:t>
        </w:r>
      </w:hyperlink>
      <w:r>
        <w:t xml:space="preserve">.</w:t>
      </w:r>
    </w:p>
    <w:p>
      <w:pPr>
        <w:pStyle w:val="Reference"/>
        <w:tabs>
          <w:tab w:val="left" w:pos="567"/>
        </w:tabs>
      </w:pPr>
      <w:r>
        <w:t xml:space="preserve">[45]</w:t>
        <w:tab/>
        <w:t xml:space="preserve"/>
      </w:r>
      <w:r>
        <w:t xml:space="preserve">B. Phipson and G. K. Smyth, “Permutation P-values Should Never Be Zero: Calculating Exact P-values When Permutations Are Randomly Drawn,” </w:t>
      </w:r>
      <w:r>
        <w:rPr>
          <w:i/>
          <w:iCs/>
        </w:rPr>
        <w:t xml:space="preserve">Statistical Applications in Genetics and Molecular Biology</w:t>
      </w:r>
      <w:r>
        <w:t xml:space="preserve">, vol. 9, no. 1, Art. no. 39, 2010</w:t>
      </w:r>
      <w:r>
        <w:t xml:space="preserve">, doi: </w:t>
      </w:r>
      <w:hyperlink r:id="rIdL62" w:history="1">
        <w:r>
          <w:rPr>
            <w:color w:val="1F3B73"/>
          </w:rPr>
          <w:t xml:space="preserve">10.2202/1544-6115.1585</w:t>
        </w:r>
      </w:hyperlink>
      <w:r>
        <w:t xml:space="preserve">.</w:t>
      </w:r>
    </w:p>
    <w:p>
      <w:pPr>
        <w:pStyle w:val="Reference"/>
        <w:tabs>
          <w:tab w:val="left" w:pos="567"/>
        </w:tabs>
      </w:pPr>
      <w:r>
        <w:t xml:space="preserve">[46]</w:t>
        <w:tab/>
        <w:t xml:space="preserve"/>
      </w:r>
      <w:r>
        <w:t xml:space="preserve">W. G. Cochran, “Some Methods for Strengthening the Common χ² Tests,” </w:t>
      </w:r>
      <w:r>
        <w:rPr>
          <w:i/>
          <w:iCs/>
        </w:rPr>
        <w:t xml:space="preserve">Biometrics</w:t>
      </w:r>
      <w:r>
        <w:t xml:space="preserve">, vol. 10, no. 4, pp. 417–451, 1954</w:t>
      </w:r>
      <w:r>
        <w:t xml:space="preserve">, doi: </w:t>
      </w:r>
      <w:hyperlink r:id="rIdL63" w:history="1">
        <w:r>
          <w:rPr>
            <w:color w:val="1F3B73"/>
          </w:rPr>
          <w:t xml:space="preserve">10.2307/3001616</w:t>
        </w:r>
      </w:hyperlink>
      <w:r>
        <w:t xml:space="preserve">.</w:t>
      </w:r>
    </w:p>
    <w:p>
      <w:pPr>
        <w:pStyle w:val="Reference"/>
        <w:tabs>
          <w:tab w:val="left" w:pos="567"/>
        </w:tabs>
      </w:pPr>
      <w:r>
        <w:t xml:space="preserve">[47]</w:t>
        <w:tab/>
        <w:t xml:space="preserve"/>
      </w:r>
      <w:r>
        <w:t xml:space="preserve">L. Kish, </w:t>
      </w:r>
      <w:r>
        <w:rPr>
          <w:i/>
          <w:iCs/>
        </w:rPr>
        <w:t xml:space="preserve">Survey Sampling</w:t>
      </w:r>
      <w:r>
        <w:t xml:space="preserve">. New York, NY, USA: Wiley, 1965</w:t>
      </w:r>
      <w:r>
        <w:t xml:space="preserve">.</w:t>
      </w:r>
    </w:p>
    <w:p>
      <w:pPr>
        <w:pStyle w:val="Reference"/>
        <w:tabs>
          <w:tab w:val="left" w:pos="567"/>
        </w:tabs>
      </w:pPr>
      <w:r>
        <w:t xml:space="preserve">[48]</w:t>
        <w:tab/>
        <w:t xml:space="preserve"/>
      </w:r>
      <w:r>
        <w:t xml:space="preserve">P. Peduzzi, J. Concato, E. Kemper, T. R. Holford, and A. R. Feinstein, “A Simulation Study of the Number of Events per Variable in Logistic Regression Analysis,” </w:t>
      </w:r>
      <w:r>
        <w:rPr>
          <w:i/>
          <w:iCs/>
        </w:rPr>
        <w:t xml:space="preserve">Journal of Clinical Epidemiology</w:t>
      </w:r>
      <w:r>
        <w:t xml:space="preserve">, vol. 49, no. 12, pp. 1373–1379, 1996</w:t>
      </w:r>
      <w:r>
        <w:t xml:space="preserve">, doi: </w:t>
      </w:r>
      <w:hyperlink r:id="rIdL64" w:history="1">
        <w:r>
          <w:rPr>
            <w:color w:val="1F3B73"/>
          </w:rPr>
          <w:t xml:space="preserve">10.1016/S0895-4356(96)00236-3</w:t>
        </w:r>
      </w:hyperlink>
      <w:r>
        <w:t xml:space="preserve">.</w:t>
      </w:r>
    </w:p>
    <w:p>
      <w:pPr>
        <w:pStyle w:val="Reference"/>
        <w:tabs>
          <w:tab w:val="left" w:pos="567"/>
        </w:tabs>
      </w:pPr>
      <w:r>
        <w:t xml:space="preserve">[49]</w:t>
        <w:tab/>
        <w:t xml:space="preserve"/>
      </w:r>
      <w:r>
        <w:t xml:space="preserve">C. Cortes, Y. Mansour, and M. Mohri, “Learning Bounds for Importance Weighting,” in </w:t>
      </w:r>
      <w:r>
        <w:rPr>
          <w:i/>
          <w:iCs/>
        </w:rPr>
        <w:t xml:space="preserve">Advances in Neural Information Processing Systems 23</w:t>
      </w:r>
      <w:r>
        <w:t xml:space="preserve">, 2010, pp. 442–450</w:t>
      </w:r>
      <w:r>
        <w:t xml:space="preserve">. [Online]. Available: </w:t>
      </w:r>
      <w:hyperlink r:id="rIdL65" w:history="1">
        <w:r>
          <w:rPr>
            <w:color w:val="1F3B73"/>
          </w:rPr>
          <w:t xml:space="preserve">https://proceedings.neurips.cc/paper_files/paper/2010/hash/59c33016884a62116be975a9bb8257e3-Abstract.html</w:t>
        </w:r>
      </w:hyperlink>
      <w:r>
        <w:t xml:space="preserve"> (accessed Oct. 21, 2026).</w:t>
      </w:r>
    </w:p>
    <w:p>
      <w:pPr>
        <w:pStyle w:val="Reference"/>
        <w:tabs>
          <w:tab w:val="left" w:pos="567"/>
        </w:tabs>
      </w:pPr>
      <w:r>
        <w:t xml:space="preserve">[50]</w:t>
        <w:tab/>
        <w:t xml:space="preserve"/>
      </w:r>
      <w:r>
        <w:t xml:space="preserve">H. Shimodaira, “Improving Predictive Inference under Covariate Shift by Weighting the Log-Likelihood Function,” </w:t>
      </w:r>
      <w:r>
        <w:rPr>
          <w:i/>
          <w:iCs/>
        </w:rPr>
        <w:t xml:space="preserve">Journal of Statistical Planning and Inference</w:t>
      </w:r>
      <w:r>
        <w:t xml:space="preserve">, vol. 90, no. 2, pp. 227–244, 2000</w:t>
      </w:r>
      <w:r>
        <w:t xml:space="preserve">, doi: </w:t>
      </w:r>
      <w:hyperlink r:id="rIdL66" w:history="1">
        <w:r>
          <w:rPr>
            <w:color w:val="1F3B73"/>
          </w:rPr>
          <w:t xml:space="preserve">10.1016/S0378-3758(00)00115-4</w:t>
        </w:r>
      </w:hyperlink>
      <w:r>
        <w:t xml:space="preserve">.</w:t>
      </w:r>
    </w:p>
    <w:p>
      <w:pPr>
        <w:pStyle w:val="Reference"/>
        <w:tabs>
          <w:tab w:val="left" w:pos="567"/>
        </w:tabs>
      </w:pPr>
      <w:r>
        <w:t xml:space="preserve">[51]</w:t>
        <w:tab/>
        <w:t xml:space="preserve"/>
      </w:r>
      <w:r>
        <w:t xml:space="preserve">M. Sugiyama, M. Krauledat, and K.-R. Müller, “Covariate Shift Adaptation by Importance Weighted Cross Validation,” </w:t>
      </w:r>
      <w:r>
        <w:rPr>
          <w:i/>
          <w:iCs/>
        </w:rPr>
        <w:t xml:space="preserve">Journal of Machine Learning Research</w:t>
      </w:r>
      <w:r>
        <w:t xml:space="preserve">, vol. 8, pp. 985–1005, 2007</w:t>
      </w:r>
      <w:r>
        <w:t xml:space="preserve">. [Online]. Available: </w:t>
      </w:r>
      <w:hyperlink r:id="rIdL67" w:history="1">
        <w:r>
          <w:rPr>
            <w:color w:val="1F3B73"/>
          </w:rPr>
          <w:t xml:space="preserve">https://jmlr.org/papers/v8/sugiyama07a.html</w:t>
        </w:r>
      </w:hyperlink>
      <w:r>
        <w:t xml:space="preserve"> (accessed Oct. 21, 2026).</w:t>
      </w:r>
    </w:p>
    <w:p>
      <w:pPr>
        <w:pStyle w:val="Reference"/>
        <w:tabs>
          <w:tab w:val="left" w:pos="567"/>
        </w:tabs>
      </w:pPr>
      <w:r>
        <w:t xml:space="preserve">[52]</w:t>
        <w:tab/>
        <w:t xml:space="preserve"/>
      </w:r>
      <w:r>
        <w:t xml:space="preserve">U.S. Census Bureau, “2020 ACS 1-Year Experimental Data Release,” 2021</w:t>
      </w:r>
      <w:r>
        <w:t xml:space="preserve">. [Online]. Available: </w:t>
      </w:r>
      <w:hyperlink r:id="rIdL68" w:history="1">
        <w:r>
          <w:rPr>
            <w:color w:val="1F3B73"/>
          </w:rPr>
          <w:t xml:space="preserve">https://www.census.gov/programs-surveys/acs/data/experimental-data.html</w:t>
        </w:r>
      </w:hyperlink>
      <w:r>
        <w:t xml:space="preserve"> (accessed Oct. 21, 2026).</w:t>
      </w:r>
    </w:p>
    <w:p>
      <w:pPr>
        <w:pStyle w:val="Reference"/>
        <w:tabs>
          <w:tab w:val="left" w:pos="567"/>
        </w:tabs>
      </w:pPr>
      <w:r>
        <w:t xml:space="preserve">[53]</w:t>
        <w:tab/>
        <w:t xml:space="preserve"/>
      </w:r>
      <w:r>
        <w:t xml:space="preserve">U.S. Census Bureau, “American Community Survey 2019 PUMS Data Dictionary,” 2020</w:t>
      </w:r>
      <w:r>
        <w:t xml:space="preserve">. [Online]. Available: </w:t>
      </w:r>
      <w:hyperlink r:id="rIdL69" w:history="1">
        <w:r>
          <w:rPr>
            <w:color w:val="1F3B73"/>
          </w:rPr>
          <w:t xml:space="preserve">https://www2.census.gov/programs-surveys/acs/tech_docs/pums/data_dict/PUMS_Data_Dictionary_2019.csv</w:t>
        </w:r>
      </w:hyperlink>
      <w:r>
        <w:t xml:space="preserve"> (accessed Oct. 21, 2026).</w:t>
      </w:r>
    </w:p>
    <w:p>
      <w:pPr>
        <w:pStyle w:val="Reference"/>
        <w:tabs>
          <w:tab w:val="left" w:pos="567"/>
        </w:tabs>
      </w:pPr>
      <w:r>
        <w:t xml:space="preserve">[54]</w:t>
        <w:tab/>
        <w:t xml:space="preserve"/>
      </w:r>
      <w:r>
        <w:t xml:space="preserve">J. B. Beckhusen, “Recent Changes in the Census Industry and Occupation Classification Systems,” U.S. Census Bureau, Tech. Rep. ACS-TP78, 2020</w:t>
      </w:r>
      <w:r>
        <w:t xml:space="preserve">. [Online]. Available: </w:t>
      </w:r>
      <w:hyperlink r:id="rIdL70" w:history="1">
        <w:r>
          <w:rPr>
            <w:color w:val="1F3B73"/>
          </w:rPr>
          <w:t xml:space="preserve">https://www.census.gov/library/publications/2020/demo/acs-tp78.html</w:t>
        </w:r>
      </w:hyperlink>
      <w:r>
        <w:t xml:space="preserve"> (accessed Oct. 21, 2026).</w:t>
      </w:r>
    </w:p>
    <w:p>
      <w:pPr>
        <w:pStyle w:val="Reference"/>
        <w:tabs>
          <w:tab w:val="left" w:pos="567"/>
        </w:tabs>
      </w:pPr>
      <w:r>
        <w:t xml:space="preserve">[55]</w:t>
        <w:tab/>
        <w:t xml:space="preserve"/>
      </w:r>
      <w:r>
        <w:t xml:space="preserve">U.S. Census Bureau, “Improvements to the Race Question (ACS User Note 2021-03),” 2021</w:t>
      </w:r>
      <w:r>
        <w:t xml:space="preserve">. [Online]. Available: </w:t>
      </w:r>
      <w:hyperlink r:id="rIdL71" w:history="1">
        <w:r>
          <w:rPr>
            <w:color w:val="1F3B73"/>
          </w:rPr>
          <w:t xml:space="preserve">https://www.census.gov/programs-surveys/acs/technical-documentation/user-notes/2021-03.html</w:t>
        </w:r>
      </w:hyperlink>
      <w:r>
        <w:t xml:space="preserve"> (accessed Oct. 21, 2026).</w:t>
      </w:r>
    </w:p>
    <w:p>
      <w:pPr>
        <w:pStyle w:val="Reference"/>
        <w:tabs>
          <w:tab w:val="left" w:pos="567"/>
        </w:tabs>
      </w:pPr>
      <w:r>
        <w:t xml:space="preserve">[56]</w:t>
        <w:tab/>
        <w:t xml:space="preserve"/>
      </w:r>
      <w:r>
        <w:t xml:space="preserve">A. Vergara, S. Vembu, T. Ayhan, M. A. Ryan, M. L. Homer, and R. Huerta, “Chemical Gas Sensor Drift Compensation Using Classifier Ensembles,” </w:t>
      </w:r>
      <w:r>
        <w:rPr>
          <w:i/>
          <w:iCs/>
        </w:rPr>
        <w:t xml:space="preserve">Sensors and Actuators B: Chemical</w:t>
      </w:r>
      <w:r>
        <w:t xml:space="preserve">, vol. 166--167, pp. 320–329, 2012</w:t>
      </w:r>
      <w:r>
        <w:t xml:space="preserve">, doi: </w:t>
      </w:r>
      <w:hyperlink r:id="rIdL72" w:history="1">
        <w:r>
          <w:rPr>
            <w:color w:val="1F3B73"/>
          </w:rPr>
          <w:t xml:space="preserve">10.1016/j.snb.2012.01.074</w:t>
        </w:r>
      </w:hyperlink>
      <w:r>
        <w:t xml:space="preserve">.</w:t>
      </w:r>
    </w:p>
    <w:p>
      <w:pPr>
        <w:pStyle w:val="Reference"/>
        <w:tabs>
          <w:tab w:val="left" w:pos="567"/>
        </w:tabs>
      </w:pPr>
      <w:r>
        <w:t xml:space="preserve">[57]</w:t>
        <w:tab/>
        <w:t xml:space="preserve"/>
      </w:r>
      <w:r>
        <w:t xml:space="preserve">I. Rodriguez-Lujan, J. Fonollosa, A. Vergara, M. Homer, and R. Huerta, “On the Calibration of Sensor Arrays for Pattern Recognition Using the Minimal Number of Experiments,” </w:t>
      </w:r>
      <w:r>
        <w:rPr>
          <w:i/>
          <w:iCs/>
        </w:rPr>
        <w:t xml:space="preserve">Chemometrics and Intelligent Laboratory Systems</w:t>
      </w:r>
      <w:r>
        <w:t xml:space="preserve">, vol. 130, pp. 123–134, 2014</w:t>
      </w:r>
      <w:r>
        <w:t xml:space="preserve">, doi: </w:t>
      </w:r>
      <w:hyperlink r:id="rIdL73" w:history="1">
        <w:r>
          <w:rPr>
            <w:color w:val="1F3B73"/>
          </w:rPr>
          <w:t xml:space="preserve">10.1016/j.chemolab.2013.10.012</w:t>
        </w:r>
      </w:hyperlink>
      <w:r>
        <w:t xml:space="preserve">.</w:t>
      </w:r>
    </w:p>
    <w:p>
      <w:pPr>
        <w:pStyle w:val="Reference"/>
        <w:tabs>
          <w:tab w:val="left" w:pos="567"/>
        </w:tabs>
      </w:pPr>
      <w:r>
        <w:t xml:space="preserve">[58]</w:t>
        <w:tab/>
        <w:t xml:space="preserve"/>
      </w:r>
      <w:r>
        <w:t xml:space="preserve">K. He, X. Zhang, S. Ren, and J. Sun, “Deep Residual Learning for Image Recognition,” in </w:t>
      </w:r>
      <w:r>
        <w:rPr>
          <w:i/>
          <w:iCs/>
        </w:rPr>
        <w:t xml:space="preserve">2016 IEEE Conference on Computer Vision and Pattern Recognition</w:t>
      </w:r>
      <w:r>
        <w:t xml:space="preserve">, 2016, pp. 770–778</w:t>
      </w:r>
      <w:r>
        <w:t xml:space="preserve">, doi: </w:t>
      </w:r>
      <w:hyperlink r:id="rIdL74" w:history="1">
        <w:r>
          <w:rPr>
            <w:color w:val="1F3B73"/>
          </w:rPr>
          <w:t xml:space="preserve">10.1109/CVPR.2016.90</w:t>
        </w:r>
      </w:hyperlink>
      <w:r>
        <w:t xml:space="preserve">.</w:t>
      </w:r>
    </w:p>
    <w:p>
      <w:pPr>
        <w:pStyle w:val="Reference"/>
        <w:tabs>
          <w:tab w:val="left" w:pos="567"/>
        </w:tabs>
      </w:pPr>
      <w:r>
        <w:t xml:space="preserve">[59]</w:t>
        <w:tab/>
        <w:t xml:space="preserve"/>
      </w:r>
      <w:r>
        <w:t xml:space="preserve">E. B. Wilson, “Probable Inference, the Law of Succession, and Statistical Inference,” </w:t>
      </w:r>
      <w:r>
        <w:rPr>
          <w:i/>
          <w:iCs/>
        </w:rPr>
        <w:t xml:space="preserve">Journal of the American Statistical Association</w:t>
      </w:r>
      <w:r>
        <w:t xml:space="preserve">, vol. 22, no. 158, pp. 209–212, 1927</w:t>
      </w:r>
      <w:r>
        <w:t xml:space="preserve">, doi: </w:t>
      </w:r>
      <w:hyperlink r:id="rIdL75" w:history="1">
        <w:r>
          <w:rPr>
            <w:color w:val="1F3B73"/>
          </w:rPr>
          <w:t xml:space="preserve">10.1080/01621459.1927.10502953</w:t>
        </w:r>
      </w:hyperlink>
      <w:r>
        <w:t xml:space="preserve">.</w:t>
      </w:r>
    </w:p>
    <w:p>
      <w:pPr>
        <w:pStyle w:val="Reference"/>
        <w:tabs>
          <w:tab w:val="left" w:pos="567"/>
        </w:tabs>
      </w:pPr>
      <w:r>
        <w:t xml:space="preserve">[60]</w:t>
        <w:tab/>
        <w:t xml:space="preserve"/>
      </w:r>
      <w:r>
        <w:t xml:space="preserve">Intel Corporation, “Intel Core i5 processor 14600K (24M cache, up to 5.30 GHz): product specifications,” 2023</w:t>
      </w:r>
      <w:r>
        <w:t xml:space="preserve">. [Online]. Available: </w:t>
      </w:r>
      <w:hyperlink r:id="rIdL76" w:history="1">
        <w:r>
          <w:rPr>
            <w:color w:val="1F3B73"/>
          </w:rPr>
          <w:t xml:space="preserve">https://www.intel.com/content/www/us/en/products/sku/236799/intel-core-i5-processor-14600k-24m-cache-up-to-5-30-ghz/specifications.html</w:t>
        </w:r>
      </w:hyperlink>
      <w:r>
        <w:t xml:space="preserve"> (accessed Oct. 30, 2026).</w:t>
      </w:r>
    </w:p>
    <w:p>
      <w:pPr>
        <w:pStyle w:val="Reference"/>
        <w:tabs>
          <w:tab w:val="left" w:pos="567"/>
        </w:tabs>
      </w:pPr>
      <w:r>
        <w:t xml:space="preserve">[61]</w:t>
        <w:tab/>
        <w:t xml:space="preserve"/>
      </w:r>
      <w:r>
        <w:t xml:space="preserve">Central Electricity Authority, “CO2 Baseline Database for the Indian Power Sector, User Guide Version 20.0, Table S,” 2024</w:t>
      </w:r>
      <w:r>
        <w:t xml:space="preserve">. [Online]. Available: </w:t>
      </w:r>
      <w:hyperlink r:id="rIdL77" w:history="1">
        <w:r>
          <w:rPr>
            <w:color w:val="1F3B73"/>
          </w:rPr>
          <w:t xml:space="preserve">https://cea.nic.in/cdm-co2-baseline-database/?lang=en</w:t>
        </w:r>
      </w:hyperlink>
      <w:r>
        <w:t xml:space="preserve"> (accessed Oct. 30, 2026).</w:t>
      </w:r>
    </w:p>
    <w:p>
      <w:pPr>
        <w:pStyle w:val="Heading1"/>
      </w:pPr>
      <w:r>
        <w:t xml:space="preserve">APPENDIX – I: PROJECT EVIDENCE AND SUPPORTING DOCUMENTS</w:t>
      </w:r>
    </w:p>
    <w:p>
      <w:pPr>
        <w:pStyle w:val="Normal"/>
      </w:pPr>
      <w:r>
        <w:t xml:space="preserve">This appendix collects the evidence that the department asks to be attached: publication and intellectual property records, competition certificates, the progress review sheets, supporting material and the video presentation. Items that are issued or signed by others are inserted as scans in the places marked below.</w:t>
      </w:r>
    </w:p>
    <w:p>
      <w:pPr>
        <w:pStyle w:val="Heading2"/>
      </w:pPr>
      <w:r>
        <w:t xml:space="preserve">A. IPR / Research Publication Evidence</w:t>
      </w:r>
    </w:p>
    <w:p>
      <w:pPr>
        <w:pStyle w:val="Normal"/>
      </w:pPr>
      <w:r>
        <w:t xml:space="preserve">The method and results of this project are described in a research paper written by the project team:</w:t>
      </w:r>
    </w:p>
    <w:p>
      <w:pPr>
        <w:pStyle w:val="Normal"/>
      </w:pPr>
      <w:r>
        <w:t xml:space="preserve">R. Guhagarkar, N. Cherian, A. Pal, A. Patre and S. Mirchandani, “Drift Detection, Diagnosis and Reliability Analysis for Deployed Machine Learning Models,” </w:t>
      </w:r>
      <w:r>
        <w:rPr>
          <w:highlight w:val="yellow"/>
        </w:rPr>
        <w:t xml:space="preserve">venue, submission date and status: submitted / accepted / presented</w:t>
      </w:r>
      <w:r>
        <w:t xml:space="preserve">.</w:t>
      </w:r>
    </w:p>
    <w:p>
      <w:pPr>
        <w:pStyle w:val="ListItem"/>
        <w:numPr>
          <w:ilvl w:val="0"/>
          <w:numId w:val="100"/>
        </w:numPr>
        <w:ind w:left="567" w:hanging="340"/>
      </w:pPr>
      <w:r>
        <w:t xml:space="preserve">Research paper submitted, accepted or presented, with full citation and status evidence: </w:t>
      </w:r>
      <w:r>
        <w:rPr>
          <w:highlight w:val="yellow"/>
        </w:rPr>
        <w:t xml:space="preserve">insert the submission or acceptance record</w:t>
      </w:r>
      <w:r>
        <w:t xml:space="preserve">.</w:t>
      </w:r>
    </w:p>
    <w:p>
      <w:pPr>
        <w:pStyle w:val="ListItem"/>
        <w:numPr>
          <w:ilvl w:val="0"/>
          <w:numId w:val="100"/>
        </w:numPr>
        <w:ind w:left="567" w:hanging="340"/>
      </w:pPr>
      <w:r>
        <w:t xml:space="preserve">Certificate of publication or presentation: </w:t>
      </w:r>
      <w:r>
        <w:rPr>
          <w:highlight w:val="yellow"/>
        </w:rPr>
        <w:t xml:space="preserve">insert if issued; otherwise write “Not yet issued”</w:t>
      </w:r>
      <w:r>
        <w:t xml:space="preserve">.</w:t>
      </w:r>
    </w:p>
    <w:p>
      <w:pPr>
        <w:pStyle w:val="ListItem"/>
        <w:numPr>
          <w:ilvl w:val="0"/>
          <w:numId w:val="100"/>
        </w:numPr>
        <w:ind w:left="567" w:hanging="340"/>
      </w:pPr>
      <w:r>
        <w:t xml:space="preserve">Patent or other IPR filing: no patent has been filed for this project. The patent search of Section </w:t>
      </w:r>
      <w:r>
        <w:t xml:space="preserve">2.3</w:t>
      </w:r>
      <w:r>
        <w:t xml:space="preserve"> found no granted or published patent that claims its drift type diagnosis.</w:t>
      </w:r>
    </w:p>
    <w:p>
      <w:pPr>
        <w:pStyle w:val="Heading2"/>
      </w:pPr>
      <w:r>
        <w:t xml:space="preserve">B. Project Competition / Award Certificates</w:t>
      </w:r>
    </w:p>
    <w:p>
      <w:pPr>
        <w:pStyle w:val="Normal"/>
      </w:pPr>
      <w:r>
        <w:rPr>
          <w:highlight w:val="yellow"/>
        </w:rPr>
        <w:t xml:space="preserve">Attach certificates for project competitions or awards, if any. If not applicable, write “Not applicable.”</w:t>
      </w:r>
    </w:p>
    <w:p>
      <w:pPr>
        <w:pStyle w:val="Heading2"/>
      </w:pPr>
      <w:r>
        <w:t xml:space="preserve">C. Progress Review Sheets</w:t>
      </w:r>
    </w:p>
    <w:p>
      <w:pPr>
        <w:pStyle w:val="Normal"/>
      </w:pPr>
      <w:r>
        <w:rPr>
          <w:highlight w:val="yellow"/>
        </w:rPr>
        <w:t xml:space="preserve">Attach Progress Review Sheet 1 and Progress Review Sheet 2 in the prescribed format.</w:t>
      </w:r>
    </w:p>
    <w:p>
      <w:pPr>
        <w:pStyle w:val="Heading2"/>
      </w:pPr>
      <w:r>
        <w:t xml:space="preserve">D. Additional Supporting Material</w:t>
      </w:r>
    </w:p>
    <w:p>
      <w:pPr>
        <w:pStyle w:val="Normal"/>
      </w:pPr>
      <w:r>
        <w:rPr>
          <w:b/>
          <w:bCs/>
        </w:rPr>
        <w:t xml:space="preserve">Plagiarism and AI-content detection reports.</w:t>
      </w:r>
      <w:r>
        <w:t xml:space="preserve"> </w:t>
      </w:r>
      <w:r>
        <w:rPr>
          <w:highlight w:val="yellow"/>
        </w:rPr>
        <w:t xml:space="preserve">Attach the plagiarism report and the AI-content detection report generated on the final text of this report.</w:t>
      </w:r>
    </w:p>
    <w:p>
      <w:pPr>
        <w:pStyle w:val="Normal"/>
      </w:pPr>
      <w:r>
        <w:rPr>
          <w:b/>
          <w:bCs/>
        </w:rPr>
        <w:t xml:space="preserve">Automated test run.</w:t>
      </w:r>
      <w:r>
        <w:t xml:space="preserve"> The test suite was run on 30 October 2026 with pytest 9.0.2 under Python 3.14.8: 113 tests passed in 49 seconds (94 unit, 13 integration and 6 smoke tests), with no failures. The full log is kept with the project files (evidence/pytest-2026-10-30.txt).</w:t>
      </w:r>
    </w:p>
    <w:p>
      <w:pPr>
        <w:pStyle w:val="Normal"/>
      </w:pPr>
      <w:r>
        <w:rPr>
          <w:b/>
          <w:bCs/>
        </w:rPr>
        <w:t xml:space="preserve">How to run the system.</w:t>
      </w:r>
      <w:r>
        <w:t xml:space="preserve"> From the root of the code repository, with Python 3.14 and the dependencies of pyproject.toml installed:</w:t>
      </w:r>
    </w:p>
    <w:p>
      <w:pPr>
        <w:pStyle w:val="AlgCaption"/>
      </w:pPr>
      <w:r>
        <w:rPr>
          <w:b/>
          <w:bCs/>
        </w:rPr>
        <w:t xml:space="preserve">Algorithm 8.1: </w:t>
      </w:r>
      <w:r>
        <w:t xml:space="preserve">Commands to reproduce the studies and open the dashboard</w:t>
      </w:r>
    </w:p>
    <w:p>
      <w:pPr>
        <w:pStyle w:val="Code"/>
        <w:keepNext/>
        <w:pBdr>
          <w:top w:val="single" w:sz="6" w:space="4" w:color="000000"/>
        </w:pBdr>
        <w:ind w:left="240"/>
      </w:pPr>
      <w:r>
        <w:rPr>
          <w:rFonts w:ascii="Courier New" w:hAnsi="Courier New" w:cs="Courier New"/>
        </w:rPr>
        <w:t xml:space="preserve">python examples/quickstart/folktables_demo.py –task income –model lr</w:t>
      </w:r>
    </w:p>
    <w:p>
      <w:pPr>
        <w:pStyle w:val="Code"/>
        <w:keepNext/>
        <w:ind w:left="240"/>
      </w:pPr>
      <w:r>
        <w:rPr>
          <w:rFonts w:ascii="Courier New" w:hAnsi="Courier New" w:cs="Courier New"/>
        </w:rPr>
        <w:t xml:space="preserve">python examples/quickstart/gas_drift_study.py –model lr</w:t>
      </w:r>
    </w:p>
    <w:p>
      <w:pPr>
        <w:pStyle w:val="Code"/>
        <w:keepNext/>
        <w:ind w:left="240"/>
      </w:pPr>
      <w:r>
        <w:rPr>
          <w:rFonts w:ascii="Courier New" w:hAnsi="Courier New" w:cs="Courier New"/>
        </w:rPr>
        <w:t xml:space="preserve">python examples/quickstart/clear10_drift_study.py –model lr</w:t>
      </w:r>
    </w:p>
    <w:p>
      <w:pPr>
        <w:pStyle w:val="Code"/>
        <w:keepNext/>
        <w:ind w:left="240"/>
      </w:pPr>
      <w:r>
        <w:rPr>
          <w:rFonts w:ascii="Courier New" w:hAnsi="Courier New" w:cs="Courier New"/>
        </w:rPr>
        <w:t xml:space="preserve">python examples/quickstart/drift_injection_benchmark.py –dataset acs_income –design A –model lr</w:t>
      </w:r>
    </w:p>
    <w:p>
      <w:pPr>
        <w:pStyle w:val="Code"/>
        <w:keepNext/>
        <w:ind w:left="240"/>
      </w:pPr>
      <w:r>
        <w:rPr>
          <w:rFonts w:ascii="Courier New" w:hAnsi="Courier New" w:cs="Courier New"/>
        </w:rPr>
        <w:t xml:space="preserve">python examples/quickstart/remediation_demo.py –model lr</w:t>
      </w:r>
    </w:p>
    <w:p>
      <w:pPr>
        <w:pStyle w:val="Code"/>
        <w:keepNext/>
        <w:ind w:left="240"/>
      </w:pPr>
      <w:r>
        <w:rPr>
          <w:rFonts w:ascii="Courier New" w:hAnsi="Courier New" w:cs="Courier New"/>
        </w:rPr>
        <w:t xml:space="preserve">python examples/quickstart/benchmark_summary.py</w:t>
      </w:r>
    </w:p>
    <w:p>
      <w:pPr>
        <w:pStyle w:val="Code"/>
        <w:keepNext/>
        <w:ind w:left="240"/>
      </w:pPr>
      <w:r>
        <w:rPr>
          <w:rFonts w:ascii="Courier New" w:hAnsi="Courier New" w:cs="Courier New"/>
        </w:rPr>
        <w:t xml:space="preserve">python examples/paper/build_artifacts.py</w:t>
      </w:r>
    </w:p>
    <w:p>
      <w:pPr>
        <w:pStyle w:val="Code"/>
        <w:pBdr>
          <w:bottom w:val="single" w:sz="6" w:space="4" w:color="000000"/>
        </w:pBdr>
        <w:ind w:left="240"/>
      </w:pPr>
      <w:r>
        <w:rPr>
          <w:rFonts w:ascii="Courier New" w:hAnsi="Courier New" w:cs="Courier New"/>
        </w:rPr>
        <w:t xml:space="preserve">streamlit run examples/dashboard/app.py –server.address 127.0.0.1</w:t>
      </w:r>
    </w:p>
    <w:p>
      <w:pPr>
        <w:spacing w:before="0" w:after="120" w:line="240" w:lineRule="auto"/>
      </w:pPr>
    </w:p>
    <w:p>
      <w:pPr>
        <w:pStyle w:val="Normal"/>
      </w:pPr>
      <w:r>
        <w:t xml:space="preserve">Each study writes its report to the outputs folder; the build script regenerates the result values, tables and figures; the last command opens the dashboard of Section </w:t>
      </w:r>
      <w:r>
        <w:t xml:space="preserve">7.1</w:t>
      </w:r>
      <w:r>
        <w:t xml:space="preserve"> in a browser on the local machine. Algorithm </w:t>
      </w:r>
      <w:r>
        <w:t xml:space="preserve">8.1</w:t>
      </w:r>
      <w:r>
        <w:t xml:space="preserve"> lists the commands for one model; the other model family is run with </w:t>
      </w:r>
      <w:r>
        <w:rPr>
          <w:rFonts w:ascii="Courier New" w:hAnsi="Courier New" w:cs="Courier New"/>
          <w:sz w:val="21"/>
          <w:szCs w:val="21"/>
        </w:rPr>
        <w:t xml:space="preserve">--model hgb</w:t>
      </w:r>
      <w:r>
        <w:t xml:space="preserve">.</w:t>
      </w:r>
    </w:p>
    <w:p>
      <w:pPr>
        <w:pStyle w:val="Heading2"/>
      </w:pPr>
      <w:r>
        <w:t xml:space="preserve">E. Video Presentation</w:t>
      </w:r>
    </w:p>
    <w:p>
      <w:pPr>
        <w:pStyle w:val="Normal"/>
      </w:pPr>
      <w:r>
        <w:rPr>
          <w:highlight w:val="yellow"/>
        </w:rPr>
        <w:t xml:space="preserve">Insert the video presentation folder link shared by the department and check that it opens for authorized reviewers.</w:t>
      </w:r>
    </w:p>
    <w:sectPr>
      <w:headerReference w:type="default" r:id="rId9"/>
      <w:footerReference w:type="default" r:id="rIdFtr"/>
      <w:pgSz w:w="12240" w:h="15840" w:orient="portrait"/>
      <w:pgMar w:top="1152" w:right="1440" w:bottom="1152" w:left="1440" w:header="720" w:footer="720" w:gutter="0"/>
      <w:pgNumType w:fmt="decimal"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Times New Roman"/>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4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Capstone Project–II Blackbook | Academic Year 2026–27</w:t>
    </w:r>
    <w:r w:rsidDel="00000000" w:rsidR="00000000" w:rsidRPr="00000000">
      <w:rPr>
        <w:rtl w:val="0"/>
      </w:rPr>
    </w:r>
  </w:p>
</w:ftr>
</file>

<file path=word/footer2.xml><?xml version="1.0" encoding="utf-8"?>
<w:ftr xmlns:w="http://schemas.openxmlformats.org/wordprocessingml/2006/main" xmlns:r="http://schemas.openxmlformats.org/officeDocument/2006/relationships">
  <w:p>
    <w:pPr>
      <w:pBdr>
        <w:top w:val="single" w:sz="4" w:space="4" w:color="808080"/>
      </w:pBdr>
      <w:tabs>
        <w:tab w:val="center" w:pos="4680"/>
        <w:tab w:val="right" w:pos="9360"/>
      </w:tabs>
      <w:spacing w:before="0" w:after="0" w:line="240" w:lineRule="auto"/>
      <w:jc w:val="left"/>
    </w:pPr>
    <w:r>
      <w:rPr>
        <w:rFonts w:ascii="Times New Roman" w:hAnsi="Times New Roman" w:cs="Times New Roman" w:eastAsia="Times New Roman"/>
        <w:i/>
        <w:sz w:val="18"/>
      </w:rPr>
      <w:tab/>
      <w:t xml:space="preserve">Capstone Project–II Blackbook | Academic Year 2026–27</w:t>
      <w:tab/>
    </w:r>
    <w:r>
      <w:rPr>
        <w:rFonts w:ascii="Times New Roman" w:hAnsi="Times New Roman" w:cs="Times New Roman" w:eastAsia="Times New Roman"/>
        <w:sz w:val="20"/>
      </w:rPr>
      <w:fldChar w:fldCharType="begin"/>
    </w:r>
    <w:r>
      <w:rPr>
        <w:rFonts w:ascii="Times New Roman" w:hAnsi="Times New Roman" w:cs="Times New Roman" w:eastAsia="Times New Roman"/>
        <w:sz w:val="20"/>
      </w:rPr>
      <w:instrText xml:space="preserve"> PAGE </w:instrText>
    </w:r>
    <w:r>
      <w:rPr>
        <w:rFonts w:ascii="Times New Roman" w:hAnsi="Times New Roman" w:cs="Times New Roman" w:eastAsia="Times New Roman"/>
        <w:sz w:val="20"/>
      </w:rPr>
      <w:fldChar w:fldCharType="separate"/>
    </w:r>
    <w:r>
      <w:rPr>
        <w:rFonts w:ascii="Times New Roman" w:hAnsi="Times New Roman" w:cs="Times New Roman" w:eastAsia="Times New Roman"/>
        <w:sz w:val="20"/>
      </w:rPr>
      <w:t>1</w:t>
    </w:r>
    <w:r>
      <w:rPr>
        <w:rFonts w:ascii="Times New Roman" w:hAnsi="Times New Roman" w:cs="Times New Roman" w:eastAsia="Times New Roman"/>
        <w:sz w:val="20"/>
      </w:rPr>
      <w:fldChar w:fldCharType="end"/>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4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VESIT | Department of Computer Engineering | Capstone Project–II | AY 2026–27</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5">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6">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7">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8">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0">
    <w:multiLevelType w:val="singleLevel"/>
    <w:lvl w:ilvl="0">
      <w:start w:val="1"/>
      <w:numFmt w:val="bullet"/>
      <w:lvlText w:val="•"/>
      <w:lvlJc w:val="left"/>
      <w:pPr>
        <w:ind w:left="567" w:hanging="340"/>
      </w:pPr>
      <w:rPr>
        <w:rFonts w:ascii="Times New Roman" w:hAnsi="Times New Roman" w:cs="Times New Roman" w:eastAsia="Times New Roman"/>
      </w:rPr>
    </w:lvl>
  </w:abstractNum>
  <w:abstractNum w:abstractNumId="101">
    <w:multiLevelType w:val="singleLevel"/>
    <w:lvl w:ilvl="0">
      <w:start w:val="1"/>
      <w:numFmt w:val="decimal"/>
      <w:lvlText w:val="%1."/>
      <w:lvlJc w:val="left"/>
      <w:pPr>
        <w:ind w:left="567" w:hanging="340"/>
      </w:pPr>
      <w:rPr>
        <w:rFonts w:ascii="Times New Roman" w:hAnsi="Times New Roman" w:cs="Times New Roman" w:eastAsia="Times New Roman"/>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100">
    <w:abstractNumId w:val="100"/>
  </w:num>
  <w:num w:numId="200">
    <w:abstractNumId w:val="101"/>
    <w:lvlOverride w:ilvl="0">
      <w:startOverride w:val="1"/>
    </w:lvlOverride>
  </w:num>
  <w:num w:numId="201">
    <w:abstractNumId w:val="101"/>
    <w:lvlOverride w:ilvl="0">
      <w:startOverride w:val="1"/>
    </w:lvlOverride>
  </w:num>
  <w:num w:numId="202">
    <w:abstractNumId w:val="10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after="200" w:line="36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b w:val="1"/>
      <w:bCs w:val="1"/>
      <w:color w:val="000000"/>
      <w:sz w:val="44"/>
      <w:szCs w:val="44"/>
    </w:rPr>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Borders>
        <w:top w:color="000000" w:space="0" w:sz="8" w:themeColor="text1" w:val="single"/>
        <w:bottom w:color="000000" w:space="0" w:sz="8" w:themeColor="text1" w:val="single"/>
      </w:tblBorders>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Borders>
        <w:top w:color="4f81bd" w:space="0" w:sz="8" w:themeColor="accent1" w:val="single"/>
        <w:bottom w:color="4f81bd" w:space="0" w:sz="8" w:themeColor="accent1" w:val="single"/>
      </w:tblBorders>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Borders>
        <w:top w:color="c0504d" w:space="0" w:sz="8" w:themeColor="accent2" w:val="single"/>
        <w:bottom w:color="c0504d" w:space="0" w:sz="8" w:themeColor="accent2" w:val="single"/>
      </w:tblBorders>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Borders>
        <w:top w:color="9bbb59" w:space="0" w:sz="8" w:themeColor="accent3" w:val="single"/>
        <w:bottom w:color="9bbb59" w:space="0" w:sz="8" w:themeColor="accent3" w:val="single"/>
      </w:tblBorders>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Borders>
        <w:top w:color="8064a2" w:space="0" w:sz="8" w:themeColor="accent4" w:val="single"/>
        <w:bottom w:color="8064a2" w:space="0" w:sz="8" w:themeColor="accent4" w:val="single"/>
      </w:tblBorders>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Borders>
        <w:top w:color="4bacc6" w:space="0" w:sz="8" w:themeColor="accent5" w:val="single"/>
        <w:bottom w:color="4bacc6" w:space="0" w:sz="8" w:themeColor="accent5" w:val="single"/>
      </w:tblBorders>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Borders>
        <w:top w:color="f79646" w:space="0" w:sz="8" w:themeColor="accent6" w:val="single"/>
        <w:bottom w:color="f79646" w:space="0" w:sz="8" w:themeColor="accent6" w:val="single"/>
      </w:tblBorders>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color="000000" w:space="0" w:sz="8" w:themeColor="text1" w:val="single"/>
        <w:bottom w:color="000000" w:space="0" w:sz="8" w:themeColor="text1" w:val="single"/>
      </w:tblBorders>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color="4f81bd" w:space="0" w:sz="8" w:themeColor="accent1" w:val="single"/>
        <w:bottom w:color="4f81bd" w:space="0" w:sz="8" w:themeColor="accent1" w:val="single"/>
      </w:tblBorders>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color="c0504d" w:space="0" w:sz="8" w:themeColor="accent2" w:val="single"/>
        <w:bottom w:color="c0504d" w:space="0" w:sz="8" w:themeColor="accent2" w:val="single"/>
      </w:tblBorders>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color="9bbb59" w:space="0" w:sz="8" w:themeColor="accent3" w:val="single"/>
        <w:bottom w:color="9bbb59" w:space="0" w:sz="8" w:themeColor="accent3" w:val="single"/>
      </w:tblBorders>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color="8064a2" w:space="0" w:sz="8" w:themeColor="accent4" w:val="single"/>
        <w:bottom w:color="8064a2" w:space="0" w:sz="8" w:themeColor="accent4" w:val="single"/>
      </w:tblBorders>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color="4bacc6" w:space="0" w:sz="8" w:themeColor="accent5" w:val="single"/>
        <w:bottom w:color="4bacc6" w:space="0" w:sz="8" w:themeColor="accent5" w:val="single"/>
      </w:tblBorders>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color="f79646" w:space="0" w:sz="8" w:themeColor="accent6" w:val="single"/>
        <w:bottom w:color="f79646" w:space="0" w:sz="8" w:themeColor="accent6" w:val="single"/>
      </w:tblBorders>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15.0" w:type="dxa"/>
        <w:left w:w="15.0" w:type="dxa"/>
        <w:bottom w:w="15.0" w:type="dxa"/>
        <w:right w:w="15.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paragraph" w:default="1" w:styleId="Normal">
    <w:name w:val="Normal"/>
    <w:qFormat/>
    <w:pPr>
      <w:widowControl/>
      <w:spacing w:before="0" w:after="120" w:line="360" w:lineRule="auto"/>
      <w:jc w:val="both"/>
    </w:pPr>
    <w:rPr>
      <w:rFonts w:ascii="Times New Roman" w:hAnsi="Times New Roman" w:cs="Times New Roman" w:eastAsia="Times New Roman"/>
      <w:color w:val="000000"/>
      <w:sz w:val="24"/>
      <w:szCs w:val="24"/>
      <w:lang w:val="en-US"/>
    </w:rPr>
  </w:style>
  <w:style w:type="paragraph" w:styleId="Heading1">
    <w:name w:val="heading 1"/>
    <w:basedOn w:val="Normal"/>
    <w:next w:val="Normal"/>
    <w:uiPriority w:val="9"/>
    <w:qFormat/>
    <w:pPr>
      <w:keepNext/>
      <w:keepLines/>
      <w:pageBreakBefore/>
      <w:spacing w:before="0" w:after="360" w:line="276" w:lineRule="auto"/>
      <w:jc w:val="left"/>
      <w:outlineLvl w:val="0"/>
    </w:pPr>
    <w:rPr>
      <w:rFonts w:ascii="Times New Roman" w:hAnsi="Times New Roman" w:cs="Times New Roman" w:eastAsia="Times New Roman"/>
      <w:b/>
      <w:bCs/>
      <w:color w:val="000000"/>
      <w:sz w:val="40"/>
      <w:szCs w:val="40"/>
    </w:rPr>
  </w:style>
  <w:style w:type="paragraph" w:styleId="Heading2">
    <w:name w:val="heading 2"/>
    <w:basedOn w:val="Normal"/>
    <w:next w:val="Normal"/>
    <w:uiPriority w:val="9"/>
    <w:qFormat/>
    <w:pPr>
      <w:keepNext/>
      <w:keepLines/>
      <w:spacing w:before="280" w:after="120" w:line="276" w:lineRule="auto"/>
      <w:jc w:val="left"/>
      <w:outlineLvl w:val="1"/>
    </w:pPr>
    <w:rPr>
      <w:rFonts w:ascii="Times New Roman" w:hAnsi="Times New Roman" w:cs="Times New Roman" w:eastAsia="Times New Roman"/>
      <w:b/>
      <w:bCs/>
      <w:color w:val="000000"/>
      <w:sz w:val="32"/>
      <w:szCs w:val="32"/>
    </w:rPr>
  </w:style>
  <w:style w:type="paragraph" w:styleId="Heading3">
    <w:name w:val="heading 3"/>
    <w:basedOn w:val="Normal"/>
    <w:next w:val="Normal"/>
    <w:uiPriority w:val="9"/>
    <w:qFormat/>
    <w:pPr>
      <w:keepNext/>
      <w:keepLines/>
      <w:spacing w:before="220" w:after="100" w:line="276" w:lineRule="auto"/>
      <w:jc w:val="left"/>
      <w:outlineLvl w:val="2"/>
    </w:pPr>
    <w:rPr>
      <w:rFonts w:ascii="Times New Roman" w:hAnsi="Times New Roman" w:cs="Times New Roman" w:eastAsia="Times New Roman"/>
      <w:b/>
      <w:bCs/>
      <w:color w:val="000000"/>
      <w:sz w:val="28"/>
      <w:szCs w:val="28"/>
    </w:rPr>
  </w:style>
  <w:style w:type="paragraph" w:styleId="Heading4">
    <w:name w:val="heading 4"/>
    <w:basedOn w:val="Normal"/>
    <w:next w:val="Normal"/>
    <w:uiPriority w:val="9"/>
    <w:qFormat/>
    <w:pPr>
      <w:keepNext/>
      <w:keepLines/>
      <w:spacing w:before="180" w:after="80" w:line="276" w:lineRule="auto"/>
      <w:jc w:val="left"/>
      <w:outlineLvl w:val="3"/>
    </w:pPr>
    <w:rPr>
      <w:rFonts w:ascii="Times New Roman" w:hAnsi="Times New Roman" w:cs="Times New Roman" w:eastAsia="Times New Roman"/>
      <w:b w:val="0"/>
      <w:bCs w:val="0"/>
      <w:color w:val="000000"/>
      <w:sz w:val="28"/>
      <w:szCs w:val="28"/>
    </w:rPr>
  </w:style>
  <w:style w:type="paragraph" w:styleId="TOC1">
    <w:name w:val="toc 1"/>
    <w:basedOn w:val="Normal"/>
    <w:next w:val="Normal"/>
    <w:uiPriority w:val="39"/>
    <w:pPr>
      <w:tabs>
        <w:tab w:val="right" w:leader="dot" w:pos="9360"/>
      </w:tabs>
      <w:spacing w:before="60" w:after="40" w:line="300" w:lineRule="auto"/>
      <w:ind w:left="0" w:right="400" w:hanging="0"/>
      <w:jc w:val="left"/>
    </w:pPr>
    <w:rPr>
      <w:rFonts w:ascii="Times New Roman" w:hAnsi="Times New Roman" w:cs="Times New Roman" w:eastAsia="Times New Roman"/>
      <w:b/>
      <w:bCs/>
      <w:sz w:val="24"/>
      <w:szCs w:val="24"/>
    </w:rPr>
  </w:style>
  <w:style w:type="paragraph" w:styleId="TOC2">
    <w:name w:val="toc 2"/>
    <w:basedOn w:val="Normal"/>
    <w:next w:val="Normal"/>
    <w:uiPriority w:val="39"/>
    <w:pPr>
      <w:tabs>
        <w:tab w:val="right" w:leader="dot" w:pos="9360"/>
      </w:tabs>
      <w:spacing w:before="0" w:after="40" w:line="300" w:lineRule="auto"/>
      <w:ind w:left="360" w:right="400" w:hanging="0"/>
      <w:jc w:val="left"/>
    </w:pPr>
    <w:rPr>
      <w:rFonts w:ascii="Times New Roman" w:hAnsi="Times New Roman" w:cs="Times New Roman" w:eastAsia="Times New Roman"/>
      <w:sz w:val="24"/>
      <w:szCs w:val="24"/>
    </w:rPr>
  </w:style>
  <w:style w:type="paragraph" w:styleId="TOC3">
    <w:name w:val="toc 3"/>
    <w:basedOn w:val="Normal"/>
    <w:next w:val="Normal"/>
    <w:uiPriority w:val="39"/>
    <w:pPr>
      <w:tabs>
        <w:tab w:val="right" w:leader="dot" w:pos="9360"/>
      </w:tabs>
      <w:spacing w:before="0" w:after="40" w:line="300" w:lineRule="auto"/>
      <w:ind w:left="720" w:right="400" w:hanging="0"/>
      <w:jc w:val="left"/>
    </w:pPr>
    <w:rPr>
      <w:rFonts w:ascii="Times New Roman" w:hAnsi="Times New Roman" w:cs="Times New Roman" w:eastAsia="Times New Roman"/>
      <w:sz w:val="24"/>
      <w:szCs w:val="24"/>
    </w:rPr>
  </w:style>
  <w:style w:type="paragraph" w:customStyle="1" w:styleId="Caption">
    <w:name w:val="caption"/>
    <w:basedOn w:val="Normal"/>
    <w:qFormat/>
    <w:pPr>
      <w:keepLines/>
      <w:spacing w:before="60" w:after="240" w:line="276" w:lineRule="auto"/>
      <w:jc w:val="center"/>
    </w:pPr>
    <w:rPr>
      <w:rFonts w:ascii="Times New Roman" w:hAnsi="Times New Roman" w:cs="Times New Roman" w:eastAsia="Times New Roman"/>
      <w:sz w:val="22"/>
      <w:szCs w:val="22"/>
    </w:rPr>
  </w:style>
  <w:style w:type="paragraph" w:customStyle="1" w:styleId="FigureCaption">
    <w:name w:val="Figure Caption"/>
    <w:basedOn w:val="Normal"/>
    <w:qFormat/>
    <w:pPr>
      <w:keepLines/>
      <w:spacing w:before="60" w:after="240" w:line="276" w:lineRule="auto"/>
      <w:jc w:val="center"/>
    </w:pPr>
    <w:rPr>
      <w:rFonts w:ascii="Times New Roman" w:hAnsi="Times New Roman" w:cs="Times New Roman" w:eastAsia="Times New Roman"/>
      <w:sz w:val="22"/>
      <w:szCs w:val="22"/>
    </w:rPr>
  </w:style>
  <w:style w:type="paragraph" w:customStyle="1" w:styleId="TableCaption">
    <w:name w:val="Table Caption"/>
    <w:basedOn w:val="Normal"/>
    <w:qFormat/>
    <w:pPr>
      <w:keepNext/>
      <w:keepLines/>
      <w:spacing w:before="200" w:after="100" w:line="276" w:lineRule="auto"/>
      <w:jc w:val="center"/>
    </w:pPr>
    <w:rPr>
      <w:rFonts w:ascii="Times New Roman" w:hAnsi="Times New Roman" w:cs="Times New Roman" w:eastAsia="Times New Roman"/>
      <w:sz w:val="22"/>
      <w:szCs w:val="22"/>
    </w:rPr>
  </w:style>
  <w:style w:type="paragraph" w:customStyle="1" w:styleId="AlgCaption">
    <w:name w:val="Algorithm Caption"/>
    <w:basedOn w:val="Normal"/>
    <w:qFormat/>
    <w:pPr>
      <w:keepNext/>
      <w:keepLines/>
      <w:spacing w:before="200" w:after="60" w:line="276" w:lineRule="auto"/>
      <w:jc w:val="left"/>
    </w:pPr>
    <w:rPr>
      <w:rFonts w:ascii="Times New Roman" w:hAnsi="Times New Roman" w:cs="Times New Roman" w:eastAsia="Times New Roman"/>
      <w:b/>
      <w:bCs/>
      <w:sz w:val="24"/>
      <w:szCs w:val="24"/>
    </w:rPr>
  </w:style>
  <w:style w:type="paragraph" w:customStyle="1" w:styleId="FigureBody">
    <w:name w:val="Figure"/>
    <w:basedOn w:val="Normal"/>
    <w:qFormat/>
    <w:pPr>
      <w:keepNext/>
      <w:spacing w:before="200" w:after="60" w:line="240" w:lineRule="auto"/>
      <w:jc w:val="center"/>
    </w:pPr>
    <w:rPr/>
  </w:style>
  <w:style w:type="paragraph" w:customStyle="1" w:styleId="TableText">
    <w:name w:val="Table Text"/>
    <w:basedOn w:val="Normal"/>
    <w:qFormat/>
    <w:pPr>
      <w:spacing w:before="0" w:after="0" w:line="240" w:lineRule="auto"/>
      <w:jc w:val="left"/>
    </w:pPr>
    <w:rPr>
      <w:rFonts w:ascii="Times New Roman" w:hAnsi="Times New Roman" w:cs="Times New Roman" w:eastAsia="Times New Roman"/>
      <w:sz w:val="20"/>
      <w:szCs w:val="20"/>
    </w:rPr>
  </w:style>
  <w:style w:type="paragraph" w:customStyle="1" w:styleId="Code">
    <w:name w:val="Pseudocode"/>
    <w:basedOn w:val="Normal"/>
    <w:qFormat/>
    <w:pPr>
      <w:keepLines/>
      <w:spacing w:before="0" w:after="0" w:line="240" w:lineRule="auto"/>
      <w:ind w:left="240"/>
      <w:jc w:val="left"/>
    </w:pPr>
    <w:rPr>
      <w:rFonts w:ascii="Courier New" w:hAnsi="Courier New" w:cs="Courier New"/>
      <w:sz w:val="19"/>
      <w:szCs w:val="19"/>
    </w:rPr>
  </w:style>
  <w:style w:type="paragraph" w:customStyle="1" w:styleId="ListItem">
    <w:name w:val="List Item"/>
    <w:basedOn w:val="Normal"/>
    <w:qFormat/>
    <w:pPr>
      <w:spacing w:before="0" w:after="60" w:line="360" w:lineRule="auto"/>
      <w:jc w:val="both"/>
    </w:pPr>
    <w:rPr/>
  </w:style>
  <w:style w:type="paragraph" w:customStyle="1" w:styleId="Equation">
    <w:name w:val="Equation"/>
    <w:basedOn w:val="Normal"/>
    <w:qFormat/>
    <w:pPr>
      <w:tabs>
        <w:tab w:val="center" w:pos="4680"/>
        <w:tab w:val="right" w:pos="9360"/>
      </w:tabs>
      <w:spacing w:before="120" w:after="120" w:line="276" w:lineRule="auto"/>
      <w:jc w:val="left"/>
    </w:pPr>
    <w:rPr/>
  </w:style>
  <w:style w:type="paragraph" w:customStyle="1" w:styleId="FrontTitle">
    <w:name w:val="Front Title"/>
    <w:basedOn w:val="Normal"/>
    <w:qFormat/>
    <w:pPr>
      <w:keepNext/>
      <w:spacing w:before="120" w:after="240" w:line="276" w:lineRule="auto"/>
      <w:jc w:val="center"/>
    </w:pPr>
    <w:rPr>
      <w:rFonts w:ascii="Times New Roman" w:hAnsi="Times New Roman" w:cs="Times New Roman" w:eastAsia="Times New Roman"/>
      <w:b/>
      <w:bCs/>
      <w:sz w:val="36"/>
      <w:szCs w:val="36"/>
    </w:rPr>
  </w:style>
  <w:style w:type="paragraph" w:customStyle="1" w:styleId="Center">
    <w:name w:val="Centered"/>
    <w:basedOn w:val="Normal"/>
    <w:qFormat/>
    <w:pPr>
      <w:spacing w:before="0" w:after="60" w:line="276" w:lineRule="auto"/>
      <w:jc w:val="center"/>
    </w:pPr>
    <w:rPr/>
  </w:style>
  <w:style w:type="paragraph" w:customStyle="1" w:styleId="Signature">
    <w:name w:val="Signature Line"/>
    <w:basedOn w:val="Normal"/>
    <w:qFormat/>
    <w:pPr>
      <w:spacing w:before="0" w:after="0" w:line="276" w:lineRule="auto"/>
      <w:jc w:val="left"/>
    </w:pPr>
    <w:rPr/>
  </w:style>
  <w:style w:type="paragraph" w:customStyle="1" w:styleId="Reference">
    <w:name w:val="Reference Item"/>
    <w:basedOn w:val="Normal"/>
    <w:qFormat/>
    <w:pPr>
      <w:spacing w:before="0" w:after="100" w:line="276" w:lineRule="auto"/>
      <w:ind w:left="567" w:hanging="567"/>
      <w:jc w:val="left"/>
    </w:pPr>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Logo" Type="http://schemas.openxmlformats.org/officeDocument/2006/relationships/image" Target="media/image1.png"/><Relationship Id="rIdFtr" Type="http://schemas.openxmlformats.org/officeDocument/2006/relationships/footer" Target="footer2.xml"/><Relationship Id="rIdI1" Type="http://schemas.openxmlformats.org/officeDocument/2006/relationships/image" Target="media/bb1.png"/><Relationship Id="rIdI2" Type="http://schemas.openxmlformats.org/officeDocument/2006/relationships/image" Target="media/bb2.png"/><Relationship Id="rIdI3" Type="http://schemas.openxmlformats.org/officeDocument/2006/relationships/image" Target="media/bb3.png"/><Relationship Id="rIdI4" Type="http://schemas.openxmlformats.org/officeDocument/2006/relationships/image" Target="media/bb4.png"/><Relationship Id="rIdI5" Type="http://schemas.openxmlformats.org/officeDocument/2006/relationships/image" Target="media/bb5.png"/><Relationship Id="rIdI6" Type="http://schemas.openxmlformats.org/officeDocument/2006/relationships/image" Target="media/bb6.png"/><Relationship Id="rIdI7" Type="http://schemas.openxmlformats.org/officeDocument/2006/relationships/image" Target="media/bb7.png"/><Relationship Id="rIdI8" Type="http://schemas.openxmlformats.org/officeDocument/2006/relationships/image" Target="media/bb8.png"/><Relationship Id="rIdI9" Type="http://schemas.openxmlformats.org/officeDocument/2006/relationships/image" Target="media/bb9.png"/><Relationship Id="rIdI10" Type="http://schemas.openxmlformats.org/officeDocument/2006/relationships/image" Target="media/bb10.png"/><Relationship Id="rIdI11" Type="http://schemas.openxmlformats.org/officeDocument/2006/relationships/image" Target="media/bb11.png"/><Relationship Id="rIdI12" Type="http://schemas.openxmlformats.org/officeDocument/2006/relationships/image" Target="media/bb12.png"/><Relationship Id="rIdI13" Type="http://schemas.openxmlformats.org/officeDocument/2006/relationships/image" Target="media/bb13.png"/><Relationship Id="rIdI14" Type="http://schemas.openxmlformats.org/officeDocument/2006/relationships/image" Target="media/bb14.png"/><Relationship Id="rIdI15" Type="http://schemas.openxmlformats.org/officeDocument/2006/relationships/image" Target="media/bb15.png"/><Relationship Id="rIdI16" Type="http://schemas.openxmlformats.org/officeDocument/2006/relationships/image" Target="media/bb16.png"/><Relationship Id="rIdI17" Type="http://schemas.openxmlformats.org/officeDocument/2006/relationships/image" Target="media/bb17.png"/><Relationship Id="rIdI18" Type="http://schemas.openxmlformats.org/officeDocument/2006/relationships/image" Target="media/bb18.png"/><Relationship Id="rIdI19" Type="http://schemas.openxmlformats.org/officeDocument/2006/relationships/image" Target="media/bb19.png"/><Relationship Id="rIdI20" Type="http://schemas.openxmlformats.org/officeDocument/2006/relationships/image" Target="media/bb20.png"/><Relationship Id="rIdI21" Type="http://schemas.openxmlformats.org/officeDocument/2006/relationships/image" Target="media/bb21.png"/><Relationship Id="rIdI22" Type="http://schemas.openxmlformats.org/officeDocument/2006/relationships/image" Target="media/bb22.png"/><Relationship Id="rIdI23" Type="http://schemas.openxmlformats.org/officeDocument/2006/relationships/image" Target="media/bb23.png"/><Relationship Id="rIdI24" Type="http://schemas.openxmlformats.org/officeDocument/2006/relationships/image" Target="media/bb24.png"/><Relationship Id="rIdI25" Type="http://schemas.openxmlformats.org/officeDocument/2006/relationships/image" Target="media/bb25.png"/><Relationship Id="rIdL26" Type="http://schemas.openxmlformats.org/officeDocument/2006/relationships/hyperlink" Target="https://doi.org/10.1016/j.patcog.2011.06.019" TargetMode="External"/><Relationship Id="rIdL27" Type="http://schemas.openxmlformats.org/officeDocument/2006/relationships/hyperlink" Target="https://proceedings.neurips.cc/paper_files/paper/2019/hash/846c260d715e5b854ffad5f70a516c88-Abstract.html" TargetMode="External"/><Relationship Id="rIdL28" Type="http://schemas.openxmlformats.org/officeDocument/2006/relationships/hyperlink" Target="https://doi.org/10.1145/3533378" TargetMode="External"/><Relationship Id="rIdL29" Type="http://schemas.openxmlformats.org/officeDocument/2006/relationships/hyperlink" Target="https://doi.org/10.1007/978-3-540-28645-5_29" TargetMode="External"/><Relationship Id="rIdL30" Type="http://schemas.openxmlformats.org/officeDocument/2006/relationships/hyperlink" Target="https://doi.org/10.1137/1.9781611972771.42" TargetMode="External"/><Relationship Id="rIdL31" Type="http://schemas.openxmlformats.org/officeDocument/2006/relationships/hyperlink" Target="https://jmlr.org/papers/v13/gretton12a.html" TargetMode="External"/><Relationship Id="rIdL32" Type="http://schemas.openxmlformats.org/officeDocument/2006/relationships/hyperlink" Target="https://arxiv.org/abs/1610.06545" TargetMode="External"/><Relationship Id="rIdL33" Type="http://schemas.openxmlformats.org/officeDocument/2006/relationships/hyperlink" Target="https://proceedings.mlr.press/v80/lipton18a.html" TargetMode="External"/><Relationship Id="rIdL34" Type="http://schemas.openxmlformats.org/officeDocument/2006/relationships/hyperlink" Target="https://doi.org/10.1007/s10994-025-06970-3" TargetMode="External"/><Relationship Id="rIdL35" Type="http://schemas.openxmlformats.org/officeDocument/2006/relationships/hyperlink" Target="https://doi.org/10.1016/j.ins.2023.119612" TargetMode="External"/><Relationship Id="rIdL36" Type="http://schemas.openxmlformats.org/officeDocument/2006/relationships/hyperlink" Target="https://proceedings.neurips.cc/paper_files/paper/2019/hash/8558cb408c1d76621371888657d2eb1d-Abstract.html" TargetMode="External"/><Relationship Id="rIdL37" Type="http://schemas.openxmlformats.org/officeDocument/2006/relationships/hyperlink" Target="https://sdgs.un.org/2030agenda" TargetMode="External"/><Relationship Id="rIdL38" Type="http://schemas.openxmlformats.org/officeDocument/2006/relationships/hyperlink" Target="https://doi.org/10.1145/2523813" TargetMode="External"/><Relationship Id="rIdL39" Type="http://schemas.openxmlformats.org/officeDocument/2006/relationships/hyperlink" Target="https://doi.org/10.1109/TKDE.2018.2876857" TargetMode="External"/><Relationship Id="rIdL40" Type="http://schemas.openxmlformats.org/officeDocument/2006/relationships/hyperlink" Target="https://doi.org/10.1007/s10618-015-0448-4" TargetMode="External"/><Relationship Id="rIdL41" Type="http://schemas.openxmlformats.org/officeDocument/2006/relationships/hyperlink" Target="https://doi.org/10.1007/978-3-032-04981-0_7" TargetMode="External"/><Relationship Id="rIdL42" Type="http://schemas.openxmlformats.org/officeDocument/2006/relationships/hyperlink" Target="https://arxiv.org/abs/1610.02136" TargetMode="External"/><Relationship Id="rIdL43" Type="http://schemas.openxmlformats.org/officeDocument/2006/relationships/hyperlink" Target="https://doi.org/10.1109/ICCV48922.2021.00117" TargetMode="External"/><Relationship Id="rIdL44" Type="http://schemas.openxmlformats.org/officeDocument/2006/relationships/hyperlink" Target="https://arxiv.org/abs/2201.04234" TargetMode="External"/><Relationship Id="rIdL45" Type="http://schemas.openxmlformats.org/officeDocument/2006/relationships/hyperlink" Target="https://proceedings.neurips.cc/paper_files/paper/2017/hash/8a20a8621978632d76c43dfd28b67767-Abstract.html" TargetMode="External"/><Relationship Id="rIdL46" Type="http://schemas.openxmlformats.org/officeDocument/2006/relationships/hyperlink" Target="https://proceedings.neurips.cc/paper_files/paper/2021/hash/32e54441e6382a7fbacbbbaf3c450059-Abstract.html" TargetMode="External"/><Relationship Id="rIdL47" Type="http://schemas.openxmlformats.org/officeDocument/2006/relationships/hyperlink" Target="https://datasets-benchmarks-proceedings.neurips.cc/paper/2021/hash/2838023a778dfaecdc212708f721b788-Abstract-round2.html" TargetMode="External"/><Relationship Id="rIdL48" Type="http://schemas.openxmlformats.org/officeDocument/2006/relationships/hyperlink" Target="https://doi.org/10.1109/CVPR.2016.319" TargetMode="External"/><Relationship Id="rIdL49" Type="http://schemas.openxmlformats.org/officeDocument/2006/relationships/hyperlink" Target="https://doi.org/10.1109/ICDM.2008.17" TargetMode="External"/><Relationship Id="rIdL50" Type="http://schemas.openxmlformats.org/officeDocument/2006/relationships/hyperlink" Target="https://patents.google.com/patent/US10762444B2/en" TargetMode="External"/><Relationship Id="rIdL51" Type="http://schemas.openxmlformats.org/officeDocument/2006/relationships/hyperlink" Target="https://patents.google.com/patent/US11568167B2/en" TargetMode="External"/><Relationship Id="rIdL52" Type="http://schemas.openxmlformats.org/officeDocument/2006/relationships/hyperlink" Target="https://patents.google.com/patent/US12199847B2/en" TargetMode="External"/><Relationship Id="rIdL53" Type="http://schemas.openxmlformats.org/officeDocument/2006/relationships/hyperlink" Target="https://patents.google.com/patent/US20240303148A1/en" TargetMode="External"/><Relationship Id="rIdL54" Type="http://schemas.openxmlformats.org/officeDocument/2006/relationships/hyperlink" Target="https://patents.google.com/patent/EP4459516A1/en" TargetMode="External"/><Relationship Id="rIdL55" Type="http://schemas.openxmlformats.org/officeDocument/2006/relationships/hyperlink" Target="https://patents.google.com/patent/EP4577950A1/en" TargetMode="External"/><Relationship Id="rIdL56" Type="http://schemas.openxmlformats.org/officeDocument/2006/relationships/hyperlink" Target="https://jmlr.org/papers/v12/pedregosa11a.html" TargetMode="External"/><Relationship Id="rIdL57" Type="http://schemas.openxmlformats.org/officeDocument/2006/relationships/hyperlink" Target="https://doi.org/10.1038/s41592-019-0686-2" TargetMode="External"/><Relationship Id="rIdL58" Type="http://schemas.openxmlformats.org/officeDocument/2006/relationships/hyperlink" Target="https://doi.org/10.1038/s41586-020-2649-2" TargetMode="External"/><Relationship Id="rIdL59" Type="http://schemas.openxmlformats.org/officeDocument/2006/relationships/hyperlink" Target="https://www.jstor.org/stable/4615733" TargetMode="External"/><Relationship Id="rIdL60" Type="http://schemas.openxmlformats.org/officeDocument/2006/relationships/hyperlink" Target="https://proceedings.neurips.cc/paper_files/paper/2017/hash/6449f44a102fde848669bdd9eb6b76fa-Abstract.html" TargetMode="External"/><Relationship Id="rIdL61" Type="http://schemas.openxmlformats.org/officeDocument/2006/relationships/hyperlink" Target="https://doi.org/10.1002/9781119201731" TargetMode="External"/><Relationship Id="rIdL62" Type="http://schemas.openxmlformats.org/officeDocument/2006/relationships/hyperlink" Target="https://doi.org/10.2202/1544-6115.1585" TargetMode="External"/><Relationship Id="rIdL63" Type="http://schemas.openxmlformats.org/officeDocument/2006/relationships/hyperlink" Target="https://doi.org/10.2307/3001616" TargetMode="External"/><Relationship Id="rIdL64" Type="http://schemas.openxmlformats.org/officeDocument/2006/relationships/hyperlink" Target="https://doi.org/10.1016/S0895-4356(96)00236-3" TargetMode="External"/><Relationship Id="rIdL65" Type="http://schemas.openxmlformats.org/officeDocument/2006/relationships/hyperlink" Target="https://proceedings.neurips.cc/paper_files/paper/2010/hash/59c33016884a62116be975a9bb8257e3-Abstract.html" TargetMode="External"/><Relationship Id="rIdL66" Type="http://schemas.openxmlformats.org/officeDocument/2006/relationships/hyperlink" Target="https://doi.org/10.1016/S0378-3758(00)00115-4" TargetMode="External"/><Relationship Id="rIdL67" Type="http://schemas.openxmlformats.org/officeDocument/2006/relationships/hyperlink" Target="https://jmlr.org/papers/v8/sugiyama07a.html" TargetMode="External"/><Relationship Id="rIdL68" Type="http://schemas.openxmlformats.org/officeDocument/2006/relationships/hyperlink" Target="https://www.census.gov/programs-surveys/acs/data/experimental-data.html" TargetMode="External"/><Relationship Id="rIdL69" Type="http://schemas.openxmlformats.org/officeDocument/2006/relationships/hyperlink" Target="https://www2.census.gov/programs-surveys/acs/tech_docs/pums/data_dict/PUMS_Data_Dictionary_2019.csv" TargetMode="External"/><Relationship Id="rIdL70" Type="http://schemas.openxmlformats.org/officeDocument/2006/relationships/hyperlink" Target="https://www.census.gov/library/publications/2020/demo/acs-tp78.html" TargetMode="External"/><Relationship Id="rIdL71" Type="http://schemas.openxmlformats.org/officeDocument/2006/relationships/hyperlink" Target="https://www.census.gov/programs-surveys/acs/technical-documentation/user-notes/2021-03.html" TargetMode="External"/><Relationship Id="rIdL72" Type="http://schemas.openxmlformats.org/officeDocument/2006/relationships/hyperlink" Target="https://doi.org/10.1016/j.snb.2012.01.074" TargetMode="External"/><Relationship Id="rIdL73" Type="http://schemas.openxmlformats.org/officeDocument/2006/relationships/hyperlink" Target="https://doi.org/10.1016/j.chemolab.2013.10.012" TargetMode="External"/><Relationship Id="rIdL74" Type="http://schemas.openxmlformats.org/officeDocument/2006/relationships/hyperlink" Target="https://doi.org/10.1109/CVPR.2016.90" TargetMode="External"/><Relationship Id="rIdL75" Type="http://schemas.openxmlformats.org/officeDocument/2006/relationships/hyperlink" Target="https://doi.org/10.1080/01621459.1927.10502953" TargetMode="External"/><Relationship Id="rIdL76" Type="http://schemas.openxmlformats.org/officeDocument/2006/relationships/hyperlink" Target="https://www.intel.com/content/www/us/en/products/sku/236799/intel-core-i5-processor-14600k-24m-cache-up-to-5-30-ghz/specifications.html" TargetMode="External"/><Relationship Id="rIdL77" Type="http://schemas.openxmlformats.org/officeDocument/2006/relationships/hyperlink" Target="https://cea.nic.in/cdm-co2-baseline-database/?lang=en"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l1lXWfS8cuV//k5Lmhvd5NpCgZg==">CgMxLjAyDmgudGppeXI2d2cyY3NmMg5oLnFmbTB4ZGxmOG5vNDIOaC50ODNtaGRhc3FzbjgyDmguNGdubmJtNnJtaG1mMg5oLjFpZjQ4YmJhdGZiazIOaC41c3UxeXpzZmFrdDYyDmguY3NzNDUwcTJnYTJkMg5oLjVqODlpbmRmc2lqczIOaC5ucW5nZzFpeWR6YWY4AHIhMWNEUWJCdDVzSHdkOHRuQ19rcXZGSXhZcDN4UW1LMzZa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ResilientAI: Drift Detection and Diagnosis System</dc:title>
  <dc:subject>Capstone Project II report, Group 39</dc:subject>
  <dc:creator>Rahul Guhagarkar; Nathan Cherian; Alok Pal; Akul Patre</dc:creator>
  <cp:lastModifiedBy>Rahul Guhagarkar</cp:lastModifiedBy>
  <cp:revision>1</cp:revision>
  <dcterms:created xsi:type="dcterms:W3CDTF">2026-10-29T20:01:47Z</dcterms:created>
  <dcterms:modified xsi:type="dcterms:W3CDTF">2026-10-29T20:01:47Z</dcterms:modified>
</cp:coreProperties>
</file>