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PPTitle"/>
        <w:rPr>
          <w:b/>
          <w:bCs/>
        </w:rPr>
      </w:pPr>
      <w:r>
        <w:rPr>
          <w:b/>
          <w:bCs/>
        </w:rPr>
        <w:t xml:space="preserve">Drift Detection, Diagnosis and Reliability Analysis for Deployed Machine Learning Models</w:t>
      </w:r>
    </w:p>
    <w:p>
      <w:pPr>
        <w:pStyle w:val="PPAuthors"/>
      </w:pPr>
      <w:r>
        <w:t xml:space="preserve">Sanjay Mirchandani</w:t>
      </w:r>
      <w:r>
        <w:rPr>
          <w:vertAlign w:val="superscript"/>
        </w:rPr>
        <w:t xml:space="preserve">1*</w:t>
      </w:r>
      <w:r>
        <w:t xml:space="preserve">, Nathan Cherian</w:t>
      </w:r>
      <w:r>
        <w:rPr>
          <w:vertAlign w:val="superscript"/>
        </w:rPr>
        <w:t xml:space="preserve">1</w:t>
      </w:r>
      <w:r>
        <w:t xml:space="preserve">, Rahul Guhagarkar</w:t>
      </w:r>
      <w:r>
        <w:rPr>
          <w:vertAlign w:val="superscript"/>
        </w:rPr>
        <w:t xml:space="preserve">1</w:t>
      </w:r>
      <w:r>
        <w:t xml:space="preserve">, Alok Pal</w:t>
      </w:r>
      <w:r>
        <w:rPr>
          <w:vertAlign w:val="superscript"/>
        </w:rPr>
        <w:t xml:space="preserve">1</w:t>
      </w:r>
      <w:r>
        <w:t xml:space="preserve">, Akul Patre</w:t>
      </w:r>
      <w:r>
        <w:rPr>
          <w:vertAlign w:val="superscript"/>
        </w:rPr>
        <w:t xml:space="preserve">1</w:t>
      </w:r>
    </w:p>
    <w:p>
      <w:pPr>
        <w:pStyle w:val="PPAffiliation"/>
      </w:pPr>
      <w:r>
        <w:rPr>
          <w:vertAlign w:val="superscript"/>
        </w:rPr>
        <w:t xml:space="preserve">1</w:t>
      </w:r>
      <w:r>
        <w:rPr>
          <w:vertAlign w:val="superscript"/>
        </w:rPr>
        <w:tab/>
      </w:r>
      <w:r>
        <w:t xml:space="preserve">Department of Computer Engineering, Vivekanand Education Society's Institute of Technology, Hashu Advani Memorial Complex, Collector's Colony, Chembur, Mumbai 400074, India</w:t>
      </w:r>
    </w:p>
    <w:p>
      <w:pPr>
        <w:pStyle w:val="PPAffiliation"/>
        <w:spacing w:after="80"/>
      </w:pPr>
      <w:r>
        <w:rPr>
          <w:b/>
          <w:vertAlign w:val="superscript"/>
        </w:rPr>
        <w:t xml:space="preserve">*</w:t>
      </w:r>
      <w:r>
        <w:rPr>
          <w:b/>
          <w:vertAlign w:val="superscript"/>
        </w:rPr>
        <w:tab/>
      </w:r>
      <w:r>
        <w:t xml:space="preserve">Corresponding author, e-mail: </w:t>
      </w:r>
      <w:hyperlink r:id="rIdL1" w:history="1">
        <w:r>
          <w:rPr>
            <w:color w:val="275B9B"/>
          </w:rPr>
          <w:t xml:space="preserve">sanjay.mirchandani@ves.ac.in</w:t>
        </w:r>
      </w:hyperlink>
    </w:p>
    <w:p>
      <w:pPr>
        <w:pStyle w:val="PPAbstractandKeywords"/>
      </w:pPr>
      <w:r>
        <w:rPr>
          <w:b/>
        </w:rPr>
        <w:t xml:space="preserve">Abstract</w:t>
      </w:r>
    </w:p>
    <w:p>
      <w:pPr>
        <w:pStyle w:val="PPAbstractandKeywords"/>
      </w:pPr>
      <w:r>
        <w:t xml:space="preserve">A drift alarm reports that production data have changed. The appropriate response, however, depends on the type of change, which current monitoring tools rarely identify: covariate shift calls for reweighting, prior shift for recalibration and concept drift for new labels, while label noise points to the labeling process rather than to the model. We present an open monitoring pipeline that detects drift, estimates its cost in accuracy without labels, locates the shifted features, names the drift type, scores the reliability of individual predictions and advises whether a cheap retrain will help. Its core is a procedure that names the four drift types with a stated error rate. Established label-free tests separate covariate shift from prior shift, while a new test on a few hundred late labels separates concept drift from label noise by asking whether the errors have changed beyond what the model’s confidence explains. On injected drift in two census tasks and two model families, the procedure identifies the type in 85.7 to 94.3% of windows and outperforms rules used in monitoring practice. A learned classifier does better on the drift it was trained on but reaches only 31.1 to 51.2% on held-out drift mechanisms, where our tests retain 62.4 to 81.5%. On four real datasets with documented changes, the pipeline reported no drift on any control window and traced the known events.</w:t>
      </w:r>
    </w:p>
    <w:p>
      <w:pPr>
        <w:pStyle w:val="PPAbstractandKeywords"/>
        <w:rPr>
          <w:b/>
        </w:rPr>
      </w:pPr>
      <w:r>
        <w:rPr>
          <w:b/>
        </w:rPr>
        <w:t xml:space="preserve">Keywords</w:t>
      </w:r>
    </w:p>
    <w:p>
      <w:pPr>
        <w:pStyle w:val="PPAbstractandKeywords"/>
        <w:spacing w:after="360"/>
      </w:pPr>
      <w:r>
        <w:t xml:space="preserve">concept drift, label shift, model monitoring, drift diagnosis, hypothesis testing</w:t>
      </w:r>
    </w:p>
    <w:p>
      <w:pPr>
        <w:spacing w:after="0" w:line="240" w:lineRule="exact"/>
        <w:sectPr>
          <w:headerReference w:type="default" r:id="rId8"/>
          <w:pgSz w:w="11906" w:h="16838" w:code="9"/>
          <w:pgMar w:top="1956" w:right="907" w:bottom="1418" w:left="1134" w:header="708" w:footer="708" w:gutter="0"/>
          <w:cols w:space="708"/>
          <w:docGrid w:linePitch="360"/>
        </w:sectPr>
      </w:pPr>
    </w:p>
    <w:p>
      <w:pPr>
        <w:pStyle w:val="PPHeading"/>
        <w:keepNext/>
      </w:pPr>
      <w:r>
        <w:t xml:space="preserve">1 Introduction</w:t>
      </w:r>
    </w:p>
    <w:p>
      <w:pPr>
        <w:pStyle w:val="PPBodyMainText"/>
        <w:ind w:firstLine="0"/>
      </w:pPr>
      <w:r>
        <w:t xml:space="preserve">A deployed classifier can lose accuracy quietly as production data move away from the data it was trained on, often long before reliable labels reveal the loss </w:t>
      </w:r>
      <w:r>
        <w:t xml:space="preserve">[1]</w:t>
      </w:r>
      <w:r>
        <w:t xml:space="preserve">. Existing monitors are good at announcing that a distribution has changed </w:t>
      </w:r>
      <w:r>
        <w:t xml:space="preserve">[1]</w:t>
      </w:r>
      <w:r>
        <w:t xml:space="preserve"> and at estimating how much accuracy has been lost </w:t>
      </w:r>
      <w:r>
        <w:t xml:space="preserve">[2, 3]</w:t>
      </w:r>
      <w:r>
        <w:t xml:space="preserve">. They rarely report what kind of change occurred, although each kind of drift calls for a different response.</w:t>
      </w:r>
    </w:p>
    <w:p>
      <w:pPr>
        <w:pStyle w:val="PPBodyMainText"/>
      </w:pPr>
      <w:r>
        <w:t xml:space="preserve">The literature distinguishes three types of dataset shift </w:t>
      </w:r>
      <w:r>
        <w:t xml:space="preserve">[4]</w:t>
      </w:r>
      <w:r>
        <w:t xml:space="preserve">. Under covariate shift the inputs move while the rule linking inputs to labels stays the same, so reweighting the training data can help. Under prior shift only the class balance changes and recalibrating the model is usually enough. Concept drift alters the rule itself and needs fresh labels. We add label noise as a fourth type. It corrupts the labels used to judge the model and points to the labeling process rather than to the model.</w:t>
      </w:r>
    </w:p>
    <w:p>
      <w:pPr>
        <w:pStyle w:val="PPBodyMainText"/>
      </w:pPr>
      <w:r>
        <w:t xml:space="preserve">Naming the type turns out to be harder than detecting a change. Covariate and prior shift both move the inputs and the predictions, whereas concept drift and label noise leave the inputs untouched and are therefore invisible to any label-free test.</w:t>
      </w:r>
    </w:p>
    <w:p>
      <w:pPr>
        <w:pStyle w:val="PPBodyMainText"/>
      </w:pPr>
      <w:r>
        <w:t xml:space="preserve">We identify the type with a short sequence of hypothesis tests run at one significance level, with the family-wise error rate controlled. The first stage needs no labels and builds on established methods. It tests the inputs and the predictions for a shift, estimates the new class balance with black-box shift estimation (BBSE) </w:t>
      </w:r>
      <w:r>
        <w:t xml:space="preserve">[5]</w:t>
      </w:r>
      <w:r>
        <w:t xml:space="preserve"> and, following Roschewitz et al. </w:t>
      </w:r>
      <w:r>
        <w:t xml:space="preserve">[6]</w:t>
      </w:r>
      <w:r>
        <w:t xml:space="preserve">, asks whether this balance alone explains the shift in the inputs (prior shift) or not (covariate shift). The second stage is new. Using a few hundred late labels, it asks whether accuracy has fallen and, if so, whether the errors have changed in a way that depends on some input feature. Uniform label noise changes the error rate only according to how confident the model is, whereas concept drift changes it within one region of the input space. Since every step is a formal test, the false alarm rate is fixed in advance.</w:t>
      </w:r>
    </w:p>
    <w:p>
      <w:pPr>
        <w:pStyle w:val="PPBodyMainText"/>
      </w:pPr>
      <w:r>
        <w:t xml:space="preserve">The contributions are as follows.</w:t>
      </w:r>
    </w:p>
    <w:p>
      <w:pPr>
        <w:pStyle w:val="PPListingNumbered"/>
        <w:jc w:val="both"/>
      </w:pPr>
      <w:r>
        <w:t xml:space="preserve">An audit test that separates concept drift from label noise using only a few hundred late labels. Existing shift tests, such as DetectShift </w:t>
      </w:r>
      <w:r>
        <w:t xml:space="preserve">[7]</w:t>
      </w:r>
      <w:r>
        <w:t xml:space="preserve">, either require labeled production data or ignore label noise.</w:t>
      </w:r>
    </w:p>
    <w:p>
      <w:pPr>
        <w:pStyle w:val="PPListingNumbered"/>
        <w:jc w:val="both"/>
      </w:pPr>
      <w:r>
        <w:t xml:space="preserve">A hierarchical procedure that combines this audit with a label-free stage and names four drift types under family-wise error control.</w:t>
      </w:r>
    </w:p>
    <w:p>
      <w:pPr>
        <w:pStyle w:val="PPListingNumbered"/>
        <w:jc w:val="both"/>
      </w:pPr>
      <w:r>
        <w:t xml:space="preserve">A benchmark covering two tabular tasks and two model families, with matched as well as held-out drift mechanisms. It shows that tests built on the definitions of the types transfer to new drift, whereas a learned rule does not.</w:t>
      </w:r>
    </w:p>
    <w:p>
      <w:pPr>
        <w:pStyle w:val="PPListingNumbered"/>
        <w:jc w:val="both"/>
      </w:pPr>
      <w:r>
        <w:t xml:space="preserve">An open end-to-end monitoring pipeline that covers detection, accuracy estimation, root cause analysis, diagnosis, reliability scoring and remediation triage, evaluated on four real drifts with documented causes.</w:t>
      </w:r>
    </w:p>
    <w:p>
      <w:pPr>
        <w:pStyle w:val="PPBodyMainText"/>
        <w:ind w:firstLine="0"/>
      </w:pPr>
      <w:r>
        <w:t xml:space="preserve">Section </w:t>
      </w:r>
      <w:r>
        <w:t xml:space="preserve">2</w:t>
      </w:r>
      <w:r>
        <w:t xml:space="preserve"> reviews related work and Section </w:t>
      </w:r>
      <w:r>
        <w:t xml:space="preserve">3</w:t>
      </w:r>
      <w:r>
        <w:t xml:space="preserve"> describes the pipeline. Section </w:t>
      </w:r>
      <w:r>
        <w:t xml:space="preserve">4</w:t>
      </w:r>
      <w:r>
        <w:t xml:space="preserve"> sets out the experiments and Section </w:t>
      </w:r>
      <w:r>
        <w:t xml:space="preserve">5</w:t>
      </w:r>
      <w:r>
        <w:t xml:space="preserve"> reports them. Section </w:t>
      </w:r>
      <w:r>
        <w:t xml:space="preserve">6</w:t>
      </w:r>
      <w:r>
        <w:t xml:space="preserve"> discusses what the results mean and where they stop. Section </w:t>
      </w:r>
      <w:r>
        <w:t xml:space="preserve">7</w:t>
      </w:r>
      <w:r>
        <w:t xml:space="preserve"> concludes.</w:t>
      </w:r>
    </w:p>
    <w:p>
      <w:pPr>
        <w:pStyle w:val="PPHeading"/>
        <w:keepNext/>
      </w:pPr>
      <w:r>
        <w:t xml:space="preserve">2 State of the art</w:t>
      </w:r>
    </w:p>
    <w:p>
      <w:pPr>
        <w:pStyle w:val="PPBodyMainText"/>
        <w:ind w:firstLine="0"/>
      </w:pPr>
      <w:r>
        <w:t xml:space="preserve">Table </w:t>
      </w:r>
      <w:r>
        <w:t xml:space="preserve">1</w:t>
      </w:r>
      <w:r>
        <w:t xml:space="preserve"> compares our work with the closest existing methods: black-box shift detection (BBSD), BBSE, confidence-based performance estimation (CBPE), DetectShift and the method of Roschewitz et al. The paragraphs after it review what each group of related work offers a monitoring team and what it leaves open.</w:t>
      </w:r>
    </w:p>
    <w:p>
      <w:pPr>
        <w:pStyle w:val="PPFigureTableCaption"/>
        <w:keepNext/>
        <w:keepLines/>
        <w:spacing w:before="160" w:after="60"/>
      </w:pPr>
      <w:r>
        <w:rPr>
          <w:b/>
        </w:rPr>
        <w:t xml:space="preserve">Table 1</w:t>
      </w:r>
      <w:r>
        <w:t xml:space="preserve"> </w:t>
      </w:r>
      <w:r>
        <w:t xml:space="preserve">Capabilities of the closest methods and of ours. A tick marks a capability that the method provides</w:t>
      </w:r>
    </w:p>
    <w:tbl>
      <w:tblPr>
        <w:tblW w:w="0" w:type="auto"/>
        <w:jc w:val="center"/>
        <w:tblLayout w:type="fixed"/>
        <w:tblCellMar>
          <w:left w:w="45" w:type="dxa"/>
          <w:right w:w="45" w:type="dxa"/>
        </w:tblCellMar>
        <w:tblLook w:val="04A0" w:firstRow="1" w:lastRow="0" w:firstColumn="1" w:lastColumn="0" w:noHBand="0" w:noVBand="1"/>
      </w:tblPr>
      <w:tblGrid>
        <w:gridCol w:w="866"/>
        <w:gridCol w:w="582"/>
        <w:gridCol w:w="732"/>
        <w:gridCol w:w="733"/>
        <w:gridCol w:w="582"/>
        <w:gridCol w:w="653"/>
        <w:gridCol w:w="582"/>
      </w:tblGrid>
      <w:tr>
        <w:trPr>
          <w:cantSplit/>
          <w:tblHeader/>
        </w:trPr>
        <w:tc>
          <w:tcPr>
            <w:tcW w:w="866" w:type="dxa"/>
            <w:tcBorders>
              <w:top w:val="single" w:sz="8" w:space="0" w:color="auto"/>
            </w:tcBorders>
            <w:vAlign w:val="center"/>
          </w:tcPr>
          <w:p>
            <w:pPr>
              <w:pStyle w:val="PPTableBody"/>
              <w:keepNext/>
              <w:spacing w:before="10" w:after="10"/>
              <w:jc w:val="left"/>
            </w:pPr>
            <w:r>
              <w:t xml:space="preserve">Method</w:t>
            </w:r>
          </w:p>
        </w:tc>
        <w:tc>
          <w:tcPr>
            <w:tcW w:w="582" w:type="dxa"/>
            <w:tcBorders>
              <w:top w:val="single" w:sz="8" w:space="0" w:color="auto"/>
            </w:tcBorders>
            <w:vAlign w:val="center"/>
          </w:tcPr>
          <w:p>
            <w:pPr>
              <w:pStyle w:val="PPTableBody"/>
              <w:keepNext/>
              <w:spacing w:before="10" w:after="10"/>
              <w:jc w:val="center"/>
            </w:pPr>
            <w:r>
              <w:t xml:space="preserve">Error rate stated</w:t>
            </w:r>
          </w:p>
        </w:tc>
        <w:tc>
          <w:tcPr>
            <w:tcW w:w="732" w:type="dxa"/>
            <w:tcBorders>
              <w:top w:val="single" w:sz="8" w:space="0" w:color="auto"/>
            </w:tcBorders>
            <w:vAlign w:val="center"/>
          </w:tcPr>
          <w:p>
            <w:pPr>
              <w:pStyle w:val="PPTableBody"/>
              <w:keepNext/>
              <w:spacing w:before="10" w:after="10"/>
              <w:jc w:val="center"/>
            </w:pPr>
            <w:r>
              <w:t xml:space="preserve">Accuracy estimate</w:t>
            </w:r>
          </w:p>
        </w:tc>
        <w:tc>
          <w:tcPr>
            <w:tcW w:w="733" w:type="dxa"/>
            <w:tcBorders>
              <w:top w:val="single" w:sz="8" w:space="0" w:color="auto"/>
            </w:tcBorders>
            <w:vAlign w:val="center"/>
          </w:tcPr>
          <w:p>
            <w:pPr>
              <w:pStyle w:val="PPTableBody"/>
              <w:keepNext/>
              <w:spacing w:before="10" w:after="10"/>
              <w:jc w:val="center"/>
            </w:pPr>
            <w:r>
              <w:t xml:space="preserve">Localizes features</w:t>
            </w:r>
          </w:p>
        </w:tc>
        <w:tc>
          <w:tcPr>
            <w:tcW w:w="582" w:type="dxa"/>
            <w:tcBorders>
              <w:top w:val="single" w:sz="8" w:space="0" w:color="auto"/>
            </w:tcBorders>
            <w:vAlign w:val="center"/>
          </w:tcPr>
          <w:p>
            <w:pPr>
              <w:pStyle w:val="PPTableBody"/>
              <w:keepNext/>
              <w:spacing w:before="10" w:after="10"/>
              <w:jc w:val="center"/>
            </w:pPr>
            <w:r>
              <w:t xml:space="preserve">Types named</w:t>
            </w:r>
          </w:p>
        </w:tc>
        <w:tc>
          <w:tcPr>
            <w:tcW w:w="653" w:type="dxa"/>
            <w:tcBorders>
              <w:top w:val="single" w:sz="8" w:space="0" w:color="auto"/>
            </w:tcBorders>
            <w:vAlign w:val="center"/>
          </w:tcPr>
          <w:p>
            <w:pPr>
              <w:pStyle w:val="PPTableBody"/>
              <w:keepNext/>
              <w:spacing w:before="10" w:after="10"/>
              <w:jc w:val="center"/>
            </w:pPr>
            <w:r>
              <w:t xml:space="preserve">Concept vs noise</w:t>
            </w:r>
          </w:p>
        </w:tc>
        <w:tc>
          <w:tcPr>
            <w:tcW w:w="582" w:type="dxa"/>
            <w:tcBorders>
              <w:top w:val="single" w:sz="8" w:space="0" w:color="auto"/>
            </w:tcBorders>
            <w:vAlign w:val="center"/>
          </w:tcPr>
          <w:p>
            <w:pPr>
              <w:pStyle w:val="PPTableBody"/>
              <w:keepNext/>
              <w:spacing w:before="10" w:after="10"/>
              <w:jc w:val="center"/>
            </w:pPr>
            <w:r>
              <w:t xml:space="preserve">Held-out drift</w:t>
            </w:r>
          </w:p>
        </w:tc>
      </w:tr>
      <w:tr>
        <w:trPr>
          <w:cantSplit/>
        </w:trPr>
        <w:tc>
          <w:tcPr>
            <w:tcW w:w="866" w:type="dxa"/>
            <w:tcBorders>
              <w:top w:val="single" w:sz="4" w:space="0" w:color="auto"/>
            </w:tcBorders>
            <w:vAlign w:val="center"/>
          </w:tcPr>
          <w:p>
            <w:pPr>
              <w:pStyle w:val="PPTableBody"/>
              <w:keepNext/>
              <w:spacing w:before="10" w:after="10"/>
              <w:jc w:val="left"/>
            </w:pPr>
            <w:r>
              <w:t xml:space="preserve">BBSD </w:t>
            </w:r>
            <w:r>
              <w:t xml:space="preserve">[1]</w:t>
            </w:r>
          </w:p>
        </w:tc>
        <w:tc>
          <w:tcPr>
            <w:tcW w:w="582" w:type="dxa"/>
            <w:tcBorders>
              <w:top w:val="single" w:sz="4" w:space="0" w:color="auto"/>
            </w:tcBorders>
            <w:vAlign w:val="center"/>
          </w:tcPr>
          <w:p>
            <w:pPr>
              <w:pStyle w:val="PPTableBody"/>
              <w:keepNext/>
              <w:spacing w:before="10" w:after="10"/>
              <w:jc w:val="center"/>
            </w:pPr>
            <w:r>
              <w:t xml:space="preserve">✓</w:t>
            </w:r>
          </w:p>
        </w:tc>
        <w:tc>
          <w:tcPr>
            <w:tcW w:w="732" w:type="dxa"/>
            <w:tcBorders>
              <w:top w:val="single" w:sz="4" w:space="0" w:color="auto"/>
            </w:tcBorders>
            <w:vAlign w:val="center"/>
          </w:tcPr>
          <w:p>
            <w:pPr>
              <w:pStyle w:val="PPTableBody"/>
              <w:keepNext/>
              <w:spacing w:before="10" w:after="10"/>
              <w:jc w:val="center"/>
            </w:pPr>
            <w:r>
              <w:t xml:space="preserve">–</w:t>
            </w:r>
          </w:p>
        </w:tc>
        <w:tc>
          <w:tcPr>
            <w:tcW w:w="733" w:type="dxa"/>
            <w:tcBorders>
              <w:top w:val="single" w:sz="4" w:space="0" w:color="auto"/>
            </w:tcBorders>
            <w:vAlign w:val="center"/>
          </w:tcPr>
          <w:p>
            <w:pPr>
              <w:pStyle w:val="PPTableBody"/>
              <w:keepNext/>
              <w:spacing w:before="10" w:after="10"/>
              <w:jc w:val="center"/>
            </w:pPr>
            <w:r>
              <w:t xml:space="preserve">limited</w:t>
            </w:r>
          </w:p>
        </w:tc>
        <w:tc>
          <w:tcPr>
            <w:tcW w:w="582" w:type="dxa"/>
            <w:tcBorders>
              <w:top w:val="single" w:sz="4" w:space="0" w:color="auto"/>
            </w:tcBorders>
            <w:vAlign w:val="center"/>
          </w:tcPr>
          <w:p>
            <w:pPr>
              <w:pStyle w:val="PPTableBody"/>
              <w:keepNext/>
              <w:spacing w:before="10" w:after="10"/>
              <w:jc w:val="center"/>
            </w:pPr>
            <w:r>
              <w:t xml:space="preserve">–</w:t>
            </w:r>
          </w:p>
        </w:tc>
        <w:tc>
          <w:tcPr>
            <w:tcW w:w="653" w:type="dxa"/>
            <w:tcBorders>
              <w:top w:val="single" w:sz="4" w:space="0" w:color="auto"/>
            </w:tcBorders>
            <w:vAlign w:val="center"/>
          </w:tcPr>
          <w:p>
            <w:pPr>
              <w:pStyle w:val="PPTableBody"/>
              <w:keepNext/>
              <w:spacing w:before="10" w:after="10"/>
              <w:jc w:val="center"/>
            </w:pPr>
            <w:r>
              <w:t xml:space="preserve">–</w:t>
            </w:r>
          </w:p>
        </w:tc>
        <w:tc>
          <w:tcPr>
            <w:tcW w:w="582" w:type="dxa"/>
            <w:tcBorders>
              <w:top w:val="single" w:sz="4" w:space="0" w:color="auto"/>
            </w:tcBorders>
            <w:vAlign w:val="center"/>
          </w:tcPr>
          <w:p>
            <w:pPr>
              <w:pStyle w:val="PPTableBody"/>
              <w:keepNext/>
              <w:spacing w:before="10" w:after="10"/>
              <w:jc w:val="center"/>
            </w:pPr>
            <w:r>
              <w:t xml:space="preserve">–</w:t>
            </w:r>
          </w:p>
        </w:tc>
      </w:tr>
      <w:tr>
        <w:trPr>
          <w:cantSplit/>
        </w:trPr>
        <w:tc>
          <w:tcPr>
            <w:tcW w:w="866" w:type="dxa"/>
            <w:tcBorders/>
            <w:vAlign w:val="center"/>
          </w:tcPr>
          <w:p>
            <w:pPr>
              <w:pStyle w:val="PPTableBody"/>
              <w:keepNext/>
              <w:spacing w:before="10" w:after="10"/>
              <w:jc w:val="left"/>
            </w:pPr>
            <w:r>
              <w:t xml:space="preserve">BBSE </w:t>
            </w:r>
            <w:r>
              <w:t xml:space="preserve">[5]</w:t>
            </w:r>
          </w:p>
        </w:tc>
        <w:tc>
          <w:tcPr>
            <w:tcW w:w="582" w:type="dxa"/>
            <w:tcBorders/>
            <w:vAlign w:val="center"/>
          </w:tcPr>
          <w:p>
            <w:pPr>
              <w:pStyle w:val="PPTableBody"/>
              <w:keepNext/>
              <w:spacing w:before="10" w:after="10"/>
              <w:jc w:val="center"/>
            </w:pPr>
            <w:r>
              <w:t xml:space="preserve">✓</w:t>
            </w:r>
          </w:p>
        </w:tc>
        <w:tc>
          <w:tcPr>
            <w:tcW w:w="732" w:type="dxa"/>
            <w:tcBorders/>
            <w:vAlign w:val="center"/>
          </w:tcPr>
          <w:p>
            <w:pPr>
              <w:pStyle w:val="PPTableBody"/>
              <w:keepNext/>
              <w:spacing w:before="10" w:after="10"/>
              <w:jc w:val="center"/>
            </w:pPr>
            <w:r>
              <w:t xml:space="preserve">–</w:t>
            </w:r>
          </w:p>
        </w:tc>
        <w:tc>
          <w:tcPr>
            <w:tcW w:w="733" w:type="dxa"/>
            <w:tcBorders/>
            <w:vAlign w:val="center"/>
          </w:tcPr>
          <w:p>
            <w:pPr>
              <w:pStyle w:val="PPTableBody"/>
              <w:keepNext/>
              <w:spacing w:before="10" w:after="10"/>
              <w:jc w:val="center"/>
            </w:pPr>
            <w:r>
              <w:t xml:space="preserve">–</w:t>
            </w:r>
          </w:p>
        </w:tc>
        <w:tc>
          <w:tcPr>
            <w:tcW w:w="582" w:type="dxa"/>
            <w:tcBorders/>
            <w:vAlign w:val="center"/>
          </w:tcPr>
          <w:p>
            <w:pPr>
              <w:pStyle w:val="PPTableBody"/>
              <w:keepNext/>
              <w:spacing w:before="10" w:after="10"/>
              <w:jc w:val="center"/>
            </w:pPr>
            <w:r>
              <w:t xml:space="preserve">prior</w:t>
            </w:r>
          </w:p>
        </w:tc>
        <w:tc>
          <w:tcPr>
            <w:tcW w:w="653" w:type="dxa"/>
            <w:tcBorders/>
            <w:vAlign w:val="center"/>
          </w:tcPr>
          <w:p>
            <w:pPr>
              <w:pStyle w:val="PPTableBody"/>
              <w:keepNext/>
              <w:spacing w:before="10" w:after="10"/>
              <w:jc w:val="center"/>
            </w:pPr>
            <w:r>
              <w:t xml:space="preserve">–</w:t>
            </w:r>
          </w:p>
        </w:tc>
        <w:tc>
          <w:tcPr>
            <w:tcW w:w="582" w:type="dxa"/>
            <w:tcBorders/>
            <w:vAlign w:val="center"/>
          </w:tcPr>
          <w:p>
            <w:pPr>
              <w:pStyle w:val="PPTableBody"/>
              <w:keepNext/>
              <w:spacing w:before="10" w:after="10"/>
              <w:jc w:val="center"/>
            </w:pPr>
            <w:r>
              <w:t xml:space="preserve">–</w:t>
            </w:r>
          </w:p>
        </w:tc>
      </w:tr>
      <w:tr>
        <w:trPr>
          <w:cantSplit/>
        </w:trPr>
        <w:tc>
          <w:tcPr>
            <w:tcW w:w="866" w:type="dxa"/>
            <w:tcBorders/>
            <w:vAlign w:val="center"/>
          </w:tcPr>
          <w:p>
            <w:pPr>
              <w:pStyle w:val="PPTableBody"/>
              <w:keepNext/>
              <w:spacing w:before="10" w:after="10"/>
              <w:jc w:val="left"/>
            </w:pPr>
            <w:r>
              <w:t xml:space="preserve">CBPE </w:t>
            </w:r>
            <w:r>
              <w:t xml:space="preserve">[3]</w:t>
            </w:r>
          </w:p>
        </w:tc>
        <w:tc>
          <w:tcPr>
            <w:tcW w:w="582" w:type="dxa"/>
            <w:tcBorders/>
            <w:vAlign w:val="center"/>
          </w:tcPr>
          <w:p>
            <w:pPr>
              <w:pStyle w:val="PPTableBody"/>
              <w:keepNext/>
              <w:spacing w:before="10" w:after="10"/>
              <w:jc w:val="center"/>
            </w:pPr>
            <w:r>
              <w:t xml:space="preserve">–</w:t>
            </w:r>
          </w:p>
        </w:tc>
        <w:tc>
          <w:tcPr>
            <w:tcW w:w="732" w:type="dxa"/>
            <w:tcBorders/>
            <w:vAlign w:val="center"/>
          </w:tcPr>
          <w:p>
            <w:pPr>
              <w:pStyle w:val="PPTableBody"/>
              <w:keepNext/>
              <w:spacing w:before="10" w:after="10"/>
              <w:jc w:val="center"/>
            </w:pPr>
            <w:r>
              <w:t xml:space="preserve">✓</w:t>
            </w:r>
          </w:p>
        </w:tc>
        <w:tc>
          <w:tcPr>
            <w:tcW w:w="733" w:type="dxa"/>
            <w:tcBorders/>
            <w:vAlign w:val="center"/>
          </w:tcPr>
          <w:p>
            <w:pPr>
              <w:pStyle w:val="PPTableBody"/>
              <w:keepNext/>
              <w:spacing w:before="10" w:after="10"/>
              <w:jc w:val="center"/>
            </w:pPr>
            <w:r>
              <w:t xml:space="preserve">–</w:t>
            </w:r>
          </w:p>
        </w:tc>
        <w:tc>
          <w:tcPr>
            <w:tcW w:w="582" w:type="dxa"/>
            <w:tcBorders/>
            <w:vAlign w:val="center"/>
          </w:tcPr>
          <w:p>
            <w:pPr>
              <w:pStyle w:val="PPTableBody"/>
              <w:keepNext/>
              <w:spacing w:before="10" w:after="10"/>
              <w:jc w:val="center"/>
            </w:pPr>
            <w:r>
              <w:t xml:space="preserve">–</w:t>
            </w:r>
          </w:p>
        </w:tc>
        <w:tc>
          <w:tcPr>
            <w:tcW w:w="653" w:type="dxa"/>
            <w:tcBorders/>
            <w:vAlign w:val="center"/>
          </w:tcPr>
          <w:p>
            <w:pPr>
              <w:pStyle w:val="PPTableBody"/>
              <w:keepNext/>
              <w:spacing w:before="10" w:after="10"/>
              <w:jc w:val="center"/>
            </w:pPr>
            <w:r>
              <w:t xml:space="preserve">–</w:t>
            </w:r>
          </w:p>
        </w:tc>
        <w:tc>
          <w:tcPr>
            <w:tcW w:w="582" w:type="dxa"/>
            <w:tcBorders/>
            <w:vAlign w:val="center"/>
          </w:tcPr>
          <w:p>
            <w:pPr>
              <w:pStyle w:val="PPTableBody"/>
              <w:keepNext/>
              <w:spacing w:before="10" w:after="10"/>
              <w:jc w:val="center"/>
            </w:pPr>
            <w:r>
              <w:t xml:space="preserve">–</w:t>
            </w:r>
          </w:p>
        </w:tc>
      </w:tr>
      <w:tr>
        <w:trPr>
          <w:cantSplit/>
        </w:trPr>
        <w:tc>
          <w:tcPr>
            <w:tcW w:w="866" w:type="dxa"/>
            <w:tcBorders/>
            <w:vAlign w:val="center"/>
          </w:tcPr>
          <w:p>
            <w:pPr>
              <w:pStyle w:val="PPTableBody"/>
              <w:keepNext/>
              <w:spacing w:before="10" w:after="10"/>
              <w:jc w:val="left"/>
            </w:pPr>
            <w:r>
              <w:t xml:space="preserve">DetectShift </w:t>
            </w:r>
            <w:r>
              <w:t xml:space="preserve">[7]</w:t>
            </w:r>
          </w:p>
        </w:tc>
        <w:tc>
          <w:tcPr>
            <w:tcW w:w="582" w:type="dxa"/>
            <w:tcBorders/>
            <w:vAlign w:val="center"/>
          </w:tcPr>
          <w:p>
            <w:pPr>
              <w:pStyle w:val="PPTableBody"/>
              <w:keepNext/>
              <w:spacing w:before="10" w:after="10"/>
              <w:jc w:val="center"/>
            </w:pPr>
            <w:r>
              <w:t xml:space="preserve">✓</w:t>
            </w:r>
          </w:p>
        </w:tc>
        <w:tc>
          <w:tcPr>
            <w:tcW w:w="732" w:type="dxa"/>
            <w:tcBorders/>
            <w:vAlign w:val="center"/>
          </w:tcPr>
          <w:p>
            <w:pPr>
              <w:pStyle w:val="PPTableBody"/>
              <w:keepNext/>
              <w:spacing w:before="10" w:after="10"/>
              <w:jc w:val="center"/>
            </w:pPr>
            <w:r>
              <w:t xml:space="preserve">–</w:t>
            </w:r>
          </w:p>
        </w:tc>
        <w:tc>
          <w:tcPr>
            <w:tcW w:w="733" w:type="dxa"/>
            <w:tcBorders/>
            <w:vAlign w:val="center"/>
          </w:tcPr>
          <w:p>
            <w:pPr>
              <w:pStyle w:val="PPTableBody"/>
              <w:keepNext/>
              <w:spacing w:before="10" w:after="10"/>
              <w:jc w:val="center"/>
            </w:pPr>
            <w:r>
              <w:t xml:space="preserve">–</w:t>
            </w:r>
          </w:p>
        </w:tc>
        <w:tc>
          <w:tcPr>
            <w:tcW w:w="582" w:type="dxa"/>
            <w:tcBorders/>
            <w:vAlign w:val="center"/>
          </w:tcPr>
          <w:p>
            <w:pPr>
              <w:pStyle w:val="PPTableBody"/>
              <w:keepNext/>
              <w:spacing w:before="10" w:after="10"/>
              <w:jc w:val="center"/>
            </w:pPr>
            <w:r>
              <w:t xml:space="preserve">needs labels</w:t>
            </w:r>
          </w:p>
        </w:tc>
        <w:tc>
          <w:tcPr>
            <w:tcW w:w="653" w:type="dxa"/>
            <w:tcBorders/>
            <w:vAlign w:val="center"/>
          </w:tcPr>
          <w:p>
            <w:pPr>
              <w:pStyle w:val="PPTableBody"/>
              <w:keepNext/>
              <w:spacing w:before="10" w:after="10"/>
              <w:jc w:val="center"/>
            </w:pPr>
            <w:r>
              <w:t xml:space="preserve">–</w:t>
            </w:r>
          </w:p>
        </w:tc>
        <w:tc>
          <w:tcPr>
            <w:tcW w:w="582" w:type="dxa"/>
            <w:tcBorders/>
            <w:vAlign w:val="center"/>
          </w:tcPr>
          <w:p>
            <w:pPr>
              <w:pStyle w:val="PPTableBody"/>
              <w:keepNext/>
              <w:spacing w:before="10" w:after="10"/>
              <w:jc w:val="center"/>
            </w:pPr>
            <w:r>
              <w:t xml:space="preserve">–</w:t>
            </w:r>
          </w:p>
        </w:tc>
      </w:tr>
      <w:tr>
        <w:trPr>
          <w:cantSplit/>
        </w:trPr>
        <w:tc>
          <w:tcPr>
            <w:tcW w:w="866" w:type="dxa"/>
            <w:tcBorders/>
            <w:vAlign w:val="center"/>
          </w:tcPr>
          <w:p>
            <w:pPr>
              <w:pStyle w:val="PPTableBody"/>
              <w:keepNext/>
              <w:spacing w:before="10" w:after="10"/>
              <w:jc w:val="left"/>
            </w:pPr>
            <w:r>
              <w:t xml:space="preserve">Roschewitz et al. </w:t>
            </w:r>
            <w:r>
              <w:t xml:space="preserve">[6]</w:t>
            </w:r>
          </w:p>
        </w:tc>
        <w:tc>
          <w:tcPr>
            <w:tcW w:w="582" w:type="dxa"/>
            <w:tcBorders/>
            <w:vAlign w:val="center"/>
          </w:tcPr>
          <w:p>
            <w:pPr>
              <w:pStyle w:val="PPTableBody"/>
              <w:keepNext/>
              <w:spacing w:before="10" w:after="10"/>
              <w:jc w:val="center"/>
            </w:pPr>
            <w:r>
              <w:t xml:space="preserve">✓</w:t>
            </w:r>
          </w:p>
        </w:tc>
        <w:tc>
          <w:tcPr>
            <w:tcW w:w="732" w:type="dxa"/>
            <w:tcBorders/>
            <w:vAlign w:val="center"/>
          </w:tcPr>
          <w:p>
            <w:pPr>
              <w:pStyle w:val="PPTableBody"/>
              <w:keepNext/>
              <w:spacing w:before="10" w:after="10"/>
              <w:jc w:val="center"/>
            </w:pPr>
            <w:r>
              <w:t xml:space="preserve">–</w:t>
            </w:r>
          </w:p>
        </w:tc>
        <w:tc>
          <w:tcPr>
            <w:tcW w:w="733" w:type="dxa"/>
            <w:tcBorders/>
            <w:vAlign w:val="center"/>
          </w:tcPr>
          <w:p>
            <w:pPr>
              <w:pStyle w:val="PPTableBody"/>
              <w:keepNext/>
              <w:spacing w:before="10" w:after="10"/>
              <w:jc w:val="center"/>
            </w:pPr>
            <w:r>
              <w:t xml:space="preserve">–</w:t>
            </w:r>
          </w:p>
        </w:tc>
        <w:tc>
          <w:tcPr>
            <w:tcW w:w="582" w:type="dxa"/>
            <w:tcBorders/>
            <w:vAlign w:val="center"/>
          </w:tcPr>
          <w:p>
            <w:pPr>
              <w:pStyle w:val="PPTableBody"/>
              <w:keepNext/>
              <w:spacing w:before="10" w:after="10"/>
              <w:jc w:val="center"/>
            </w:pPr>
            <w:r>
              <w:t xml:space="preserve">prior, cov.</w:t>
            </w:r>
          </w:p>
        </w:tc>
        <w:tc>
          <w:tcPr>
            <w:tcW w:w="653" w:type="dxa"/>
            <w:tcBorders/>
            <w:vAlign w:val="center"/>
          </w:tcPr>
          <w:p>
            <w:pPr>
              <w:pStyle w:val="PPTableBody"/>
              <w:keepNext/>
              <w:spacing w:before="10" w:after="10"/>
              <w:jc w:val="center"/>
            </w:pPr>
            <w:r>
              <w:t xml:space="preserve">–</w:t>
            </w:r>
          </w:p>
        </w:tc>
        <w:tc>
          <w:tcPr>
            <w:tcW w:w="582" w:type="dxa"/>
            <w:tcBorders/>
            <w:vAlign w:val="center"/>
          </w:tcPr>
          <w:p>
            <w:pPr>
              <w:pStyle w:val="PPTableBody"/>
              <w:keepNext/>
              <w:spacing w:before="10" w:after="10"/>
              <w:jc w:val="center"/>
            </w:pPr>
            <w:r>
              <w:t xml:space="preserve">–</w:t>
            </w:r>
          </w:p>
        </w:tc>
      </w:tr>
      <w:tr>
        <w:trPr>
          <w:cantSplit/>
        </w:trPr>
        <w:tc>
          <w:tcPr>
            <w:tcW w:w="866" w:type="dxa"/>
            <w:tcBorders>
              <w:bottom w:val="single" w:sz="8" w:space="0" w:color="auto"/>
            </w:tcBorders>
            <w:vAlign w:val="center"/>
          </w:tcPr>
          <w:p>
            <w:pPr>
              <w:pStyle w:val="PPTableBody"/>
              <w:spacing w:before="10" w:after="10"/>
              <w:jc w:val="left"/>
            </w:pPr>
            <w:r>
              <w:t xml:space="preserve">Ours</w:t>
            </w:r>
          </w:p>
        </w:tc>
        <w:tc>
          <w:tcPr>
            <w:tcW w:w="582" w:type="dxa"/>
            <w:tcBorders>
              <w:bottom w:val="single" w:sz="8" w:space="0" w:color="auto"/>
            </w:tcBorders>
            <w:vAlign w:val="center"/>
          </w:tcPr>
          <w:p>
            <w:pPr>
              <w:pStyle w:val="PPTableBody"/>
              <w:spacing w:before="10" w:after="10"/>
              <w:jc w:val="center"/>
            </w:pPr>
            <w:r>
              <w:t xml:space="preserve">✓</w:t>
            </w:r>
          </w:p>
        </w:tc>
        <w:tc>
          <w:tcPr>
            <w:tcW w:w="732" w:type="dxa"/>
            <w:tcBorders>
              <w:bottom w:val="single" w:sz="8" w:space="0" w:color="auto"/>
            </w:tcBorders>
            <w:vAlign w:val="center"/>
          </w:tcPr>
          <w:p>
            <w:pPr>
              <w:pStyle w:val="PPTableBody"/>
              <w:spacing w:before="10" w:after="10"/>
              <w:jc w:val="center"/>
            </w:pPr>
            <w:r>
              <w:t xml:space="preserve">✓</w:t>
            </w:r>
          </w:p>
        </w:tc>
        <w:tc>
          <w:tcPr>
            <w:tcW w:w="733" w:type="dxa"/>
            <w:tcBorders>
              <w:bottom w:val="single" w:sz="8" w:space="0" w:color="auto"/>
            </w:tcBorders>
            <w:vAlign w:val="center"/>
          </w:tcPr>
          <w:p>
            <w:pPr>
              <w:pStyle w:val="PPTableBody"/>
              <w:spacing w:before="10" w:after="10"/>
              <w:jc w:val="center"/>
            </w:pPr>
            <w:r>
              <w:t xml:space="preserve">✓</w:t>
            </w:r>
          </w:p>
        </w:tc>
        <w:tc>
          <w:tcPr>
            <w:tcW w:w="582" w:type="dxa"/>
            <w:tcBorders>
              <w:bottom w:val="single" w:sz="8" w:space="0" w:color="auto"/>
            </w:tcBorders>
            <w:vAlign w:val="center"/>
          </w:tcPr>
          <w:p>
            <w:pPr>
              <w:pStyle w:val="PPTableBody"/>
              <w:spacing w:before="10" w:after="10"/>
              <w:jc w:val="center"/>
            </w:pPr>
            <w:r>
              <w:t xml:space="preserve">four</w:t>
            </w:r>
          </w:p>
        </w:tc>
        <w:tc>
          <w:tcPr>
            <w:tcW w:w="653" w:type="dxa"/>
            <w:tcBorders>
              <w:bottom w:val="single" w:sz="8" w:space="0" w:color="auto"/>
            </w:tcBorders>
            <w:vAlign w:val="center"/>
          </w:tcPr>
          <w:p>
            <w:pPr>
              <w:pStyle w:val="PPTableBody"/>
              <w:spacing w:before="10" w:after="10"/>
              <w:jc w:val="center"/>
            </w:pPr>
            <w:r>
              <w:t xml:space="preserve">✓</w:t>
            </w:r>
          </w:p>
        </w:tc>
        <w:tc>
          <w:tcPr>
            <w:tcW w:w="582" w:type="dxa"/>
            <w:tcBorders>
              <w:bottom w:val="single" w:sz="8" w:space="0" w:color="auto"/>
            </w:tcBorders>
            <w:vAlign w:val="center"/>
          </w:tcPr>
          <w:p>
            <w:pPr>
              <w:pStyle w:val="PPTableBody"/>
              <w:spacing w:before="10" w:after="10"/>
              <w:jc w:val="center"/>
            </w:pPr>
            <w:r>
              <w:t xml:space="preserve">✓</w:t>
            </w:r>
          </w:p>
        </w:tc>
      </w:tr>
    </w:tbl>
    <w:p>
      <w:pPr>
        <w:spacing w:after="0" w:line="160" w:lineRule="exact"/>
      </w:pPr>
    </w:p>
    <w:p>
      <w:pPr>
        <w:pStyle w:val="PPBodyMainText"/>
      </w:pPr>
      <w:r>
        <w:rPr>
          <w:i/>
        </w:rPr>
        <w:t xml:space="preserve">Drift types.</w:t>
      </w:r>
      <w:r>
        <w:t xml:space="preserve"> Moreno-Torres et al. </w:t>
      </w:r>
      <w:r>
        <w:t xml:space="preserve">[4]</w:t>
      </w:r>
      <w:r>
        <w:t xml:space="preserve"> define covariate shift, prior shift and concept shift according to which part of the joint distribution of inputs and labels changes. DetectShift tests for a shift in this joint distribution and in each of its parts, </w:t>
      </w:r>
      <m:oMath>
        <m:r>
          <m:t>P</m:t>
        </m:r>
        <m:r>
          <m:rPr>
            <m:sty m:val="p"/>
          </m:rPr>
          <m:t>(</m:t>
        </m:r>
        <m:r>
          <m:t>X</m:t>
        </m:r>
        <m:r>
          <m:rPr>
            <m:sty m:val="p"/>
          </m:rPr>
          <m:t>)</m:t>
        </m:r>
      </m:oMath>
      <w:r>
        <w:t xml:space="preserve">, </w:t>
      </w:r>
      <m:oMath>
        <m:r>
          <m:t>P</m:t>
        </m:r>
        <m:r>
          <m:rPr>
            <m:sty m:val="p"/>
          </m:rPr>
          <m:t>(</m:t>
        </m:r>
        <m:r>
          <m:t>Y</m:t>
        </m:r>
        <m:r>
          <m:rPr>
            <m:sty m:val="p"/>
          </m:rPr>
          <m:t>)</m:t>
        </m:r>
      </m:oMath>
      <w:r>
        <w:t xml:space="preserve">, </w:t>
      </w:r>
      <m:oMath>
        <m:r>
          <m:t>P</m:t>
        </m:r>
        <m:r>
          <m:rPr>
            <m:sty m:val="p"/>
          </m:rPr>
          <m:t>(</m:t>
        </m:r>
        <m:r>
          <m:t>X</m:t>
        </m:r>
        <m:r>
          <m:rPr>
            <m:sty m:val="p"/>
          </m:rPr>
          <m:t>∣</m:t>
        </m:r>
        <m:r>
          <m:t>Y</m:t>
        </m:r>
        <m:r>
          <m:rPr>
            <m:sty m:val="p"/>
          </m:rPr>
          <m:t>)</m:t>
        </m:r>
      </m:oMath>
      <w:r>
        <w:t xml:space="preserve"> and </w:t>
      </w:r>
      <m:oMath>
        <m:r>
          <m:t>P</m:t>
        </m:r>
        <m:r>
          <m:rPr>
            <m:sty m:val="p"/>
          </m:rPr>
          <m:t>(</m:t>
        </m:r>
        <m:r>
          <m:t>Y</m:t>
        </m:r>
        <m:r>
          <m:rPr>
            <m:sty m:val="p"/>
          </m:rPr>
          <m:t>∣</m:t>
        </m:r>
        <m:r>
          <m:t>X</m:t>
        </m:r>
        <m:r>
          <m:rPr>
            <m:sty m:val="p"/>
          </m:rPr>
          <m:t>)</m:t>
        </m:r>
      </m:oMath>
      <w:r>
        <w:t xml:space="preserve"> </w:t>
      </w:r>
      <w:r>
        <w:t xml:space="preserve">[7]</w:t>
      </w:r>
      <w:r>
        <w:t xml:space="preserve">. However, it requires labels for the new data, a limitation its authors acknowledge. We adopt the same definitions, add label noise as a fourth type and require labels only for a small audit.</w:t>
      </w:r>
    </w:p>
    <w:p>
      <w:pPr>
        <w:pStyle w:val="PPBodyMainText"/>
      </w:pPr>
      <w:r>
        <w:rPr>
          <w:i/>
        </w:rPr>
        <w:t xml:space="preserve">Drift detection.</w:t>
      </w:r>
      <w:r>
        <w:t xml:space="preserve"> Detectors that track the error rate, such as the drift detection method (DDM) </w:t>
      </w:r>
      <w:r>
        <w:t xml:space="preserve">[8]</w:t>
      </w:r>
      <w:r>
        <w:t xml:space="preserve">, need a label for every prediction. They can detect concept drift but cannot distinguish it from label noise. Label-free detectors instead compare the inputs or the model outputs. Rabanser et al. </w:t>
      </w:r>
      <w:r>
        <w:t xml:space="preserve">[1]</w:t>
      </w:r>
      <w:r>
        <w:t xml:space="preserve"> compared univariate tests, kernel tests </w:t>
      </w:r>
      <w:r>
        <w:t xml:space="preserve">[9]</w:t>
      </w:r>
      <w:r>
        <w:t xml:space="preserve">, classifier two-sample tests </w:t>
      </w:r>
      <w:r>
        <w:t xml:space="preserve">[10]</w:t>
      </w:r>
      <w:r>
        <w:t xml:space="preserve"> and BBSD applied to the model outputs. They found that BBSD worked best overall. All of them indicate that a shift has occurred but not of which type. Our pipeline uses such tests as building blocks and goes on to name the type.</w:t>
      </w:r>
    </w:p>
    <w:p>
      <w:pPr>
        <w:pStyle w:val="PPBodyMainText"/>
      </w:pPr>
      <w:r>
        <w:rPr>
          <w:i/>
        </w:rPr>
        <w:t xml:space="preserve">Label shift.</w:t>
      </w:r>
      <w:r>
        <w:t xml:space="preserve"> BBSE recovers the new class prior from the confusion matrix of any classifier </w:t>
      </w:r>
      <w:r>
        <w:t xml:space="preserve">[5]</w:t>
      </w:r>
      <w:r>
        <w:t xml:space="preserve">. It assumes that the inputs within each class do not change, which is precisely the assumption that separates prior shift from covariate shift. Roschewitz et al. </w:t>
      </w:r>
      <w:r>
        <w:t xml:space="preserve">[6]</w:t>
      </w:r>
      <w:r>
        <w:t xml:space="preserve"> test this assumption on medical images. They resample the reference data to the estimated prevalence and attribute the shift to prevalence if the features then no longer differ. Our label-free stage builds on the same idea but uses importance weights instead of resampling and places every label-free decision in one family with a stated error rate.</w:t>
      </w:r>
    </w:p>
    <w:p>
      <w:pPr>
        <w:pStyle w:val="PPBodyMainText"/>
      </w:pPr>
      <w:r>
        <w:rPr>
          <w:i/>
        </w:rPr>
        <w:t xml:space="preserve">Performance estimation without labels.</w:t>
      </w:r>
      <w:r>
        <w:t xml:space="preserve"> Average confidence (AC) </w:t>
      </w:r>
      <w:r>
        <w:t xml:space="preserve">[11]</w:t>
      </w:r>
      <w:r>
        <w:t xml:space="preserve">, difference of confidences (DoC) </w:t>
      </w:r>
      <w:r>
        <w:t xml:space="preserve">[12]</w:t>
      </w:r>
      <w:r>
        <w:t xml:space="preserve">, average thresholded confidence (ATC) </w:t>
      </w:r>
      <w:r>
        <w:t xml:space="preserve">[2]</w:t>
      </w:r>
      <w:r>
        <w:t xml:space="preserve"> and CBPE </w:t>
      </w:r>
      <w:r>
        <w:t xml:space="preserve">[3]</w:t>
      </w:r>
      <w:r>
        <w:t xml:space="preserve"> all estimate accuracy from model outputs. Each assumes that the relationship between confidence and accuracy carries over to production. Because models often remain confident as their accuracy falls under shift </w:t>
      </w:r>
      <w:r>
        <w:t xml:space="preserve">[13]</w:t>
      </w:r>
      <w:r>
        <w:t xml:space="preserve">, this assumption can fail. Our pipeline reports CBPE alongside the other three and treats it as an upper bound when the assumption breaks.</w:t>
      </w:r>
    </w:p>
    <w:p>
      <w:pPr>
        <w:pStyle w:val="PPBodyMainText"/>
      </w:pPr>
      <w:r>
        <w:rPr>
          <w:i/>
        </w:rPr>
        <w:t xml:space="preserve">Explanation, reliability and benchmarks.</w:t>
      </w:r>
      <w:r>
        <w:t xml:space="preserve"> Shapley additive explanations (SHAP) </w:t>
      </w:r>
      <w:r>
        <w:t xml:space="preserve">[14]</w:t>
      </w:r>
      <w:r>
        <w:t xml:space="preserve"> and class activation maps (CAM) </w:t>
      </w:r>
      <w:r>
        <w:t xml:space="preserve">[15]</w:t>
      </w:r>
      <w:r>
        <w:t xml:space="preserve"> attribute predictions to features or to image regions. Out-of-distribution (OOD) scores such as the Isolation Forest </w:t>
      </w:r>
      <w:r>
        <w:t xml:space="preserve">[16]</w:t>
      </w:r>
      <w:r>
        <w:t xml:space="preserve"> flag unusual inputs, while importance weighting corrects covariate shift </w:t>
      </w:r>
      <w:r>
        <w:t xml:space="preserve">[17–19]</w:t>
      </w:r>
      <w:r>
        <w:t xml:space="preserve">. Folktables </w:t>
      </w:r>
      <w:r>
        <w:t xml:space="preserve">[20]</w:t>
      </w:r>
      <w:r>
        <w:t xml:space="preserve"> and CLEAR </w:t>
      </w:r>
      <w:r>
        <w:t xml:space="preserve">[21]</w:t>
      </w:r>
      <w:r>
        <w:t xml:space="preserve"> provide real shifts, although the type of each shift is unknown. Injected shifts supply a ground truth </w:t>
      </w:r>
      <w:r>
        <w:t xml:space="preserve">[1]</w:t>
      </w:r>
      <w:r>
        <w:t xml:space="preserve"> but risk favoring the method under test. Each of these tools serves one stage of our pipeline. Our benchmark holds out drift mechanisms to limit that risk.</w:t>
      </w:r>
    </w:p>
    <w:p>
      <w:pPr>
        <w:pStyle w:val="PPBodyMainText"/>
      </w:pPr>
      <w:r>
        <w:t xml:space="preserve">Each prior method thus addresses part of the problem. To our knowledge, no published method separates concept drift from label noise with a small label audit. Nor has any type diagnosis been evaluated on drift mechanisms held out from its design.</w:t>
      </w:r>
    </w:p>
    <w:p>
      <w:pPr>
        <w:pStyle w:val="PPHeading"/>
        <w:keepNext/>
      </w:pPr>
      <w:r>
        <w:t xml:space="preserve">3 Method</w:t>
      </w:r>
    </w:p>
    <w:p>
      <w:pPr>
        <w:pStyle w:val="PPBodyMainText"/>
        <w:ind w:firstLine="0"/>
      </w:pPr>
      <w:r>
        <w:t xml:space="preserve">The pipeline is designed for a team that has a deployed model, the labeled data on which it was built and a stream of unlabeled production data. Nothing else is required, although a few hundred late labels sharpen the diagnosis once they arrive. We first define the four drift types and then follow the data through the pipeline, whose stages Fig. </w:t>
      </w:r>
      <w:r>
        <w:t xml:space="preserve">1</w:t>
      </w:r>
      <w:r>
        <w:t xml:space="preserve"> shows.</w:t>
      </w:r>
    </w:p>
    <w:p>
      <w:pPr>
        <w:pStyle w:val="PPFigureTableCaption"/>
        <w:keepNext/>
        <w:spacing w:before="100" w:after="40" w:line="240" w:lineRule="auto"/>
      </w:pPr>
      <w:r>
        <w:drawing>
          <wp:inline distT="0" distB="0" distL="0" distR="0">
            <wp:extent cx="2937600" cy="1487083"/>
            <wp:docPr id="1" name="Figure 1" descr="Fi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1.png"/>
                    <pic:cNvPicPr/>
                  </pic:nvPicPr>
                  <pic:blipFill>
                    <a:blip r:embed="rIdI1"/>
                    <a:stretch>
                      <a:fillRect/>
                    </a:stretch>
                  </pic:blipFill>
                  <pic:spPr>
                    <a:xfrm>
                      <a:off x="0" y="0"/>
                      <a:ext cx="2937600" cy="1487083"/>
                    </a:xfrm>
                    <a:prstGeom prst="rect">
                      <a:avLst/>
                    </a:prstGeom>
                  </pic:spPr>
                </pic:pic>
              </a:graphicData>
            </a:graphic>
          </wp:inline>
        </w:drawing>
      </w:r>
    </w:p>
    <w:p>
      <w:pPr>
        <w:pStyle w:val="PPFigureTableCaption"/>
        <w:keepLines/>
        <w:spacing w:after="120"/>
      </w:pPr>
      <w:r>
        <w:rPr>
          <w:b/>
        </w:rPr>
        <w:t xml:space="preserve">Fig. 1</w:t>
      </w:r>
      <w:r>
        <w:t xml:space="preserve"> </w:t>
      </w:r>
      <w:r>
        <w:t xml:space="preserve">Stages of the monitoring pipeline, from the inputs (A) to the advice on retraining (F)</w:t>
      </w:r>
    </w:p>
    <w:p>
      <w:pPr>
        <w:pStyle w:val="PPBodyMainText"/>
      </w:pPr>
      <w:r>
        <w:t xml:space="preserve">Stages A to C bring the data into a common form, test whether anything has changed and estimate how much accuracy the change may cost. Stage D, the core of this paper, names the type of change and points to its likely cause. Stages E and F turn these findings into action for individual predictions and for the retraining decision. Only the optional audit in stage D uses production labels. Apart from the population stability index (PSI), which alarms at its conventional threshold, every decision is a hypothesis test at the significance level </w:t>
      </w:r>
      <m:oMath>
        <m:r>
          <m:t>α</m:t>
        </m:r>
        <m:r>
          <m:rPr>
            <m:sty m:val="p"/>
          </m:rPr>
          <m:t>=</m:t>
        </m:r>
        <m:r>
          <m:t>0.05</m:t>
        </m:r>
      </m:oMath>
      <w:r>
        <w:t xml:space="preserve">. The family-wise error rate is controlled by the Holm procedure </w:t>
      </w:r>
      <w:r>
        <w:t xml:space="preserve">[22]</w:t>
      </w:r>
      <w:r>
        <w:t xml:space="preserve">, its weighted form or its Bonferroni bound.</w:t>
      </w:r>
    </w:p>
    <w:p>
      <w:pPr>
        <w:pStyle w:val="PPHeading"/>
        <w:keepNext/>
      </w:pPr>
      <w:r>
        <w:t xml:space="preserve">3.1 Notation and drift types</w:t>
      </w:r>
    </w:p>
    <w:p>
      <w:pPr>
        <w:pStyle w:val="PPBodyMainText"/>
        <w:ind w:firstLine="0"/>
      </w:pPr>
      <w:r>
        <w:t xml:space="preserve">The tests described below require a precise statement of what each type of drift changes. The reference data are drawn from a distribution </w:t>
      </w:r>
      <m:oMath>
        <m:r>
          <m:t>P</m:t>
        </m:r>
        <m:r>
          <m:rPr>
            <m:sty m:val="p"/>
          </m:rPr>
          <m:t>(</m:t>
        </m:r>
        <m:r>
          <m:t>X</m:t>
        </m:r>
        <m:r>
          <m:rPr>
            <m:sty m:val="p"/>
          </m:rPr>
          <m:t>,</m:t>
        </m:r>
        <m:r>
          <m:t>Y</m:t>
        </m:r>
        <m:r>
          <m:rPr>
            <m:sty m:val="p"/>
          </m:rPr>
          <m:t>)</m:t>
        </m:r>
      </m:oMath>
      <w:r>
        <w:t xml:space="preserve"> over inputs </w:t>
      </w:r>
      <m:oMath>
        <m:r>
          <m:t>X</m:t>
        </m:r>
      </m:oMath>
      <w:r>
        <w:t xml:space="preserve"> and labels </w:t>
      </w:r>
      <m:oMath>
        <m:r>
          <m:t>Y</m:t>
        </m:r>
      </m:oMath>
      <w:r>
        <w:t xml:space="preserve">. A production window is a batch of rows from a later period or a different region, drawn from </w:t>
      </w:r>
      <m:oMath>
        <m:r>
          <m:t>Q</m:t>
        </m:r>
        <m:r>
          <m:rPr>
            <m:sty m:val="p"/>
          </m:rPr>
          <m:t>(</m:t>
        </m:r>
        <m:r>
          <m:t>X</m:t>
        </m:r>
        <m:r>
          <m:rPr>
            <m:sty m:val="p"/>
          </m:rPr>
          <m:t>,</m:t>
        </m:r>
        <m:r>
          <m:t>Y</m:t>
        </m:r>
        <m:r>
          <m:rPr>
            <m:sty m:val="p"/>
          </m:rPr>
          <m:t>)</m:t>
        </m:r>
      </m:oMath>
      <w:r>
        <w:t xml:space="preserve">. The model returns a predicted label </w:t>
      </w:r>
      <m:oMath>
        <m:acc>
          <m:accPr>
            <m:chr m:val="̂"/>
          </m:accPr>
          <m:e>
            <m:r>
              <m:t>y</m:t>
            </m:r>
          </m:e>
        </m:acc>
      </m:oMath>
      <w:r>
        <w:t xml:space="preserve"> and a confidence </w:t>
      </w:r>
      <m:oMath>
        <m:r>
          <m:t>c</m:t>
        </m:r>
      </m:oMath>
      <w:r>
        <w:t xml:space="preserve">, its largest class probability. The four types differ in what changes between </w:t>
      </w:r>
      <m:oMath>
        <m:r>
          <m:t>P</m:t>
        </m:r>
      </m:oMath>
      <w:r>
        <w:t xml:space="preserve"> and </w:t>
      </w:r>
      <m:oMath>
        <m:r>
          <m:t>Q</m:t>
        </m:r>
      </m:oMath>
      <w:r>
        <w:t xml:space="preserve">. Covariate shift has </w:t>
      </w:r>
      <m:oMath>
        <m:r>
          <m:t>Q</m:t>
        </m:r>
        <m:r>
          <m:rPr>
            <m:sty m:val="p"/>
          </m:rPr>
          <m:t>(</m:t>
        </m:r>
        <m:r>
          <m:t>X</m:t>
        </m:r>
        <m:r>
          <m:rPr>
            <m:sty m:val="p"/>
          </m:rPr>
          <m:t>)</m:t>
        </m:r>
        <m:r>
          <m:rPr>
            <m:sty m:val="p"/>
          </m:rPr>
          <m:t>≠</m:t>
        </m:r>
        <m:r>
          <m:t>P</m:t>
        </m:r>
        <m:r>
          <m:rPr>
            <m:sty m:val="p"/>
          </m:rPr>
          <m:t>(</m:t>
        </m:r>
        <m:r>
          <m:t>X</m:t>
        </m:r>
        <m:r>
          <m:rPr>
            <m:sty m:val="p"/>
          </m:rPr>
          <m:t>)</m:t>
        </m:r>
      </m:oMath>
      <w:r>
        <w:t xml:space="preserve"> while </w:t>
      </w:r>
      <m:oMath>
        <m:r>
          <m:t>Q</m:t>
        </m:r>
        <m:r>
          <m:rPr>
            <m:sty m:val="p"/>
          </m:rPr>
          <m:t>(</m:t>
        </m:r>
        <m:r>
          <m:t>Y</m:t>
        </m:r>
        <m:r>
          <m:rPr>
            <m:sty m:val="p"/>
          </m:rPr>
          <m:t>∣</m:t>
        </m:r>
        <m:r>
          <m:t>X</m:t>
        </m:r>
        <m:r>
          <m:rPr>
            <m:sty m:val="p"/>
          </m:rPr>
          <m:t>)</m:t>
        </m:r>
        <m:r>
          <m:rPr>
            <m:sty m:val="p"/>
          </m:rPr>
          <m:t>=</m:t>
        </m:r>
        <m:r>
          <m:t>P</m:t>
        </m:r>
        <m:r>
          <m:rPr>
            <m:sty m:val="p"/>
          </m:rPr>
          <m:t>(</m:t>
        </m:r>
        <m:r>
          <m:t>Y</m:t>
        </m:r>
        <m:r>
          <m:rPr>
            <m:sty m:val="p"/>
          </m:rPr>
          <m:t>∣</m:t>
        </m:r>
        <m:r>
          <m:t>X</m:t>
        </m:r>
        <m:r>
          <m:rPr>
            <m:sty m:val="p"/>
          </m:rPr>
          <m:t>)</m:t>
        </m:r>
      </m:oMath>
      <w:r>
        <w:t xml:space="preserve">. Prior shift has </w:t>
      </w:r>
      <m:oMath>
        <m:r>
          <m:t>Q</m:t>
        </m:r>
        <m:r>
          <m:rPr>
            <m:sty m:val="p"/>
          </m:rPr>
          <m:t>(</m:t>
        </m:r>
        <m:r>
          <m:t>Y</m:t>
        </m:r>
        <m:r>
          <m:rPr>
            <m:sty m:val="p"/>
          </m:rPr>
          <m:t>)</m:t>
        </m:r>
        <m:r>
          <m:rPr>
            <m:sty m:val="p"/>
          </m:rPr>
          <m:t>≠</m:t>
        </m:r>
        <m:r>
          <m:t>P</m:t>
        </m:r>
        <m:r>
          <m:rPr>
            <m:sty m:val="p"/>
          </m:rPr>
          <m:t>(</m:t>
        </m:r>
        <m:r>
          <m:t>Y</m:t>
        </m:r>
        <m:r>
          <m:rPr>
            <m:sty m:val="p"/>
          </m:rPr>
          <m:t>)</m:t>
        </m:r>
      </m:oMath>
      <w:r>
        <w:t xml:space="preserve"> while </w:t>
      </w:r>
      <m:oMath>
        <m:r>
          <m:t>Q</m:t>
        </m:r>
        <m:r>
          <m:rPr>
            <m:sty m:val="p"/>
          </m:rPr>
          <m:t>(</m:t>
        </m:r>
        <m:r>
          <m:t>X</m:t>
        </m:r>
        <m:r>
          <m:rPr>
            <m:sty m:val="p"/>
          </m:rPr>
          <m:t>∣</m:t>
        </m:r>
        <m:r>
          <m:t>Y</m:t>
        </m:r>
        <m:r>
          <m:rPr>
            <m:sty m:val="p"/>
          </m:rPr>
          <m:t>)</m:t>
        </m:r>
        <m:r>
          <m:rPr>
            <m:sty m:val="p"/>
          </m:rPr>
          <m:t>=</m:t>
        </m:r>
        <m:r>
          <m:t>P</m:t>
        </m:r>
        <m:r>
          <m:rPr>
            <m:sty m:val="p"/>
          </m:rPr>
          <m:t>(</m:t>
        </m:r>
        <m:r>
          <m:t>X</m:t>
        </m:r>
        <m:r>
          <m:rPr>
            <m:sty m:val="p"/>
          </m:rPr>
          <m:t>∣</m:t>
        </m:r>
        <m:r>
          <m:t>Y</m:t>
        </m:r>
        <m:r>
          <m:rPr>
            <m:sty m:val="p"/>
          </m:rPr>
          <m:t>)</m:t>
        </m:r>
      </m:oMath>
      <w:r>
        <w:t xml:space="preserve">. Concept drift has </w:t>
      </w:r>
      <m:oMath>
        <m:r>
          <m:t>Q</m:t>
        </m:r>
        <m:r>
          <m:rPr>
            <m:sty m:val="p"/>
          </m:rPr>
          <m:t>(</m:t>
        </m:r>
        <m:r>
          <m:t>Y</m:t>
        </m:r>
        <m:r>
          <m:rPr>
            <m:sty m:val="p"/>
          </m:rPr>
          <m:t>∣</m:t>
        </m:r>
        <m:r>
          <m:t>X</m:t>
        </m:r>
        <m:r>
          <m:rPr>
            <m:sty m:val="p"/>
          </m:rPr>
          <m:t>)</m:t>
        </m:r>
        <m:r>
          <m:rPr>
            <m:sty m:val="p"/>
          </m:rPr>
          <m:t>≠</m:t>
        </m:r>
        <m:r>
          <m:t>P</m:t>
        </m:r>
        <m:r>
          <m:rPr>
            <m:sty m:val="p"/>
          </m:rPr>
          <m:t>(</m:t>
        </m:r>
        <m:r>
          <m:t>Y</m:t>
        </m:r>
        <m:r>
          <m:rPr>
            <m:sty m:val="p"/>
          </m:rPr>
          <m:t>∣</m:t>
        </m:r>
        <m:r>
          <m:t>X</m:t>
        </m:r>
        <m:r>
          <m:rPr>
            <m:sty m:val="p"/>
          </m:rPr>
          <m:t>)</m:t>
        </m:r>
      </m:oMath>
      <w:r>
        <w:t xml:space="preserve">. Under label noise the true distribution stays the same, but each observed label differs from the true one with some probability. An audit is a random sample of </w:t>
      </w:r>
      <m:oMath>
        <m:r>
          <m:t>m</m:t>
        </m:r>
      </m:oMath>
      <w:r>
        <w:t xml:space="preserve"> production rows whose labels arrive late. A control window is drawn from the reference distribution itself and should therefore raise no alarm. Real drift can mix several types, as Section </w:t>
      </w:r>
      <w:r>
        <w:t xml:space="preserve">6</w:t>
      </w:r>
      <w:r>
        <w:t xml:space="preserve"> discusses.</w:t>
      </w:r>
    </w:p>
    <w:p>
      <w:pPr>
        <w:pStyle w:val="PPHeading"/>
        <w:keepNext/>
      </w:pPr>
      <w:r>
        <w:t xml:space="preserve">3.2 Reference split, detection and estimation</w:t>
      </w:r>
    </w:p>
    <w:p>
      <w:pPr>
        <w:pStyle w:val="PPBodyMainText"/>
        <w:ind w:firstLine="0"/>
      </w:pPr>
      <w:r>
        <w:t xml:space="preserve">Stage C addresses three questions in turn: whether the data have moved, how much accuracy the change might cost and where it is located. It first requires a clean reference. The labeled reference data are split into three disjoint parts, stratified by class: 60% for training, 20% for calibration and 20% for testing. The model is fitted on the training part alone. The calibration part is the reference window for every detector and fits the accuracy estimator, while the test part gives the reference accuracy and acts as the control window. Nominal features, such as an occupation code, are treated as categorical because their numeric order carries no meaning. Images are mapped to the 512-dimensional output of the global average pooling layer of a frozen residual network with 18 layers (ResNet-18) trained on ImageNet </w:t>
      </w:r>
      <w:r>
        <w:t xml:space="preserve">[23]</w:t>
      </w:r>
      <w:r>
        <w:t xml:space="preserve">, so image drift can be tested with the tabular tests </w:t>
      </w:r>
      <w:r>
        <w:t xml:space="preserve">[1]</w:t>
      </w:r>
      <w:r>
        <w:t xml:space="preserve">.</w:t>
      </w:r>
    </w:p>
    <w:p>
      <w:pPr>
        <w:pStyle w:val="PPBodyMainText"/>
      </w:pPr>
      <w:r>
        <w:t xml:space="preserve">Six detectors decide whether the inputs or the model outputs have moved. The Kolmogorov–Smirnov (KS) test is applied to each numeric feature with a Bonferroni correction. PSI alarms at the conventional value of 0.2 </w:t>
      </w:r>
      <w:r>
        <w:t xml:space="preserve">[24]</w:t>
      </w:r>
      <w:r>
        <w:t xml:space="preserve">. The maximum mean discrepancy (MMD) test </w:t>
      </w:r>
      <w:r>
        <w:t xml:space="preserve">[9]</w:t>
      </w:r>
      <w:r>
        <w:t xml:space="preserve"> is a permutation test on all standardized inputs jointly, using a Gaussian kernel. The confidence test compares histograms of </w:t>
      </w:r>
      <m:oMath>
        <m:r>
          <m:t>c</m:t>
        </m:r>
      </m:oMath>
      <w:r>
        <w:t xml:space="preserve"> with a </w:t>
      </w:r>
      <m:oMath>
        <m:sSup>
          <m:e>
            <m:r>
              <m:t>χ</m:t>
            </m:r>
          </m:e>
          <m:sup>
            <m:r>
              <m:t>2</m:t>
            </m:r>
          </m:sup>
        </m:sSup>
      </m:oMath>
      <w:r>
        <w:t xml:space="preserve"> test of homogeneity, pooling sparse cells until every expected count reaches 5 </w:t>
      </w:r>
      <w:r>
        <w:t xml:space="preserve">[25]</w:t>
      </w:r>
      <w:r>
        <w:t xml:space="preserve">. Two detectors from Rabanser et al. </w:t>
      </w:r>
      <w:r>
        <w:t xml:space="preserve">[1]</w:t>
      </w:r>
      <w:r>
        <w:t xml:space="preserve"> serve as baselines. BBSD applies a KS test to each class probability. The domain classifier trains gradient boosted trees to separate 3,000 reference rows from as many production rows and compares its held-out accuracy with </w:t>
      </w:r>
      <m:oMath>
        <m:r>
          <m:t>1</m:t>
        </m:r>
        <m:r>
          <m:rPr>
            <m:sty m:val="p"/>
          </m:rPr>
          <m:t>/</m:t>
        </m:r>
        <m:r>
          <m:t>2</m:t>
        </m:r>
      </m:oMath>
      <w:r>
        <w:t xml:space="preserve"> by an exact binomial test </w:t>
      </w:r>
      <w:r>
        <w:t xml:space="preserve">[10]</w:t>
      </w:r>
      <w:r>
        <w:t xml:space="preserve">. Every permutation p value is given by </w:t>
      </w:r>
      <m:oMath>
        <m:r>
          <m:rPr>
            <m:sty m:val="p"/>
          </m:rPr>
          <m:t>(</m:t>
        </m:r>
        <m:r>
          <m:t>1</m:t>
        </m:r>
        <m:r>
          <m:rPr>
            <m:sty m:val="p"/>
          </m:rPr>
          <m:t>+</m:t>
        </m:r>
        <m:r>
          <m:t>b</m:t>
        </m:r>
        <m:r>
          <m:rPr>
            <m:sty m:val="p"/>
          </m:rPr>
          <m:t>)</m:t>
        </m:r>
        <m:r>
          <m:rPr>
            <m:sty m:val="p"/>
          </m:rPr>
          <m:t>/</m:t>
        </m:r>
        <m:r>
          <m:rPr>
            <m:sty m:val="p"/>
          </m:rPr>
          <m:t>(</m:t>
        </m:r>
        <m:r>
          <m:t>1</m:t>
        </m:r>
        <m:r>
          <m:rPr>
            <m:sty m:val="p"/>
          </m:rPr>
          <m:t>+</m:t>
        </m:r>
        <m:r>
          <m:t>B</m:t>
        </m:r>
        <m:r>
          <m:rPr>
            <m:sty m:val="p"/>
          </m:rPr>
          <m:t>)</m:t>
        </m:r>
      </m:oMath>
      <w:r>
        <w:t xml:space="preserve">, where </w:t>
      </w:r>
      <m:oMath>
        <m:r>
          <m:t>b</m:t>
        </m:r>
      </m:oMath>
      <w:r>
        <w:t xml:space="preserve"> of the </w:t>
      </w:r>
      <m:oMath>
        <m:r>
          <m:t>B</m:t>
        </m:r>
      </m:oMath>
      <w:r>
        <w:t xml:space="preserve"> permutations reach the observed statistic </w:t>
      </w:r>
      <w:r>
        <w:t xml:space="preserve">[26]</w:t>
      </w:r>
      <w:r>
        <w:t xml:space="preserve">.</w:t>
      </w:r>
    </w:p>
    <w:p>
      <w:pPr>
        <w:pStyle w:val="PPBodyMainText"/>
      </w:pPr>
      <w:r>
        <w:t xml:space="preserve">Because labels arrive late, accuracy is first estimated from the model’s own confidence with CBPE </w:t>
      </w:r>
      <w:r>
        <w:t xml:space="preserve">[3]</w:t>
      </w:r>
      <w:r>
        <w:t xml:space="preserve">. A map </w:t>
      </w:r>
      <m:oMath>
        <m:r>
          <m:t>a</m:t>
        </m:r>
        <m:r>
          <m:rPr>
            <m:sty m:val="p"/>
          </m:rPr>
          <m:t>(</m:t>
        </m:r>
        <m:r>
          <m:rPr>
            <m:sty m:val="p"/>
          </m:rPr>
          <m:t>⋅</m:t>
        </m:r>
        <m:r>
          <m:rPr>
            <m:sty m:val="p"/>
          </m:rPr>
          <m:t>)</m:t>
        </m:r>
      </m:oMath>
      <w:r>
        <w:t xml:space="preserve"> from confidence to the probability of a correct prediction is fitted by histogram binning on the calibration part. The estimate </w:t>
      </w:r>
      <m:oMath>
        <m:acc>
          <m:accPr>
            <m:chr m:val="̂"/>
          </m:accPr>
          <m:e>
            <m:r>
              <m:t>A</m:t>
            </m:r>
          </m:e>
        </m:acc>
      </m:oMath>
      <w:r>
        <w:t xml:space="preserve"> for a window with confidences </w:t>
      </w:r>
      <m:oMath>
        <m:sSub>
          <m:e>
            <m:r>
              <m:t>c</m:t>
            </m:r>
          </m:e>
          <m:sub>
            <m:r>
              <m:t>1</m:t>
            </m:r>
          </m:sub>
        </m:sSub>
      </m:oMath>
      <w:r>
        <w:t xml:space="preserve"> to </w:t>
      </w:r>
      <m:oMath>
        <m:sSub>
          <m:e>
            <m:r>
              <m:t>c</m:t>
            </m:r>
          </m:e>
          <m:sub>
            <m:r>
              <m:t>n</m:t>
            </m:r>
          </m:sub>
        </m:sSub>
      </m:oMath>
      <w:r>
        <w:t xml:space="preserve"> is given by</w:t>
      </w:r>
    </w:p>
    <w:p>
      <w:pPr>
        <w:pStyle w:val="PPEquation"/>
        <w:tabs>
          <w:tab w:val="center" w:pos="2367"/>
          <w:tab w:val="right" w:pos="4734"/>
        </w:tabs>
        <w:spacing w:before="80" w:after="80" w:line="240" w:lineRule="auto"/>
      </w:pPr>
      <w:r>
        <w:tab/>
      </w:r>
      <m:oMath>
        <m:acc>
          <m:accPr>
            <m:chr m:val="̂"/>
          </m:accPr>
          <m:e>
            <m:r>
              <m:t>A</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a</m:t>
            </m:r>
          </m:e>
        </m:nary>
        <m:r>
          <m:rPr>
            <m:sty m:val="p"/>
          </m:rPr>
          <m:t>(</m:t>
        </m:r>
        <m:sSub>
          <m:e>
            <m:r>
              <m:t>c</m:t>
            </m:r>
          </m:e>
          <m:sub>
            <m:r>
              <m:t>i</m:t>
            </m:r>
          </m:sub>
        </m:sSub>
        <m:r>
          <m:rPr>
            <m:sty m:val="p"/>
          </m:rPr>
          <m:t>)</m:t>
        </m:r>
      </m:oMath>
      <w:r>
        <w:t xml:space="preserve">.</w:t>
      </w:r>
      <w:r>
        <w:tab/>
      </w:r>
      <w:r>
        <w:t xml:space="preserve">(1)</w:t>
      </w:r>
    </w:p>
    <w:p>
      <w:pPr>
        <w:pStyle w:val="PPBodyMainText"/>
        <w:ind w:firstLine="0"/>
      </w:pPr>
      <w:r>
        <w:t xml:space="preserve">A confidence bin with fewer than 5 calibration rows gives no reliable accuracy, so predictions in such a bin keep their own confidence in Eq. (</w:t>
      </w:r>
      <w:r>
        <w:t xml:space="preserve">1</w:t>
      </w:r>
      <w:r>
        <w:t xml:space="preserve">). AC, DoC and ATC (with the negative entropy score) are fitted on the same calibration part as baselines </w:t>
      </w:r>
      <w:r>
        <w:t xml:space="preserve">[2, 11, 12]</w:t>
      </w:r>
      <w:r>
        <w:t xml:space="preserve">.</w:t>
      </w:r>
    </w:p>
    <w:p>
      <w:pPr>
        <w:pStyle w:val="PPBodyMainText"/>
      </w:pPr>
      <w:r>
        <w:t xml:space="preserve">An alarm is more useful when it also says where the change is located. Localization tests every feature with KS (numeric) or </w:t>
      </w:r>
      <m:oMath>
        <m:sSup>
          <m:e>
            <m:r>
              <m:t>χ</m:t>
            </m:r>
          </m:e>
          <m:sup>
            <m:r>
              <m:t>2</m:t>
            </m:r>
          </m:sup>
        </m:sSup>
      </m:oMath>
      <w:r>
        <w:t xml:space="preserve"> homogeneity (nominal) under Holm correction and reports an effect size in </w:t>
      </w:r>
      <m:oMath>
        <m:r>
          <m:rPr>
            <m:sty m:val="p"/>
          </m:rPr>
          <m:t>[</m:t>
        </m:r>
        <m:r>
          <m:t>0</m:t>
        </m:r>
        <m:r>
          <m:rPr>
            <m:sty m:val="p"/>
          </m:rPr>
          <m:t>,</m:t>
        </m:r>
        <m:r>
          <m:t>1</m:t>
        </m:r>
        <m:r>
          <m:rPr>
            <m:sty m:val="p"/>
          </m:rPr>
          <m:t>]</m:t>
        </m:r>
      </m:oMath>
      <w:r>
        <w:t xml:space="preserve">, the KS statistic or Cramér’s </w:t>
      </w:r>
      <m:oMath>
        <m:r>
          <m:t>V</m:t>
        </m:r>
      </m:oMath>
      <w:r>
        <w:t xml:space="preserve">. For nominal features it also reports the share of production rows whose category never occurs in the reference.</w:t>
      </w:r>
    </w:p>
    <w:p>
      <w:pPr>
        <w:pStyle w:val="PPHeading"/>
        <w:keepNext/>
      </w:pPr>
      <w:r>
        <w:t xml:space="preserve">3.3 Drift type diagnosis</w:t>
      </w:r>
    </w:p>
    <w:p>
      <w:pPr>
        <w:pStyle w:val="PPBodyMainText"/>
        <w:ind w:firstLine="0"/>
      </w:pPr>
      <w:r>
        <w:t xml:space="preserve">Stage D turns an alarm into one of the four types, each with its own response. It works in two stages along the decision path in Fig. </w:t>
      </w:r>
      <w:r>
        <w:t xml:space="preserve">2</w:t>
      </w:r>
      <w:r>
        <w:t xml:space="preserve">, which the rest of this section explains. The upper row of questions uses no labels and separates covariate from prior shift. The lower row, which runs only when no label-free test rejects and an audit is available, separates concept drift from label noise.</w:t>
      </w:r>
    </w:p>
    <w:p>
      <w:pPr>
        <w:pStyle w:val="PPFigureTableCaption"/>
        <w:keepNext/>
        <w:spacing w:before="100" w:after="40" w:line="240" w:lineRule="auto"/>
      </w:pPr>
      <w:r>
        <w:drawing>
          <wp:inline distT="0" distB="0" distL="0" distR="0">
            <wp:extent cx="3006000" cy="1657642"/>
            <wp:docPr id="2" name="Figure 2" descr="Fi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2.png"/>
                    <pic:cNvPicPr/>
                  </pic:nvPicPr>
                  <pic:blipFill>
                    <a:blip r:embed="rIdI2"/>
                    <a:stretch>
                      <a:fillRect/>
                    </a:stretch>
                  </pic:blipFill>
                  <pic:spPr>
                    <a:xfrm>
                      <a:off x="0" y="0"/>
                      <a:ext cx="3006000" cy="1657642"/>
                    </a:xfrm>
                    <a:prstGeom prst="rect">
                      <a:avLst/>
                    </a:prstGeom>
                  </pic:spPr>
                </pic:pic>
              </a:graphicData>
            </a:graphic>
          </wp:inline>
        </w:drawing>
      </w:r>
    </w:p>
    <w:p>
      <w:pPr>
        <w:pStyle w:val="PPFigureTableCaption"/>
        <w:keepLines/>
        <w:spacing w:after="120"/>
      </w:pPr>
      <w:r>
        <w:rPr>
          <w:b/>
        </w:rPr>
        <w:t xml:space="preserve">Fig. 2</w:t>
      </w:r>
      <w:r>
        <w:t xml:space="preserve"> </w:t>
      </w:r>
      <w:r>
        <w:t xml:space="preserve">Decision path that names the drift type. Questions are shown in white boxes and verdicts in gray boxes; the upper row needs no labels and the lower row uses the audit</w:t>
      </w:r>
    </w:p>
    <w:p>
      <w:pPr>
        <w:pStyle w:val="PPBodyMainText"/>
      </w:pPr>
      <w:r>
        <w:rPr>
          <w:i/>
        </w:rPr>
        <w:t xml:space="preserve">Label-free stage.</w:t>
      </w:r>
      <w:r>
        <w:t xml:space="preserve"> The first question in Fig. </w:t>
      </w:r>
      <w:r>
        <w:t xml:space="preserve">2</w:t>
      </w:r>
      <w:r>
        <w:t xml:space="preserve"> is whether anything has moved at all. Three blocks of tests answer it: the feature tests, a </w:t>
      </w:r>
      <m:oMath>
        <m:sSup>
          <m:e>
            <m:r>
              <m:t>χ</m:t>
            </m:r>
          </m:e>
          <m:sup>
            <m:r>
              <m:t>2</m:t>
            </m:r>
          </m:sup>
        </m:sSup>
      </m:oMath>
      <w:r>
        <w:t xml:space="preserve"> test on the predicted labels and the MMD test. They form one family, tested at level </w:t>
      </w:r>
      <m:oMath>
        <m:r>
          <m:t>α</m:t>
        </m:r>
      </m:oMath>
      <w:r>
        <w:t xml:space="preserve"> with a weighted Holm procedure </w:t>
      </w:r>
      <w:r>
        <w:t xml:space="preserve">[22]</w:t>
      </w:r>
      <w:r>
        <w:t xml:space="preserve">. The three blocks receive equal weight, which the feature block divides equally among its features. Whenever a test is rejected, its weight passes to the tests that remain, so the family-wise error rate is controlled over every label-free decision. The first step equals the Holm procedure over the three blocks, with each block’s features pooled by their Bonferroni p value. Pooling lets the MMD test, whose smallest possible p value is </w:t>
      </w:r>
      <m:oMath>
        <m:r>
          <m:t>1</m:t>
        </m:r>
        <m:r>
          <m:rPr>
            <m:sty m:val="p"/>
          </m:rPr>
          <m:t>/</m:t>
        </m:r>
        <m:r>
          <m:rPr>
            <m:sty m:val="p"/>
          </m:rPr>
          <m:t>(</m:t>
        </m:r>
        <m:r>
          <m:t>B</m:t>
        </m:r>
        <m:r>
          <m:rPr>
            <m:sty m:val="p"/>
          </m:rPr>
          <m:t>+</m:t>
        </m:r>
        <m:r>
          <m:t>1</m:t>
        </m:r>
        <m:r>
          <m:rPr>
            <m:sty m:val="p"/>
          </m:rPr>
          <m:t>)</m:t>
        </m:r>
      </m:oMath>
      <w:r>
        <w:t xml:space="preserve">, compete with many feature tests. If no test rejects, the label-free stage reports no shift.</w:t>
      </w:r>
    </w:p>
    <w:p>
      <w:pPr>
        <w:pStyle w:val="PPBodyMainText"/>
      </w:pPr>
      <w:r>
        <w:t xml:space="preserve">If a block rejects, the diagnosis asks whether a change in the class balance alone explains the shift. BBSE estimates the new class prior. Let </w:t>
      </w:r>
      <m:oMath>
        <m:sSub>
          <m:e>
            <m:r>
              <m:t>C</m:t>
            </m:r>
          </m:e>
          <m:sub>
            <m:r>
              <m:t>j</m:t>
            </m:r>
            <m:r>
              <m:t>k</m:t>
            </m:r>
          </m:sub>
        </m:sSub>
        <m:r>
          <m:rPr>
            <m:sty m:val="p"/>
          </m:rPr>
          <m:t>=</m:t>
        </m:r>
        <m:r>
          <m:t>P</m:t>
        </m:r>
        <m:r>
          <m:rPr>
            <m:sty m:val="p"/>
          </m:rPr>
          <m:t>(</m:t>
        </m:r>
        <m:acc>
          <m:accPr>
            <m:chr m:val="̂"/>
          </m:accPr>
          <m:e>
            <m:r>
              <m:t>y</m:t>
            </m:r>
          </m:e>
        </m:acc>
        <m:r>
          <m:rPr>
            <m:sty m:val="p"/>
          </m:rPr>
          <m:t>=</m:t>
        </m:r>
        <m:r>
          <m:t>j</m:t>
        </m:r>
        <m:r>
          <m:rPr>
            <m:sty m:val="p"/>
          </m:rPr>
          <m:t>,</m:t>
        </m:r>
        <m:r>
          <m:t>y</m:t>
        </m:r>
        <m:r>
          <m:rPr>
            <m:sty m:val="p"/>
          </m:rPr>
          <m:t>=</m:t>
        </m:r>
        <m:r>
          <m:t>k</m:t>
        </m:r>
        <m:r>
          <m:rPr>
            <m:sty m:val="p"/>
          </m:rPr>
          <m:t>)</m:t>
        </m:r>
      </m:oMath>
      <w:r>
        <w:t xml:space="preserve"> on the calibration part and let </w:t>
      </w:r>
      <m:oMath>
        <m:sSub>
          <m:e>
            <m:r>
              <m:t>μ</m:t>
            </m:r>
          </m:e>
          <m:sub>
            <m:r>
              <m:t>j</m:t>
            </m:r>
          </m:sub>
        </m:sSub>
      </m:oMath>
      <w:r>
        <w:t xml:space="preserve"> be the share of production predictions in class </w:t>
      </w:r>
      <m:oMath>
        <m:r>
          <m:t>j</m:t>
        </m:r>
      </m:oMath>
      <w:r>
        <w:t xml:space="preserve">. The class weights </w:t>
      </w:r>
      <m:oMath>
        <m:sSub>
          <m:e>
            <m:r>
              <m:t>w</m:t>
            </m:r>
          </m:e>
          <m:sub>
            <m:r>
              <m:t>k</m:t>
            </m:r>
          </m:sub>
        </m:sSub>
        <m:r>
          <m:rPr>
            <m:sty m:val="p"/>
          </m:rPr>
          <m:t>=</m:t>
        </m:r>
        <m:r>
          <m:t>Q</m:t>
        </m:r>
        <m:r>
          <m:rPr>
            <m:sty m:val="p"/>
          </m:rPr>
          <m:t>(</m:t>
        </m:r>
        <m:r>
          <m:t>Y</m:t>
        </m:r>
        <m:r>
          <m:rPr>
            <m:sty m:val="p"/>
          </m:rPr>
          <m:t>=</m:t>
        </m:r>
        <m:r>
          <m:t>k</m:t>
        </m:r>
        <m:r>
          <m:rPr>
            <m:sty m:val="p"/>
          </m:rPr>
          <m:t>)</m:t>
        </m:r>
        <m:r>
          <m:rPr>
            <m:sty m:val="p"/>
          </m:rPr>
          <m:t>/</m:t>
        </m:r>
        <m:r>
          <m:t>P</m:t>
        </m:r>
        <m:r>
          <m:rPr>
            <m:sty m:val="p"/>
          </m:rPr>
          <m:t>(</m:t>
        </m:r>
        <m:r>
          <m:t>Y</m:t>
        </m:r>
        <m:r>
          <m:rPr>
            <m:sty m:val="p"/>
          </m:rPr>
          <m:t>=</m:t>
        </m:r>
        <m:r>
          <m:t>k</m:t>
        </m:r>
        <m:r>
          <m:rPr>
            <m:sty m:val="p"/>
          </m:rPr>
          <m:t>)</m:t>
        </m:r>
      </m:oMath>
      <w:r>
        <w:t xml:space="preserve"> are given by the solution of</w:t>
      </w:r>
    </w:p>
    <w:p>
      <w:pPr>
        <w:pStyle w:val="PPEquation"/>
        <w:tabs>
          <w:tab w:val="center" w:pos="2367"/>
          <w:tab w:val="right" w:pos="4734"/>
        </w:tabs>
        <w:spacing w:before="80" w:after="80" w:line="240" w:lineRule="auto"/>
      </w:pPr>
      <w:r>
        <w:tab/>
      </w:r>
      <m:oMath>
        <m:r>
          <m:t>C</m:t>
        </m:r>
        <m:r>
          <m:t> </m:t>
        </m:r>
        <m:r>
          <m:t>w</m:t>
        </m:r>
        <m:r>
          <m:rPr>
            <m:sty m:val="p"/>
          </m:rPr>
          <m:t>=</m:t>
        </m:r>
        <m:r>
          <m:t>μ</m:t>
        </m:r>
      </m:oMath>
      <w:r>
        <w:t xml:space="preserve">.</w:t>
      </w:r>
      <w:r>
        <w:tab/>
      </w:r>
      <w:r>
        <w:t xml:space="preserve">(2)</w:t>
      </w:r>
    </w:p>
    <w:p>
      <w:pPr>
        <w:pStyle w:val="PPBodyMainText"/>
        <w:ind w:firstLine="0"/>
      </w:pPr>
      <w:r>
        <w:t xml:space="preserve">Under a pure prior shift the inputs within each class keep their distribution, so reweighting each reference row by the weight </w:t>
      </w:r>
      <m:oMath>
        <m:sSub>
          <m:e>
            <m:r>
              <m:t>w</m:t>
            </m:r>
          </m:e>
          <m:sub>
            <m:r>
              <m:t>y</m:t>
            </m:r>
          </m:sub>
        </m:sSub>
      </m:oMath>
      <w:r>
        <w:t xml:space="preserve"> from Eq. (</w:t>
      </w:r>
      <w:r>
        <w:t xml:space="preserve">2</w:t>
      </w:r>
      <w:r>
        <w:t xml:space="preserve">) should reproduce the production inputs. This label shift consistency test follows the prevalence adjustment of Roschewitz et al. </w:t>
      </w:r>
      <w:r>
        <w:t xml:space="preserve">[6]</w:t>
      </w:r>
      <w:r>
        <w:t xml:space="preserve">. The feature tests are repeated against the reweighted reference with Kish’s effective sample size </w:t>
      </w:r>
      <w:r>
        <w:t xml:space="preserve">[27]</w:t>
      </w:r>
      <w:r>
        <w:t xml:space="preserve"> and Holm correction. Any feature that still differs carries a covariate shift. If none differs and the predicted labels have moved, the shift is a prior shift. A prior shift always moves the predicted labels of an informative classifier, so a shift without such a move is called covariate.</w:t>
      </w:r>
    </w:p>
    <w:p>
      <w:pPr>
        <w:pStyle w:val="PPBodyMainText"/>
      </w:pPr>
      <w:r>
        <w:rPr>
          <w:i/>
        </w:rPr>
        <w:t xml:space="preserve">Audit stage.</w:t>
      </w:r>
      <w:r>
        <w:t xml:space="preserve"> Concept drift and label noise leave the inputs and the model outputs unchanged, so only labels can reveal them. The audit draws </w:t>
      </w:r>
      <m:oMath>
        <m:r>
          <m:t>m</m:t>
        </m:r>
      </m:oMath>
      <w:r>
        <w:t xml:space="preserve"> late labels and first checks with a one-sided two-proportion test whether accuracy has fallen. If it has, the diagnosis asks whether the change in errors depends on a feature. A logistic model of whether a prediction is correct is fitted on the calibration rows and the audit rows together. Its null form contains 5 confidence bins at reference quantiles, bins of a feature </w:t>
      </w:r>
      <m:oMath>
        <m:r>
          <m:t>f</m:t>
        </m:r>
      </m:oMath>
      <w:r>
        <w:t xml:space="preserve">, an audit indicator and the interaction of that indicator with the confidence bins. The alternative adds the interaction of the audit indicator with the bins of </w:t>
      </w:r>
      <m:oMath>
        <m:r>
          <m:t>f</m:t>
        </m:r>
      </m:oMath>
      <w:r>
        <w:t xml:space="preserve"> and is compared with the null by a likelihood ratio test for each feature. A nominal category receives its own bin only if it occurs at least </w:t>
      </w:r>
      <m:oMath>
        <m:sSub>
          <m:e>
            <m:r>
              <m:t>n</m:t>
            </m:r>
          </m:e>
          <m:sub>
            <m:r>
              <m:rPr>
                <m:sty m:val="p"/>
              </m:rPr>
              <m:t>min</m:t>
            </m:r>
          </m:sub>
        </m:sSub>
      </m:oMath>
      <w:r>
        <w:t xml:space="preserve"> times in the audit, where </w:t>
      </w:r>
      <m:oMath>
        <m:sSub>
          <m:e>
            <m:r>
              <m:t>n</m:t>
            </m:r>
          </m:e>
          <m:sub>
            <m:r>
              <m:rPr>
                <m:sty m:val="p"/>
              </m:rPr>
              <m:t>min</m:t>
            </m:r>
          </m:sub>
        </m:sSub>
      </m:oMath>
      <w:r>
        <w:t xml:space="preserve"> is given by </w:t>
      </w:r>
      <m:oMath>
        <m:r>
          <m:rPr>
            <m:sty m:val="p"/>
          </m:rPr>
          <m:t>⌈</m:t>
        </m:r>
        <m:r>
          <m:t>5</m:t>
        </m:r>
        <m:r>
          <m:rPr>
            <m:sty m:val="p"/>
          </m:rPr>
          <m:t>/</m:t>
        </m:r>
        <m:r>
          <m:rPr>
            <m:sty m:val="p"/>
          </m:rPr>
          <m:t>min</m:t>
        </m:r>
        <m:r>
          <m:rPr>
            <m:sty m:val="p"/>
          </m:rPr>
          <m:t>(</m:t>
        </m:r>
        <m:r>
          <m:t>e</m:t>
        </m:r>
        <m:r>
          <m:rPr>
            <m:sty m:val="p"/>
          </m:rPr>
          <m:t>,</m:t>
        </m:r>
        <m:r>
          <m:t>1</m:t>
        </m:r>
        <m:r>
          <m:rPr>
            <m:sty m:val="p"/>
          </m:rPr>
          <m:t>−</m:t>
        </m:r>
        <m:r>
          <m:t>e</m:t>
        </m:r>
        <m:r>
          <m:rPr>
            <m:sty m:val="p"/>
          </m:rPr>
          <m:t>)</m:t>
        </m:r>
        <m:r>
          <m:rPr>
            <m:sty m:val="p"/>
          </m:rPr>
          <m:t>⌉</m:t>
        </m:r>
      </m:oMath>
      <w:r>
        <w:t xml:space="preserve"> and </w:t>
      </w:r>
      <m:oMath>
        <m:r>
          <m:t>e</m:t>
        </m:r>
      </m:oMath>
      <w:r>
        <w:t xml:space="preserve"> is the audit error rate. The remaining categories share one bin.</w:t>
      </w:r>
    </w:p>
    <w:p>
      <w:pPr>
        <w:pStyle w:val="PPBodyMainText"/>
      </w:pPr>
      <w:r>
        <w:t xml:space="preserve">It is the confidence term that separates the two types. In a binary task, uniform label noise at rate </w:t>
      </w:r>
      <m:oMath>
        <m:r>
          <m:t>r</m:t>
        </m:r>
      </m:oMath>
      <w:r>
        <w:t xml:space="preserve"> makes the probability of a correct prediction equal to </w:t>
      </w:r>
      <m:oMath>
        <m:r>
          <m:t>r</m:t>
        </m:r>
        <m:r>
          <m:rPr>
            <m:sty m:val="p"/>
          </m:rPr>
          <m:t>+</m:t>
        </m:r>
        <m:r>
          <m:rPr>
            <m:sty m:val="p"/>
          </m:rPr>
          <m:t>(</m:t>
        </m:r>
        <m:r>
          <m:t>1</m:t>
        </m:r>
        <m:r>
          <m:rPr>
            <m:sty m:val="p"/>
          </m:rPr>
          <m:t>−</m:t>
        </m:r>
        <m:r>
          <m:t>2</m:t>
        </m:r>
        <m:r>
          <m:t>r</m:t>
        </m:r>
        <m:r>
          <m:rPr>
            <m:sty m:val="p"/>
          </m:rPr>
          <m:t>)</m:t>
        </m:r>
        <m:r>
          <m:t> </m:t>
        </m:r>
        <m:r>
          <m:t>q</m:t>
        </m:r>
        <m:r>
          <m:rPr>
            <m:sty m:val="p"/>
          </m:rPr>
          <m:t>(</m:t>
        </m:r>
        <m:r>
          <m:t>x</m:t>
        </m:r>
        <m:r>
          <m:rPr>
            <m:sty m:val="p"/>
          </m:rPr>
          <m:t>)</m:t>
        </m:r>
      </m:oMath>
      <w:r>
        <w:t xml:space="preserve">, where </w:t>
      </w:r>
      <m:oMath>
        <m:r>
          <m:t>q</m:t>
        </m:r>
        <m:r>
          <m:rPr>
            <m:sty m:val="p"/>
          </m:rPr>
          <m:t>(</m:t>
        </m:r>
        <m:r>
          <m:t>x</m:t>
        </m:r>
        <m:r>
          <m:rPr>
            <m:sty m:val="p"/>
          </m:rPr>
          <m:t>)</m:t>
        </m:r>
      </m:oMath>
      <w:r>
        <w:t xml:space="preserve"> is the model’s own probability of being right at </w:t>
      </w:r>
      <m:oMath>
        <m:r>
          <m:t>x</m:t>
        </m:r>
      </m:oMath>
      <w:r>
        <w:t xml:space="preserve">. The change therefore depends on </w:t>
      </w:r>
      <m:oMath>
        <m:r>
          <m:t>x</m:t>
        </m:r>
      </m:oMath>
      <w:r>
        <w:t xml:space="preserve"> only through </w:t>
      </w:r>
      <m:oMath>
        <m:r>
          <m:t>q</m:t>
        </m:r>
        <m:r>
          <m:rPr>
            <m:sty m:val="p"/>
          </m:rPr>
          <m:t>(</m:t>
        </m:r>
        <m:r>
          <m:t>x</m:t>
        </m:r>
        <m:r>
          <m:rPr>
            <m:sty m:val="p"/>
          </m:rPr>
          <m:t>)</m:t>
        </m:r>
      </m:oMath>
      <w:r>
        <w:t xml:space="preserve">, which the confidence bins of the null absorb. Concept drift instead shifts the errors within a region of some feature. A feature that remains significant after Holm correction therefore indicates concept drift, whereas no significant feature indicates label noise. Because each of the two stages is tested at level </w:t>
      </w:r>
      <m:oMath>
        <m:r>
          <m:t>α</m:t>
        </m:r>
      </m:oMath>
      <w:r>
        <w:t xml:space="preserve">, a window without drift receives a drift verdict with probability at most </w:t>
      </w:r>
      <m:oMath>
        <m:r>
          <m:t>2</m:t>
        </m:r>
        <m:r>
          <m:t>α</m:t>
        </m:r>
      </m:oMath>
      <w:r>
        <w:t xml:space="preserve">.</w:t>
      </w:r>
    </w:p>
    <w:p>
      <w:pPr>
        <w:pStyle w:val="PPHeading"/>
        <w:keepNext/>
      </w:pPr>
      <w:r>
        <w:t xml:space="preserve">3.4 Root cause analysis</w:t>
      </w:r>
    </w:p>
    <w:p>
      <w:pPr>
        <w:pStyle w:val="PPBodyMainText"/>
        <w:ind w:firstLine="0"/>
      </w:pPr>
      <w:r>
        <w:t xml:space="preserve">Knowing the type tells a team what to do, while root cause analysis tells it where to look. This step asks which inputs the model’s decisions depend on differently after the shift. It narrows the search but does not prove a cause. For tabular models we compute SHAP values </w:t>
      </w:r>
      <w:r>
        <w:t xml:space="preserve">[14]</w:t>
      </w:r>
      <w:r>
        <w:t xml:space="preserve"> of the deployed model with its preprocessing and compare the mean absolute attribution of each feature between reference and production rows. Each change carries a percentile bootstrap interval whose level is Bonferroni adjusted over the features. For images, CAM shows which image regions support the prediction of the linear head </w:t>
      </w:r>
      <w:r>
        <w:t xml:space="preserve">[15]</w:t>
      </w:r>
      <w:r>
        <w:t xml:space="preserve">.</w:t>
      </w:r>
    </w:p>
    <w:p>
      <w:pPr>
        <w:pStyle w:val="PPHeading"/>
        <w:keepNext/>
      </w:pPr>
      <w:r>
        <w:t xml:space="preserve">3.5 Reliability and remediation triage</w:t>
      </w:r>
    </w:p>
    <w:p>
      <w:pPr>
        <w:pStyle w:val="PPBodyMainText"/>
        <w:ind w:firstLine="0"/>
      </w:pPr>
      <w:r>
        <w:t xml:space="preserve">The tests so far describe a window as a whole. Two practical questions remain: which individual predictions deserve less trust and whether a cheap retrain would recover the lost accuracy. For the first, each prediction receives three signals in </w:t>
      </w:r>
      <m:oMath>
        <m:r>
          <m:rPr>
            <m:sty m:val="p"/>
          </m:rPr>
          <m:t>[</m:t>
        </m:r>
        <m:r>
          <m:t>0</m:t>
        </m:r>
        <m:r>
          <m:rPr>
            <m:sty m:val="p"/>
          </m:rPr>
          <m:t>,</m:t>
        </m:r>
        <m:r>
          <m:t>1</m:t>
        </m:r>
        <m:r>
          <m:rPr>
            <m:sty m:val="p"/>
          </m:rPr>
          <m:t>]</m:t>
        </m:r>
      </m:oMath>
      <w:r>
        <w:t xml:space="preserve">: the confidence risk </w:t>
      </w:r>
      <m:oMath>
        <m:r>
          <m:t>1</m:t>
        </m:r>
        <m:r>
          <m:rPr>
            <m:sty m:val="p"/>
          </m:rPr>
          <m:t>−</m:t>
        </m:r>
        <m:r>
          <m:t>c</m:t>
        </m:r>
      </m:oMath>
      <w:r>
        <w:t xml:space="preserve">, an OOD score and its instability under small input perturbations. The OOD score combines an Isolation Forest </w:t>
      </w:r>
      <w:r>
        <w:t xml:space="preserve">[16]</w:t>
      </w:r>
      <w:r>
        <w:t xml:space="preserve"> with a standardized distance. A logistic regression fitted on the calibration part combines the three signals into a probability of error. It is fitted only when the calibration part holds at least ten wrong predictions per signal </w:t>
      </w:r>
      <w:r>
        <w:t xml:space="preserve">[28]</w:t>
      </w:r>
      <w:r>
        <w:t xml:space="preserve">; otherwise the risk is simply </w:t>
      </w:r>
      <m:oMath>
        <m:r>
          <m:t>1</m:t>
        </m:r>
        <m:r>
          <m:rPr>
            <m:sty m:val="p"/>
          </m:rPr>
          <m:t>−</m:t>
        </m:r>
        <m:r>
          <m:t>c</m:t>
        </m:r>
      </m:oMath>
      <w:r>
        <w:t xml:space="preserve">.</w:t>
      </w:r>
    </w:p>
    <w:p>
      <w:pPr>
        <w:pStyle w:val="PPBodyMainText"/>
      </w:pPr>
      <w:r>
        <w:t xml:space="preserve">For the second, the triage predicts without production labels whether a cheap retrain will help. A classifier that separates reference from production rows provides density ratio weights, fitted on separate folds and truncated at 20 times their mean </w:t>
      </w:r>
      <w:r>
        <w:t xml:space="preserve">[19]</w:t>
      </w:r>
      <w:r>
        <w:t xml:space="preserve">. A model trained with these weights is compared with an unweighted one on a held-out 30% of the reference, itself weighted by the density ratio </w:t>
      </w:r>
      <w:r>
        <w:t xml:space="preserve">[17, 18]</w:t>
      </w:r>
      <w:r>
        <w:t xml:space="preserve">. When late labels from an earlier window are available, a second probe retrains on them and is validated on a held-out part of that window. A retrain is recommended when a probe’s predicted gain is significant after Holm correction across probes.</w:t>
      </w:r>
    </w:p>
    <w:p>
      <w:pPr>
        <w:pStyle w:val="PPHeading"/>
        <w:keepNext/>
      </w:pPr>
      <w:r>
        <w:t xml:space="preserve">4 Experimental setup</w:t>
      </w:r>
    </w:p>
    <w:p>
      <w:pPr>
        <w:pStyle w:val="PPBodyMainText"/>
        <w:ind w:firstLine="0"/>
      </w:pPr>
      <w:r>
        <w:t xml:space="preserve">The experiments answer two questions. Does the procedure name the type correctly when the truth is known, including for drift it was not designed for? And does it behave sensibly on real drift, where the type is unknown but the causes are documented?</w:t>
      </w:r>
    </w:p>
    <w:p>
      <w:pPr>
        <w:pStyle w:val="PPBodyMainText"/>
      </w:pPr>
      <w:r>
        <w:rPr>
          <w:i/>
        </w:rPr>
        <w:t xml:space="preserve">Protocol.</w:t>
      </w:r>
      <w:r>
        <w:t xml:space="preserve"> All settings below were fixed before the evaluation that uses them. The diagnosis was frozen before the held-out design B was first run. A later code review uncovered two errors in the diagnosis. The label-free stage had used a gatekeeping rule whose family-wise error rate reached 6.6% at a nominal 5% in a simulation, compared with 4.9% for the weighted Holm procedure of Section </w:t>
      </w:r>
      <w:r>
        <w:t xml:space="preserve">3.3</w:t>
      </w:r>
      <w:r>
        <w:t xml:space="preserve">. The audit had also counted nominal categories over the reference and audit rows together. Both were corrected without regard to the results and every result was regenerated, which changed the verdict in 115 of the 5,300 benchmark windows. Permutation tests use 200 permutations, SHAP explains 1,000 rows per side against 100 background rows and each real audit uses 600 labels from its own random stream. All randomness is seeded, so every result repeats exactly. One workstation with a 20-core processor and a graphics processor ran everything. The software was scikit-learn </w:t>
      </w:r>
      <w:r>
        <w:t xml:space="preserve">[29]</w:t>
      </w:r>
      <w:r>
        <w:t xml:space="preserve">, SciPy, NumPy, SHAP, OpenCLIP and PyTorch.</w:t>
      </w:r>
    </w:p>
    <w:p>
      <w:pPr>
        <w:pStyle w:val="PPHeading"/>
        <w:keepNext/>
      </w:pPr>
      <w:r>
        <w:t xml:space="preserve">4.1 Models</w:t>
      </w:r>
    </w:p>
    <w:p>
      <w:pPr>
        <w:pStyle w:val="PPBodyMainText"/>
        <w:ind w:firstLine="0"/>
      </w:pPr>
      <w:r>
        <w:t xml:space="preserve">Since the procedure should not depend on one kind of model, the same pipeline monitors two untuned model families. The first is logistic regression (LR) with </w:t>
      </w:r>
      <m:oMath>
        <m:sSub>
          <m:e>
            <m:r>
              <m:t>L</m:t>
            </m:r>
          </m:e>
          <m:sub>
            <m:r>
              <m:t>2</m:t>
            </m:r>
          </m:sub>
        </m:sSub>
      </m:oMath>
      <w:r>
        <w:t xml:space="preserve"> regularization (</w:t>
      </w:r>
      <m:oMath>
        <m:r>
          <m:t>C</m:t>
        </m:r>
        <m:r>
          <m:rPr>
            <m:sty m:val="p"/>
          </m:rPr>
          <m:t>=</m:t>
        </m:r>
        <m:r>
          <m:t>1</m:t>
        </m:r>
      </m:oMath>
      <w:r>
        <w:t xml:space="preserve">) on standardized numeric and one-hot encoded nominal features. The second is histogram gradient boosting (GB) </w:t>
      </w:r>
      <w:r>
        <w:t xml:space="preserve">[30]</w:t>
      </w:r>
      <w:r>
        <w:t xml:space="preserve"> from scikit-learn </w:t>
      </w:r>
      <w:r>
        <w:t xml:space="preserve">[29]</w:t>
      </w:r>
      <w:r>
        <w:t xml:space="preserve"> with default settings, no early stopping and native splits on nominal codes. Codes beyond the 254 most frequent are pooled, which is the limit of the implementation. For CLEAR-10 both models operate on the frozen embeddings. SHAP is reported for LR only, because for GB the exact explainer would take hours per window.</w:t>
      </w:r>
    </w:p>
    <w:p>
      <w:pPr>
        <w:pStyle w:val="PPHeading"/>
        <w:keepNext/>
      </w:pPr>
      <w:r>
        <w:t xml:space="preserve">4.2 Datasets</w:t>
      </w:r>
    </w:p>
    <w:p>
      <w:pPr>
        <w:pStyle w:val="PPBodyMainText"/>
        <w:ind w:firstLine="0"/>
      </w:pPr>
      <w:r>
        <w:t xml:space="preserve">Each of the four datasets contains drift with a documented cause, so the verdicts can be checked against known events. Table </w:t>
      </w:r>
      <w:r>
        <w:t xml:space="preserve">2</w:t>
      </w:r>
      <w:r>
        <w:t xml:space="preserve"> summarizes them. The two census tasks come from the American Community Survey (ACS) and use data from California (CA), Texas (TX), New York (NY), Florida (FL) and Washington (WA).</w:t>
      </w:r>
    </w:p>
    <w:p>
      <w:pPr>
        <w:spacing w:after="0" w:line="20" w:lineRule="exact"/>
        <w:sectPr>
          <w:headerReference w:type="default" r:id="rId8"/>
          <w:type w:val="continuous"/>
          <w:pgSz w:w="11906" w:h="16838" w:code="9"/>
          <w:pgMar w:top="1956" w:right="907" w:bottom="1418" w:left="1134" w:header="709" w:footer="709" w:gutter="0"/>
          <w:cols w:num="2" w:space="397"/>
          <w:docGrid w:linePitch="360"/>
        </w:sectPr>
      </w:pPr>
    </w:p>
    <w:p>
      <w:pPr>
        <w:pStyle w:val="PPFigureTableCaption"/>
        <w:keepNext/>
        <w:keepLines/>
        <w:spacing w:before="160" w:after="60"/>
      </w:pPr>
      <w:r>
        <w:rPr>
          <w:b/>
        </w:rPr>
        <w:t xml:space="preserve">Table 2</w:t>
      </w:r>
      <w:r>
        <w:t xml:space="preserve"> </w:t>
      </w:r>
      <w:r>
        <w:t xml:space="preserve">Datasets, drift windows and reference accuracy. Rows gives the smallest and largest window, Inputs the number of features or embedding dimensions and the last two columns the reference test accuracy of LR and GB</w:t>
      </w:r>
    </w:p>
    <w:tbl>
      <w:tblPr>
        <w:tblW w:w="0" w:type="auto"/>
        <w:jc w:val="center"/>
        <w:tblLayout w:type="fixed"/>
        <w:tblCellMar>
          <w:left w:w="45" w:type="dxa"/>
          <w:right w:w="45" w:type="dxa"/>
        </w:tblCellMar>
        <w:tblLook w:val="04A0" w:firstRow="1" w:lastRow="0" w:firstColumn="1" w:lastColumn="0" w:noHBand="0" w:noVBand="1"/>
      </w:tblPr>
      <w:tblGrid>
        <w:gridCol w:w="1297"/>
        <w:gridCol w:w="906"/>
        <w:gridCol w:w="3386"/>
        <w:gridCol w:w="1186"/>
        <w:gridCol w:w="520"/>
        <w:gridCol w:w="600"/>
        <w:gridCol w:w="499"/>
        <w:gridCol w:w="499"/>
      </w:tblGrid>
      <w:tr>
        <w:trPr>
          <w:cantSplit/>
          <w:tblHeader/>
        </w:trPr>
        <w:tc>
          <w:tcPr>
            <w:tcW w:w="1297" w:type="dxa"/>
            <w:tcBorders>
              <w:top w:val="single" w:sz="8" w:space="0" w:color="auto"/>
            </w:tcBorders>
            <w:vAlign w:val="center"/>
          </w:tcPr>
          <w:p>
            <w:pPr>
              <w:pStyle w:val="PPTableBody"/>
              <w:keepNext/>
              <w:spacing w:before="10" w:after="10"/>
              <w:jc w:val="left"/>
            </w:pPr>
          </w:p>
        </w:tc>
        <w:tc>
          <w:tcPr>
            <w:tcW w:w="906" w:type="dxa"/>
            <w:tcBorders>
              <w:top w:val="single" w:sz="8" w:space="0" w:color="auto"/>
            </w:tcBorders>
            <w:vAlign w:val="center"/>
          </w:tcPr>
          <w:p>
            <w:pPr>
              <w:pStyle w:val="PPTableBody"/>
              <w:keepNext/>
              <w:spacing w:before="10" w:after="10"/>
              <w:jc w:val="left"/>
            </w:pPr>
          </w:p>
        </w:tc>
        <w:tc>
          <w:tcPr>
            <w:tcW w:w="3386" w:type="dxa"/>
            <w:tcBorders>
              <w:top w:val="single" w:sz="8" w:space="0" w:color="auto"/>
            </w:tcBorders>
            <w:vAlign w:val="center"/>
          </w:tcPr>
          <w:p>
            <w:pPr>
              <w:pStyle w:val="PPTableBody"/>
              <w:keepNext/>
              <w:spacing w:before="10" w:after="10"/>
              <w:jc w:val="left"/>
            </w:pPr>
          </w:p>
        </w:tc>
        <w:tc>
          <w:tcPr>
            <w:tcW w:w="1186" w:type="dxa"/>
            <w:tcBorders>
              <w:top w:val="single" w:sz="8" w:space="0" w:color="auto"/>
            </w:tcBorders>
            <w:vAlign w:val="center"/>
          </w:tcPr>
          <w:p>
            <w:pPr>
              <w:pStyle w:val="PPTableBody"/>
              <w:keepNext/>
              <w:spacing w:before="10" w:after="10"/>
              <w:jc w:val="right"/>
            </w:pPr>
          </w:p>
        </w:tc>
        <w:tc>
          <w:tcPr>
            <w:tcW w:w="520" w:type="dxa"/>
            <w:tcBorders>
              <w:top w:val="single" w:sz="8" w:space="0" w:color="auto"/>
            </w:tcBorders>
            <w:vAlign w:val="center"/>
          </w:tcPr>
          <w:p>
            <w:pPr>
              <w:pStyle w:val="PPTableBody"/>
              <w:keepNext/>
              <w:spacing w:before="10" w:after="10"/>
              <w:jc w:val="right"/>
            </w:pPr>
          </w:p>
        </w:tc>
        <w:tc>
          <w:tcPr>
            <w:tcW w:w="600" w:type="dxa"/>
            <w:tcBorders>
              <w:top w:val="single" w:sz="8" w:space="0" w:color="auto"/>
            </w:tcBorders>
            <w:vAlign w:val="center"/>
          </w:tcPr>
          <w:p>
            <w:pPr>
              <w:pStyle w:val="PPTableBody"/>
              <w:keepNext/>
              <w:spacing w:before="10" w:after="10"/>
              <w:jc w:val="right"/>
            </w:pPr>
          </w:p>
        </w:tc>
        <w:tc>
          <w:tcPr>
            <w:tcW w:w="998" w:type="dxa"/>
            <w:gridSpan w:val="2"/>
            <w:tcBorders>
              <w:top w:val="single" w:sz="8" w:space="0" w:color="auto"/>
              <w:bottom w:val="single" w:sz="4" w:space="0" w:color="auto"/>
            </w:tcBorders>
            <w:vAlign w:val="center"/>
          </w:tcPr>
          <w:p>
            <w:pPr>
              <w:pStyle w:val="PPTableBody"/>
              <w:keepNext/>
              <w:spacing w:before="10" w:after="10"/>
              <w:jc w:val="center"/>
            </w:pPr>
            <w:r>
              <w:t xml:space="preserve">Ref. accuracy</w:t>
            </w:r>
          </w:p>
        </w:tc>
      </w:tr>
      <w:tr>
        <w:trPr>
          <w:cantSplit/>
          <w:tblHeader/>
        </w:trPr>
        <w:tc>
          <w:tcPr>
            <w:tcW w:w="1297" w:type="dxa"/>
            <w:tcBorders/>
            <w:vAlign w:val="center"/>
          </w:tcPr>
          <w:p>
            <w:pPr>
              <w:pStyle w:val="PPTableBody"/>
              <w:keepNext/>
              <w:spacing w:before="10" w:after="10"/>
              <w:jc w:val="left"/>
            </w:pPr>
            <w:r>
              <w:t xml:space="preserve">Dataset</w:t>
            </w:r>
          </w:p>
        </w:tc>
        <w:tc>
          <w:tcPr>
            <w:tcW w:w="906" w:type="dxa"/>
            <w:tcBorders/>
            <w:vAlign w:val="center"/>
          </w:tcPr>
          <w:p>
            <w:pPr>
              <w:pStyle w:val="PPTableBody"/>
              <w:keepNext/>
              <w:spacing w:before="10" w:after="10"/>
              <w:jc w:val="left"/>
            </w:pPr>
            <w:r>
              <w:t xml:space="preserve">Reference</w:t>
            </w:r>
          </w:p>
        </w:tc>
        <w:tc>
          <w:tcPr>
            <w:tcW w:w="3386" w:type="dxa"/>
            <w:tcBorders/>
            <w:vAlign w:val="center"/>
          </w:tcPr>
          <w:p>
            <w:pPr>
              <w:pStyle w:val="PPTableBody"/>
              <w:keepNext/>
              <w:spacing w:before="10" w:after="10"/>
              <w:jc w:val="left"/>
            </w:pPr>
            <w:r>
              <w:t xml:space="preserve">Windows</w:t>
            </w:r>
          </w:p>
        </w:tc>
        <w:tc>
          <w:tcPr>
            <w:tcW w:w="1186" w:type="dxa"/>
            <w:tcBorders/>
            <w:vAlign w:val="center"/>
          </w:tcPr>
          <w:p>
            <w:pPr>
              <w:pStyle w:val="PPTableBody"/>
              <w:keepNext/>
              <w:spacing w:before="10" w:after="10"/>
              <w:jc w:val="right"/>
            </w:pPr>
            <w:r>
              <w:t xml:space="preserve">Rows</w:t>
            </w:r>
          </w:p>
        </w:tc>
        <w:tc>
          <w:tcPr>
            <w:tcW w:w="520" w:type="dxa"/>
            <w:tcBorders/>
            <w:vAlign w:val="center"/>
          </w:tcPr>
          <w:p>
            <w:pPr>
              <w:pStyle w:val="PPTableBody"/>
              <w:keepNext/>
              <w:spacing w:before="10" w:after="10"/>
              <w:jc w:val="right"/>
            </w:pPr>
            <w:r>
              <w:t xml:space="preserve">Inputs</w:t>
            </w:r>
          </w:p>
        </w:tc>
        <w:tc>
          <w:tcPr>
            <w:tcW w:w="600" w:type="dxa"/>
            <w:tcBorders/>
            <w:vAlign w:val="center"/>
          </w:tcPr>
          <w:p>
            <w:pPr>
              <w:pStyle w:val="PPTableBody"/>
              <w:keepNext/>
              <w:spacing w:before="10" w:after="10"/>
              <w:jc w:val="right"/>
            </w:pPr>
            <w:r>
              <w:t xml:space="preserve">Classes</w:t>
            </w:r>
          </w:p>
        </w:tc>
        <w:tc>
          <w:tcPr>
            <w:tcW w:w="499" w:type="dxa"/>
            <w:tcBorders/>
            <w:vAlign w:val="center"/>
          </w:tcPr>
          <w:p>
            <w:pPr>
              <w:pStyle w:val="PPTableBody"/>
              <w:keepNext/>
              <w:spacing w:before="10" w:after="10"/>
              <w:jc w:val="right"/>
            </w:pPr>
            <w:r>
              <w:t xml:space="preserve">LR</w:t>
            </w:r>
          </w:p>
        </w:tc>
        <w:tc>
          <w:tcPr>
            <w:tcW w:w="499" w:type="dxa"/>
            <w:tcBorders/>
            <w:vAlign w:val="center"/>
          </w:tcPr>
          <w:p>
            <w:pPr>
              <w:pStyle w:val="PPTableBody"/>
              <w:keepNext/>
              <w:spacing w:before="10" w:after="10"/>
              <w:jc w:val="right"/>
            </w:pPr>
            <w:r>
              <w:t xml:space="preserve">GB</w:t>
            </w:r>
          </w:p>
        </w:tc>
      </w:tr>
      <w:tr>
        <w:trPr>
          <w:cantSplit/>
        </w:trPr>
        <w:tc>
          <w:tcPr>
            <w:tcW w:w="1297" w:type="dxa"/>
            <w:tcBorders>
              <w:top w:val="single" w:sz="4" w:space="0" w:color="auto"/>
            </w:tcBorders>
            <w:vAlign w:val="center"/>
          </w:tcPr>
          <w:p>
            <w:pPr>
              <w:pStyle w:val="PPTableBody"/>
              <w:keepNext/>
              <w:spacing w:before="10" w:after="10"/>
              <w:jc w:val="left"/>
            </w:pPr>
            <w:r>
              <w:t xml:space="preserve">ACS Income</w:t>
            </w:r>
          </w:p>
        </w:tc>
        <w:tc>
          <w:tcPr>
            <w:tcW w:w="906" w:type="dxa"/>
            <w:tcBorders>
              <w:top w:val="single" w:sz="4" w:space="0" w:color="auto"/>
            </w:tcBorders>
            <w:vAlign w:val="center"/>
          </w:tcPr>
          <w:p>
            <w:pPr>
              <w:pStyle w:val="PPTableBody"/>
              <w:keepNext/>
              <w:spacing w:before="10" w:after="10"/>
              <w:jc w:val="left"/>
            </w:pPr>
            <w:r>
              <w:t xml:space="preserve">CA 2014</w:t>
            </w:r>
          </w:p>
        </w:tc>
        <w:tc>
          <w:tcPr>
            <w:tcW w:w="3386" w:type="dxa"/>
            <w:tcBorders>
              <w:top w:val="single" w:sz="4" w:space="0" w:color="auto"/>
            </w:tcBorders>
            <w:vAlign w:val="center"/>
          </w:tcPr>
          <w:p>
            <w:pPr>
              <w:pStyle w:val="PPTableBody"/>
              <w:keepNext/>
              <w:spacing w:before="10" w:after="10"/>
              <w:jc w:val="left"/>
            </w:pPr>
            <w:r>
              <w:t xml:space="preserve">CA 2015–19 and 2021–23; TX, NY, FL, WA 2014</w:t>
            </w:r>
          </w:p>
        </w:tc>
        <w:tc>
          <w:tcPr>
            <w:tcW w:w="1186" w:type="dxa"/>
            <w:tcBorders>
              <w:top w:val="single" w:sz="4" w:space="0" w:color="auto"/>
            </w:tcBorders>
            <w:vAlign w:val="center"/>
          </w:tcPr>
          <w:p>
            <w:pPr>
              <w:pStyle w:val="PPTableBody"/>
              <w:keepNext/>
              <w:spacing w:before="10" w:after="10"/>
              <w:jc w:val="right"/>
            </w:pPr>
            <w:r>
              <w:t xml:space="preserve">36,162–203,278</w:t>
            </w:r>
          </w:p>
        </w:tc>
        <w:tc>
          <w:tcPr>
            <w:tcW w:w="520" w:type="dxa"/>
            <w:tcBorders>
              <w:top w:val="single" w:sz="4" w:space="0" w:color="auto"/>
            </w:tcBorders>
            <w:vAlign w:val="center"/>
          </w:tcPr>
          <w:p>
            <w:pPr>
              <w:pStyle w:val="PPTableBody"/>
              <w:keepNext/>
              <w:spacing w:before="10" w:after="10"/>
              <w:jc w:val="right"/>
            </w:pPr>
            <w:r>
              <w:t xml:space="preserve">10</w:t>
            </w:r>
          </w:p>
        </w:tc>
        <w:tc>
          <w:tcPr>
            <w:tcW w:w="600" w:type="dxa"/>
            <w:tcBorders>
              <w:top w:val="single" w:sz="4" w:space="0" w:color="auto"/>
            </w:tcBorders>
            <w:vAlign w:val="center"/>
          </w:tcPr>
          <w:p>
            <w:pPr>
              <w:pStyle w:val="PPTableBody"/>
              <w:keepNext/>
              <w:spacing w:before="10" w:after="10"/>
              <w:jc w:val="right"/>
            </w:pPr>
            <w:r>
              <w:t xml:space="preserve">2</w:t>
            </w:r>
          </w:p>
        </w:tc>
        <w:tc>
          <w:tcPr>
            <w:tcW w:w="499" w:type="dxa"/>
            <w:tcBorders>
              <w:top w:val="single" w:sz="4" w:space="0" w:color="auto"/>
            </w:tcBorders>
            <w:vAlign w:val="center"/>
          </w:tcPr>
          <w:p>
            <w:pPr>
              <w:pStyle w:val="PPTableBody"/>
              <w:keepNext/>
              <w:spacing w:before="10" w:after="10"/>
              <w:jc w:val="right"/>
            </w:pPr>
            <w:r>
              <w:t xml:space="preserve">0.826</w:t>
            </w:r>
          </w:p>
        </w:tc>
        <w:tc>
          <w:tcPr>
            <w:tcW w:w="499" w:type="dxa"/>
            <w:tcBorders>
              <w:top w:val="single" w:sz="4" w:space="0" w:color="auto"/>
            </w:tcBorders>
            <w:vAlign w:val="center"/>
          </w:tcPr>
          <w:p>
            <w:pPr>
              <w:pStyle w:val="PPTableBody"/>
              <w:keepNext/>
              <w:spacing w:before="10" w:after="10"/>
              <w:jc w:val="right"/>
            </w:pPr>
            <w:r>
              <w:t xml:space="preserve">0.833</w:t>
            </w:r>
          </w:p>
        </w:tc>
      </w:tr>
      <w:tr>
        <w:trPr>
          <w:cantSplit/>
        </w:trPr>
        <w:tc>
          <w:tcPr>
            <w:tcW w:w="1297" w:type="dxa"/>
            <w:tcBorders/>
            <w:vAlign w:val="center"/>
          </w:tcPr>
          <w:p>
            <w:pPr>
              <w:pStyle w:val="PPTableBody"/>
              <w:keepNext/>
              <w:spacing w:before="10" w:after="10"/>
              <w:jc w:val="left"/>
            </w:pPr>
            <w:r>
              <w:t xml:space="preserve">ACS Employment</w:t>
            </w:r>
          </w:p>
        </w:tc>
        <w:tc>
          <w:tcPr>
            <w:tcW w:w="906" w:type="dxa"/>
            <w:tcBorders/>
            <w:vAlign w:val="center"/>
          </w:tcPr>
          <w:p>
            <w:pPr>
              <w:pStyle w:val="PPTableBody"/>
              <w:keepNext/>
              <w:spacing w:before="10" w:after="10"/>
              <w:jc w:val="left"/>
            </w:pPr>
            <w:r>
              <w:t xml:space="preserve">CA 2014</w:t>
            </w:r>
          </w:p>
        </w:tc>
        <w:tc>
          <w:tcPr>
            <w:tcW w:w="3386" w:type="dxa"/>
            <w:tcBorders/>
            <w:vAlign w:val="center"/>
          </w:tcPr>
          <w:p>
            <w:pPr>
              <w:pStyle w:val="PPTableBody"/>
              <w:keepNext/>
              <w:spacing w:before="10" w:after="10"/>
              <w:jc w:val="left"/>
            </w:pPr>
            <w:r>
              <w:t xml:space="preserve">CA 2015–19 and 2021–23; TX, NY, FL, WA 2014</w:t>
            </w:r>
          </w:p>
        </w:tc>
        <w:tc>
          <w:tcPr>
            <w:tcW w:w="1186" w:type="dxa"/>
            <w:tcBorders/>
            <w:vAlign w:val="center"/>
          </w:tcPr>
          <w:p>
            <w:pPr>
              <w:pStyle w:val="PPTableBody"/>
              <w:keepNext/>
              <w:spacing w:before="10" w:after="10"/>
              <w:jc w:val="right"/>
            </w:pPr>
            <w:r>
              <w:t xml:space="preserve">56,576–326,241</w:t>
            </w:r>
          </w:p>
        </w:tc>
        <w:tc>
          <w:tcPr>
            <w:tcW w:w="520" w:type="dxa"/>
            <w:tcBorders/>
            <w:vAlign w:val="center"/>
          </w:tcPr>
          <w:p>
            <w:pPr>
              <w:pStyle w:val="PPTableBody"/>
              <w:keepNext/>
              <w:spacing w:before="10" w:after="10"/>
              <w:jc w:val="right"/>
            </w:pPr>
            <w:r>
              <w:t xml:space="preserve">16</w:t>
            </w:r>
          </w:p>
        </w:tc>
        <w:tc>
          <w:tcPr>
            <w:tcW w:w="600" w:type="dxa"/>
            <w:tcBorders/>
            <w:vAlign w:val="center"/>
          </w:tcPr>
          <w:p>
            <w:pPr>
              <w:pStyle w:val="PPTableBody"/>
              <w:keepNext/>
              <w:spacing w:before="10" w:after="10"/>
              <w:jc w:val="right"/>
            </w:pPr>
            <w:r>
              <w:t xml:space="preserve">2</w:t>
            </w:r>
          </w:p>
        </w:tc>
        <w:tc>
          <w:tcPr>
            <w:tcW w:w="499" w:type="dxa"/>
            <w:tcBorders/>
            <w:vAlign w:val="center"/>
          </w:tcPr>
          <w:p>
            <w:pPr>
              <w:pStyle w:val="PPTableBody"/>
              <w:keepNext/>
              <w:spacing w:before="10" w:after="10"/>
              <w:jc w:val="right"/>
            </w:pPr>
            <w:r>
              <w:t xml:space="preserve">0.729</w:t>
            </w:r>
          </w:p>
        </w:tc>
        <w:tc>
          <w:tcPr>
            <w:tcW w:w="499" w:type="dxa"/>
            <w:tcBorders/>
            <w:vAlign w:val="center"/>
          </w:tcPr>
          <w:p>
            <w:pPr>
              <w:pStyle w:val="PPTableBody"/>
              <w:keepNext/>
              <w:spacing w:before="10" w:after="10"/>
              <w:jc w:val="right"/>
            </w:pPr>
            <w:r>
              <w:t xml:space="preserve">0.772</w:t>
            </w:r>
          </w:p>
        </w:tc>
      </w:tr>
      <w:tr>
        <w:trPr>
          <w:cantSplit/>
        </w:trPr>
        <w:tc>
          <w:tcPr>
            <w:tcW w:w="1297" w:type="dxa"/>
            <w:tcBorders/>
            <w:vAlign w:val="center"/>
          </w:tcPr>
          <w:p>
            <w:pPr>
              <w:pStyle w:val="PPTableBody"/>
              <w:keepNext/>
              <w:spacing w:before="10" w:after="10"/>
              <w:jc w:val="left"/>
            </w:pPr>
            <w:r>
              <w:t xml:space="preserve">Gas sensor</w:t>
            </w:r>
          </w:p>
        </w:tc>
        <w:tc>
          <w:tcPr>
            <w:tcW w:w="906" w:type="dxa"/>
            <w:tcBorders/>
            <w:vAlign w:val="center"/>
          </w:tcPr>
          <w:p>
            <w:pPr>
              <w:pStyle w:val="PPTableBody"/>
              <w:keepNext/>
              <w:spacing w:before="10" w:after="10"/>
              <w:jc w:val="left"/>
            </w:pPr>
            <w:r>
              <w:t xml:space="preserve">batches 1–2</w:t>
            </w:r>
          </w:p>
        </w:tc>
        <w:tc>
          <w:tcPr>
            <w:tcW w:w="3386" w:type="dxa"/>
            <w:tcBorders/>
            <w:vAlign w:val="center"/>
          </w:tcPr>
          <w:p>
            <w:pPr>
              <w:pStyle w:val="PPTableBody"/>
              <w:keepNext/>
              <w:spacing w:before="10" w:after="10"/>
              <w:jc w:val="left"/>
            </w:pPr>
            <w:r>
              <w:t xml:space="preserve">batches 3–10</w:t>
            </w:r>
          </w:p>
        </w:tc>
        <w:tc>
          <w:tcPr>
            <w:tcW w:w="1186" w:type="dxa"/>
            <w:tcBorders/>
            <w:vAlign w:val="center"/>
          </w:tcPr>
          <w:p>
            <w:pPr>
              <w:pStyle w:val="PPTableBody"/>
              <w:keepNext/>
              <w:spacing w:before="10" w:after="10"/>
              <w:jc w:val="right"/>
            </w:pPr>
            <w:r>
              <w:t xml:space="preserve">161–3,613</w:t>
            </w:r>
          </w:p>
        </w:tc>
        <w:tc>
          <w:tcPr>
            <w:tcW w:w="520" w:type="dxa"/>
            <w:tcBorders/>
            <w:vAlign w:val="center"/>
          </w:tcPr>
          <w:p>
            <w:pPr>
              <w:pStyle w:val="PPTableBody"/>
              <w:keepNext/>
              <w:spacing w:before="10" w:after="10"/>
              <w:jc w:val="right"/>
            </w:pPr>
            <w:r>
              <w:t xml:space="preserve">128</w:t>
            </w:r>
          </w:p>
        </w:tc>
        <w:tc>
          <w:tcPr>
            <w:tcW w:w="600" w:type="dxa"/>
            <w:tcBorders/>
            <w:vAlign w:val="center"/>
          </w:tcPr>
          <w:p>
            <w:pPr>
              <w:pStyle w:val="PPTableBody"/>
              <w:keepNext/>
              <w:spacing w:before="10" w:after="10"/>
              <w:jc w:val="right"/>
            </w:pPr>
            <w:r>
              <w:t xml:space="preserve">6</w:t>
            </w:r>
          </w:p>
        </w:tc>
        <w:tc>
          <w:tcPr>
            <w:tcW w:w="499" w:type="dxa"/>
            <w:tcBorders/>
            <w:vAlign w:val="center"/>
          </w:tcPr>
          <w:p>
            <w:pPr>
              <w:pStyle w:val="PPTableBody"/>
              <w:keepNext/>
              <w:spacing w:before="10" w:after="10"/>
              <w:jc w:val="right"/>
            </w:pPr>
            <w:r>
              <w:t xml:space="preserve">0.982</w:t>
            </w:r>
          </w:p>
        </w:tc>
        <w:tc>
          <w:tcPr>
            <w:tcW w:w="499" w:type="dxa"/>
            <w:tcBorders/>
            <w:vAlign w:val="center"/>
          </w:tcPr>
          <w:p>
            <w:pPr>
              <w:pStyle w:val="PPTableBody"/>
              <w:keepNext/>
              <w:spacing w:before="10" w:after="10"/>
              <w:jc w:val="right"/>
            </w:pPr>
            <w:r>
              <w:t xml:space="preserve">0.985</w:t>
            </w:r>
          </w:p>
        </w:tc>
      </w:tr>
      <w:tr>
        <w:trPr>
          <w:cantSplit/>
        </w:trPr>
        <w:tc>
          <w:tcPr>
            <w:tcW w:w="1297" w:type="dxa"/>
            <w:tcBorders>
              <w:bottom w:val="single" w:sz="8" w:space="0" w:color="auto"/>
            </w:tcBorders>
            <w:vAlign w:val="center"/>
          </w:tcPr>
          <w:p>
            <w:pPr>
              <w:pStyle w:val="PPTableBody"/>
              <w:spacing w:before="10" w:after="10"/>
              <w:jc w:val="left"/>
            </w:pPr>
            <w:r>
              <w:t xml:space="preserve">CLEAR-10</w:t>
            </w:r>
          </w:p>
        </w:tc>
        <w:tc>
          <w:tcPr>
            <w:tcW w:w="906" w:type="dxa"/>
            <w:tcBorders>
              <w:bottom w:val="single" w:sz="8" w:space="0" w:color="auto"/>
            </w:tcBorders>
            <w:vAlign w:val="center"/>
          </w:tcPr>
          <w:p>
            <w:pPr>
              <w:pStyle w:val="PPTableBody"/>
              <w:spacing w:before="10" w:after="10"/>
              <w:jc w:val="left"/>
            </w:pPr>
            <w:r>
              <w:t xml:space="preserve">bucket 1</w:t>
            </w:r>
          </w:p>
        </w:tc>
        <w:tc>
          <w:tcPr>
            <w:tcW w:w="3386" w:type="dxa"/>
            <w:tcBorders>
              <w:bottom w:val="single" w:sz="8" w:space="0" w:color="auto"/>
            </w:tcBorders>
            <w:vAlign w:val="center"/>
          </w:tcPr>
          <w:p>
            <w:pPr>
              <w:pStyle w:val="PPTableBody"/>
              <w:spacing w:before="10" w:after="10"/>
              <w:jc w:val="left"/>
            </w:pPr>
            <w:r>
              <w:t xml:space="preserve">buckets 2–10</w:t>
            </w:r>
          </w:p>
        </w:tc>
        <w:tc>
          <w:tcPr>
            <w:tcW w:w="1186" w:type="dxa"/>
            <w:tcBorders>
              <w:bottom w:val="single" w:sz="8" w:space="0" w:color="auto"/>
            </w:tcBorders>
            <w:vAlign w:val="center"/>
          </w:tcPr>
          <w:p>
            <w:pPr>
              <w:pStyle w:val="PPTableBody"/>
              <w:spacing w:before="10" w:after="10"/>
              <w:jc w:val="right"/>
            </w:pPr>
            <w:r>
              <w:t xml:space="preserve">3,297–3,300</w:t>
            </w:r>
          </w:p>
        </w:tc>
        <w:tc>
          <w:tcPr>
            <w:tcW w:w="520" w:type="dxa"/>
            <w:tcBorders>
              <w:bottom w:val="single" w:sz="8" w:space="0" w:color="auto"/>
            </w:tcBorders>
            <w:vAlign w:val="center"/>
          </w:tcPr>
          <w:p>
            <w:pPr>
              <w:pStyle w:val="PPTableBody"/>
              <w:spacing w:before="10" w:after="10"/>
              <w:jc w:val="right"/>
            </w:pPr>
            <w:r>
              <w:t xml:space="preserve">512</w:t>
            </w:r>
          </w:p>
        </w:tc>
        <w:tc>
          <w:tcPr>
            <w:tcW w:w="600" w:type="dxa"/>
            <w:tcBorders>
              <w:bottom w:val="single" w:sz="8" w:space="0" w:color="auto"/>
            </w:tcBorders>
            <w:vAlign w:val="center"/>
          </w:tcPr>
          <w:p>
            <w:pPr>
              <w:pStyle w:val="PPTableBody"/>
              <w:spacing w:before="10" w:after="10"/>
              <w:jc w:val="right"/>
            </w:pPr>
            <w:r>
              <w:t xml:space="preserve">11</w:t>
            </w:r>
          </w:p>
        </w:tc>
        <w:tc>
          <w:tcPr>
            <w:tcW w:w="499" w:type="dxa"/>
            <w:tcBorders>
              <w:bottom w:val="single" w:sz="8" w:space="0" w:color="auto"/>
            </w:tcBorders>
            <w:vAlign w:val="center"/>
          </w:tcPr>
          <w:p>
            <w:pPr>
              <w:pStyle w:val="PPTableBody"/>
              <w:spacing w:before="10" w:after="10"/>
              <w:jc w:val="right"/>
            </w:pPr>
            <w:r>
              <w:t xml:space="preserve">0.914</w:t>
            </w:r>
          </w:p>
        </w:tc>
        <w:tc>
          <w:tcPr>
            <w:tcW w:w="499" w:type="dxa"/>
            <w:tcBorders>
              <w:bottom w:val="single" w:sz="8" w:space="0" w:color="auto"/>
            </w:tcBorders>
            <w:vAlign w:val="center"/>
          </w:tcPr>
          <w:p>
            <w:pPr>
              <w:pStyle w:val="PPTableBody"/>
              <w:spacing w:before="10" w:after="10"/>
              <w:jc w:val="right"/>
            </w:pPr>
            <w:r>
              <w:t xml:space="preserve">0.897</w:t>
            </w:r>
          </w:p>
        </w:tc>
      </w:tr>
    </w:tbl>
    <w:p>
      <w:pPr>
        <w:spacing w:after="0" w:line="160" w:lineRule="exact"/>
      </w:pPr>
    </w:p>
    <w:p>
      <w:pPr>
        <w:spacing w:after="0" w:line="20" w:lineRule="exact"/>
        <w:sectPr>
          <w:headerReference w:type="default" r:id="rId8"/>
          <w:type w:val="continuous"/>
          <w:pgSz w:w="11906" w:h="16838" w:code="9"/>
          <w:pgMar w:top="1956" w:right="907" w:bottom="1418" w:left="1134" w:header="709" w:footer="709" w:gutter="0"/>
          <w:cols w:num="1" w:space="397"/>
          <w:docGrid w:linePitch="360"/>
        </w:sectPr>
      </w:pPr>
    </w:p>
    <w:p>
      <w:pPr>
        <w:pStyle w:val="PPBodyMainText"/>
      </w:pPr>
      <w:r>
        <w:rPr>
          <w:i/>
        </w:rPr>
        <w:t xml:space="preserve">ACS Income and ACS Employment.</w:t>
      </w:r>
      <w:r>
        <w:t xml:space="preserve"> Both tasks come from the ACS of the United States Census Bureau, as packaged by Folktables </w:t>
      </w:r>
      <w:r>
        <w:t xml:space="preserve">[20]</w:t>
      </w:r>
      <w:r>
        <w:t xml:space="preserve">. ACS Income predicts whether a person earns more than $50,000 from 10 features. ACS Employment predicts, from 16 features, whether a person aged 16 to 90 is employed. With CA 2014 as the reference, the temporal windows are CA 2015 to 2019 and 2021 to 2023, as there is no standard 2020 release </w:t>
      </w:r>
      <w:r>
        <w:t xml:space="preserve">[31]</w:t>
      </w:r>
      <w:r>
        <w:t xml:space="preserve">. The geographic windows are TX, NY, FL and WA in 2014. In 2019 the relationship variable RELP was replaced by RELSHIPP </w:t>
      </w:r>
      <w:r>
        <w:t xml:space="preserve">[32]</w:t>
      </w:r>
      <w:r>
        <w:t xml:space="preserve">, which we map back to RELP using the code labels of the 2018 and 2019 data dictionaries (Table </w:t>
      </w:r>
      <w:r>
        <w:t xml:space="preserve">S2</w:t>
      </w:r>
      <w:r>
        <w:t xml:space="preserve"> in the Supplement). Five documented changes fall within these years: new occupation codes in 2018 </w:t>
      </w:r>
      <w:r>
        <w:t xml:space="preserve">[33]</w:t>
      </w:r>
      <w:r>
        <w:t xml:space="preserve">, a redesigned relationship question in 2019, a new coding of race answers from 2020 </w:t>
      </w:r>
      <w:r>
        <w:t xml:space="preserve">[34]</w:t>
      </w:r>
      <w:r>
        <w:t xml:space="preserve">, the pandemic and wage growth against the fixed income threshold.</w:t>
      </w:r>
    </w:p>
    <w:p>
      <w:pPr>
        <w:pStyle w:val="PPBodyMainText"/>
      </w:pPr>
      <w:r>
        <w:rPr>
          <w:i/>
        </w:rPr>
        <w:t xml:space="preserve">Gas sensor array drift.</w:t>
      </w:r>
      <w:r>
        <w:t xml:space="preserve"> This dataset from the University of California, Irvine (UCI) machine learning repository holds 13,910 measurements of six gases by 16 metal oxide sensors over 36 months, in ten batches </w:t>
      </w:r>
      <w:r>
        <w:t xml:space="preserve">[35, 36]</w:t>
      </w:r>
      <w:r>
        <w:t xml:space="preserve">. Each measurement has eight features per sensor. As the sensors age, their response to the same gas drifts while the labels stay exact, a documented change in </w:t>
      </w:r>
      <m:oMath>
        <m:r>
          <m:t>P</m:t>
        </m:r>
        <m:r>
          <m:rPr>
            <m:sty m:val="p"/>
          </m:rPr>
          <m:t>(</m:t>
        </m:r>
        <m:r>
          <m:t>X</m:t>
        </m:r>
        <m:r>
          <m:rPr>
            <m:sty m:val="p"/>
          </m:rPr>
          <m:t>∣</m:t>
        </m:r>
        <m:r>
          <m:t>Y</m:t>
        </m:r>
        <m:r>
          <m:rPr>
            <m:sty m:val="p"/>
          </m:rPr>
          <m:t>)</m:t>
        </m:r>
      </m:oMath>
      <w:r>
        <w:t xml:space="preserve">. Batches 1 and 2 form the reference and batches 3 to 10 the windows. Because some batches are small, the number of audit labels for a window of </w:t>
      </w:r>
      <m:oMath>
        <m:r>
          <m:t>n</m:t>
        </m:r>
      </m:oMath>
      <w:r>
        <w:t xml:space="preserve"> rows is given by </w:t>
      </w:r>
      <m:oMath>
        <m:r>
          <m:rPr>
            <m:sty m:val="p"/>
          </m:rPr>
          <m:t>min</m:t>
        </m:r>
        <m:r>
          <m:rPr>
            <m:sty m:val="p"/>
          </m:rPr>
          <m:t>(</m:t>
        </m:r>
        <m:r>
          <m:t>600</m:t>
        </m:r>
        <m:r>
          <m:rPr>
            <m:sty m:val="p"/>
          </m:rPr>
          <m:t>,</m:t>
        </m:r>
        <m:r>
          <m:rPr>
            <m:sty m:val="p"/>
          </m:rPr>
          <m:t>⌊</m:t>
        </m:r>
        <m:r>
          <m:t>n</m:t>
        </m:r>
        <m:r>
          <m:rPr>
            <m:sty m:val="p"/>
          </m:rPr>
          <m:t>/</m:t>
        </m:r>
        <m:r>
          <m:t>2</m:t>
        </m:r>
        <m:r>
          <m:rPr>
            <m:sty m:val="p"/>
          </m:rPr>
          <m:t>⌋</m:t>
        </m:r>
        <m:r>
          <m:rPr>
            <m:sty m:val="p"/>
          </m:rPr>
          <m:t>)</m:t>
        </m:r>
      </m:oMath>
      <w:r>
        <w:t xml:space="preserve">.</w:t>
      </w:r>
    </w:p>
    <w:p>
      <w:pPr>
        <w:pStyle w:val="PPBodyMainText"/>
      </w:pPr>
      <w:r>
        <w:rPr>
          <w:i/>
        </w:rPr>
        <w:t xml:space="preserve">CLEAR-10.</w:t>
      </w:r>
      <w:r>
        <w:t xml:space="preserve"> This image stream holds ten object classes and a background class in ten time-ordered buckets of about 3,300 images each </w:t>
      </w:r>
      <w:r>
        <w:t xml:space="preserve">[21]</w:t>
      </w:r>
      <w:r>
        <w:t xml:space="preserve">. Bucket 1 serves as the reference.</w:t>
      </w:r>
    </w:p>
    <w:p>
      <w:pPr>
        <w:pStyle w:val="PPHeading"/>
        <w:keepNext/>
      </w:pPr>
      <w:r>
        <w:t xml:space="preserve">4.3 Injection benchmark</w:t>
      </w:r>
    </w:p>
    <w:p>
      <w:pPr>
        <w:pStyle w:val="PPBodyMainText"/>
        <w:ind w:firstLine="0"/>
      </w:pPr>
      <w:r>
        <w:t xml:space="preserve">Real drift has no known type, so the diagnosis is graded on injected drift. The benchmark uses the 2014 data of 5 states (CA, TX, NY, FL, WA) for both ACS tasks. Each state is a reference distribution with its own model, split as above. For each of 10 seeds the split, the window and the injection are redrawn, which gives 50 replicates per configuration. Each replicate draws a production window of 4,000 rows and a grading holdout of 2,000 rows from the test part. Each mechanism is injected into both at three intensities. The audit uses 600 labels. Proportions carry Wilson intervals </w:t>
      </w:r>
      <w:r>
        <w:t xml:space="preserve">[37]</w:t>
      </w:r>
      <w:r>
        <w:t xml:space="preserve"> and means carry bootstrap intervals over replicates.</w:t>
      </w:r>
    </w:p>
    <w:p>
      <w:pPr>
        <w:pStyle w:val="PPBodyMainText"/>
      </w:pPr>
      <w:r>
        <w:rPr>
          <w:i/>
        </w:rPr>
        <w:t xml:space="preserve">Design A</w:t>
      </w:r>
      <w:r>
        <w:t xml:space="preserve"> injects the four types in ways that partly match the tests. Covariate shift rescales two numeric features (ACS Income: AGEP and WKHP) for a random subset of rows. Prior shift drops rows of one class until the positive rate rises by 0.14, 0.23 and 0.32. Concept drift inverts the labels of the 15, 30 and 50% of rows with the highest value of one feature (ACS Income: SCHL). Label noise flips a random 8, 18 and 32% of labels. Each replicate also includes a control window without drift.</w:t>
      </w:r>
    </w:p>
    <w:p>
      <w:pPr>
        <w:pStyle w:val="PPBodyMainText"/>
      </w:pPr>
      <w:r>
        <w:rPr>
          <w:i/>
        </w:rPr>
        <w:t xml:space="preserve">Design B</w:t>
      </w:r>
      <w:r>
        <w:t xml:space="preserve"> uses mechanisms that the tests were not designed for. Covariate shift is selection bias: each row is kept with a probability given by </w:t>
      </w:r>
      <m:oMath>
        <m:r>
          <m:t>σ</m:t>
        </m:r>
        <m:r>
          <m:rPr>
            <m:sty m:val="p"/>
          </m:rPr>
          <m:t>(</m:t>
        </m:r>
        <m:r>
          <m:t>β</m:t>
        </m:r>
        <m:r>
          <m:t>s</m:t>
        </m:r>
        <m:r>
          <m:rPr>
            <m:sty m:val="p"/>
          </m:rPr>
          <m:t>(</m:t>
        </m:r>
        <m:r>
          <m:t>x</m:t>
        </m:r>
        <m:r>
          <m:rPr>
            <m:sty m:val="p"/>
          </m:rPr>
          <m:t>)</m:t>
        </m:r>
        <m:r>
          <m:rPr>
            <m:sty m:val="p"/>
          </m:rPr>
          <m:t>)</m:t>
        </m:r>
      </m:oMath>
      <w:r>
        <w:t xml:space="preserve">, where </w:t>
      </w:r>
      <m:oMath>
        <m:r>
          <m:t>σ</m:t>
        </m:r>
      </m:oMath>
      <w:r>
        <w:t xml:space="preserve"> is the logistic function, </w:t>
      </w:r>
      <m:oMath>
        <m:r>
          <m:t>s</m:t>
        </m:r>
      </m:oMath>
      <w:r>
        <w:t xml:space="preserve"> is a seeded random score over all inputs and </w:t>
      </w:r>
      <m:oMath>
        <m:r>
          <m:t>β</m:t>
        </m:r>
        <m:r>
          <m:rPr>
            <m:sty m:val="p"/>
          </m:rPr>
          <m:t>∈</m:t>
        </m:r>
        <m:r>
          <m:rPr>
            <m:sty m:val="p"/>
          </m:rPr>
          <m:t>{</m:t>
        </m:r>
        <m:r>
          <m:t>0.5</m:t>
        </m:r>
        <m:r>
          <m:rPr>
            <m:sty m:val="p"/>
          </m:rPr>
          <m:t>,</m:t>
        </m:r>
        <m:r>
          <m:t>1</m:t>
        </m:r>
        <m:r>
          <m:rPr>
            <m:sty m:val="p"/>
          </m:rPr>
          <m:t>,</m:t>
        </m:r>
        <m:r>
          <m:t>1.5</m:t>
        </m:r>
        <m:r>
          <m:rPr>
            <m:sty m:val="p"/>
          </m:rPr>
          <m:t>}</m:t>
        </m:r>
      </m:oMath>
      <w:r>
        <w:t xml:space="preserve">. The rows stay real and </w:t>
      </w:r>
      <m:oMath>
        <m:r>
          <m:t>P</m:t>
        </m:r>
        <m:r>
          <m:rPr>
            <m:sty m:val="p"/>
          </m:rPr>
          <m:t>(</m:t>
        </m:r>
        <m:r>
          <m:t>Y</m:t>
        </m:r>
        <m:r>
          <m:rPr>
            <m:sty m:val="p"/>
          </m:rPr>
          <m:t>∣</m:t>
        </m:r>
        <m:r>
          <m:t>X</m:t>
        </m:r>
        <m:r>
          <m:rPr>
            <m:sty m:val="p"/>
          </m:rPr>
          <m:t>)</m:t>
        </m:r>
      </m:oMath>
      <w:r>
        <w:t xml:space="preserve"> is exactly unchanged. Prior shift lowers the positive rate by 0.08, 0.14 and 0.20. Concept drift inverts the labels in the top 15, 30 and 50% of a second random score, which defines an oblique region that no single feature describes. For ACS Income a second concept drift raises the income threshold to $55,000, $60,000 and $70,000. Label noise is class-conditional, with positive labels flipped to negative at rates of 10, 20 and 35%.</w:t>
      </w:r>
    </w:p>
    <w:p>
      <w:pPr>
        <w:pStyle w:val="PPHeading"/>
        <w:keepNext/>
      </w:pPr>
      <w:r>
        <w:t xml:space="preserve">4.4 Baselines and ablations</w:t>
      </w:r>
    </w:p>
    <w:p>
      <w:pPr>
        <w:pStyle w:val="PPBodyMainText"/>
        <w:ind w:firstLine="0"/>
      </w:pPr>
      <w:r>
        <w:t xml:space="preserve">A diagnosis is only worth its cost if it beats simpler options. Every method names one of the five outcomes (no drift or one of the four types) from the same tests and audit labels. Three rules represent current practice. </w:t>
      </w:r>
      <w:r>
        <w:rPr>
          <w:i/>
        </w:rPr>
        <w:t xml:space="preserve">Input monitoring</w:t>
      </w:r>
      <w:r>
        <w:t xml:space="preserve"> reads any input alarm as covariate shift, which is how drift alarms are commonly read. </w:t>
      </w:r>
      <w:r>
        <w:rPr>
          <w:i/>
        </w:rPr>
        <w:t xml:space="preserve">BBSE first</w:t>
      </w:r>
      <w:r>
        <w:t xml:space="preserve"> reads a shift in the predicted labels as prior shift </w:t>
      </w:r>
      <w:r>
        <w:t xml:space="preserve">[1, 5]</w:t>
      </w:r>
      <w:r>
        <w:t xml:space="preserve"> and any other alarm as covariate shift, which makes it our label-free stage without the consistency test. </w:t>
      </w:r>
      <w:r>
        <w:rPr>
          <w:i/>
        </w:rPr>
        <w:t xml:space="preserve">Error-rate monitoring</w:t>
      </w:r>
      <w:r>
        <w:t xml:space="preserve"> also reads a significant audit accuracy drop as concept drift, like an error-rate detector </w:t>
      </w:r>
      <w:r>
        <w:t xml:space="preserve">[8]</w:t>
      </w:r>
      <w:r>
        <w:t xml:space="preserve">.</w:t>
      </w:r>
    </w:p>
    <w:p>
      <w:pPr>
        <w:pStyle w:val="PPBodyMainText"/>
      </w:pPr>
      <w:r>
        <w:t xml:space="preserve">The </w:t>
      </w:r>
      <w:r>
        <w:rPr>
          <w:i/>
        </w:rPr>
        <w:t xml:space="preserve">learned meta-classifier</w:t>
      </w:r>
      <w:r>
        <w:t xml:space="preserve"> tests whether a learned rule could replace the tests. It is a GB model on nine statistics of each window: the evidence </w:t>
      </w:r>
      <m:oMath>
        <m:r>
          <m:rPr>
            <m:sty m:val="p"/>
          </m:rPr>
          <m:t>−</m:t>
        </m:r>
        <m:sSub>
          <m:e>
            <m:r>
              <m:rPr>
                <m:sty m:val="p"/>
              </m:rPr>
              <m:t>log</m:t>
            </m:r>
          </m:e>
          <m:sub>
            <m:r>
              <m:t>10</m:t>
            </m:r>
          </m:sub>
        </m:sSub>
        <m:r>
          <m:t>p</m:t>
        </m:r>
      </m:oMath>
      <w:r>
        <w:t xml:space="preserve"> of each block test, the share of features with residual shift, the BBSE prior change, the CBPE change, the evidence and size of the audit accuracy drop and the evidence of the error structure test. In design A it is validated by leaving one state out. In design B it is trained on design A without the predicted state, so it never sees a held-out mechanism. Three ablations remove the MMD block, remove the confidence term from the audit null or replace the confidence bins by cells of predicted class and confidence.</w:t>
      </w:r>
    </w:p>
    <w:p>
      <w:pPr>
        <w:pStyle w:val="PPBodyMainText"/>
      </w:pPr>
      <w:r>
        <w:t xml:space="preserve">Our procedure is compared with each other method by the per-replicate difference in the share of correctly typed windows, tested by sign-flip permutation (10,000 flips) with Holm correction. Replicates are the unit of analysis because the windows of one replicate share a model and a reference.</w:t>
      </w:r>
    </w:p>
    <w:p>
      <w:pPr>
        <w:pStyle w:val="PPHeading"/>
        <w:keepNext/>
      </w:pPr>
      <w:r>
        <w:t xml:space="preserve">5 Results</w:t>
      </w:r>
    </w:p>
    <w:p>
      <w:pPr>
        <w:pStyle w:val="PPBodyMainText"/>
        <w:ind w:firstLine="0"/>
      </w:pPr>
      <w:r>
        <w:t xml:space="preserve">The benchmark results come first: how often the type is named, whether the procedure transfers to held-out drift and how well its building blocks work. Real drift follows.</w:t>
      </w:r>
    </w:p>
    <w:p>
      <w:pPr>
        <w:pStyle w:val="PPHeading"/>
        <w:keepNext/>
      </w:pPr>
      <w:r>
        <w:t xml:space="preserve">5.1 Drift type against baselines</w:t>
      </w:r>
    </w:p>
    <w:p>
      <w:pPr>
        <w:pStyle w:val="PPBodyMainText"/>
        <w:ind w:firstLine="0"/>
      </w:pPr>
      <w:r>
        <w:t xml:space="preserve">The central question is how often each method names the injected type. Table </w:t>
      </w:r>
      <w:r>
        <w:t xml:space="preserve">3</w:t>
      </w:r>
      <w:r>
        <w:t xml:space="preserve"> gives the answer for every configuration, each with 50 replicates.</w:t>
      </w:r>
    </w:p>
    <w:p>
      <w:pPr>
        <w:pStyle w:val="PPFigureTableCaption"/>
        <w:keepNext/>
        <w:keepLines/>
        <w:spacing w:before="160" w:after="60"/>
      </w:pPr>
      <w:r>
        <w:rPr>
          <w:b/>
        </w:rPr>
        <w:t xml:space="preserve">Table 3</w:t>
      </w:r>
      <w:r>
        <w:t xml:space="preserve"> </w:t>
      </w:r>
      <w:r>
        <w:t xml:space="preserve">Share of benchmark windows with the correct drift type (%), for each model family, task and design</w:t>
      </w:r>
    </w:p>
    <w:tbl>
      <w:tblPr>
        <w:tblW w:w="0" w:type="auto"/>
        <w:jc w:val="center"/>
        <w:tblLayout w:type="fixed"/>
        <w:tblCellMar>
          <w:left w:w="45" w:type="dxa"/>
          <w:right w:w="45" w:type="dxa"/>
        </w:tblCellMar>
        <w:tblLook w:val="04A0" w:firstRow="1" w:lastRow="0" w:firstColumn="1" w:lastColumn="0" w:noHBand="0" w:noVBand="1"/>
      </w:tblPr>
      <w:tblGrid>
        <w:gridCol w:w="1498"/>
        <w:gridCol w:w="511"/>
        <w:gridCol w:w="511"/>
        <w:gridCol w:w="608"/>
        <w:gridCol w:w="608"/>
      </w:tblGrid>
      <w:tr>
        <w:trPr>
          <w:cantSplit/>
          <w:tblHeader/>
        </w:trPr>
        <w:tc>
          <w:tcPr>
            <w:tcW w:w="1498" w:type="dxa"/>
            <w:tcBorders>
              <w:top w:val="single" w:sz="8" w:space="0" w:color="auto"/>
            </w:tcBorders>
            <w:vAlign w:val="center"/>
          </w:tcPr>
          <w:p>
            <w:pPr>
              <w:pStyle w:val="PPTableBody"/>
              <w:keepNext/>
              <w:spacing w:before="10" w:after="10"/>
              <w:jc w:val="left"/>
            </w:pPr>
          </w:p>
        </w:tc>
        <w:tc>
          <w:tcPr>
            <w:tcW w:w="511" w:type="dxa"/>
            <w:tcBorders>
              <w:top w:val="single" w:sz="8" w:space="0" w:color="auto"/>
            </w:tcBorders>
            <w:vAlign w:val="center"/>
          </w:tcPr>
          <w:p>
            <w:pPr>
              <w:pStyle w:val="PPTableBody"/>
              <w:keepNext/>
              <w:spacing w:before="10" w:after="10"/>
              <w:jc w:val="right"/>
            </w:pPr>
            <w:r>
              <w:t xml:space="preserve">Inc. A</w:t>
            </w:r>
          </w:p>
        </w:tc>
        <w:tc>
          <w:tcPr>
            <w:tcW w:w="511" w:type="dxa"/>
            <w:tcBorders>
              <w:top w:val="single" w:sz="8" w:space="0" w:color="auto"/>
            </w:tcBorders>
            <w:vAlign w:val="center"/>
          </w:tcPr>
          <w:p>
            <w:pPr>
              <w:pStyle w:val="PPTableBody"/>
              <w:keepNext/>
              <w:spacing w:before="10" w:after="10"/>
              <w:jc w:val="right"/>
            </w:pPr>
            <w:r>
              <w:t xml:space="preserve">Inc. B</w:t>
            </w:r>
          </w:p>
        </w:tc>
        <w:tc>
          <w:tcPr>
            <w:tcW w:w="608" w:type="dxa"/>
            <w:tcBorders>
              <w:top w:val="single" w:sz="8" w:space="0" w:color="auto"/>
            </w:tcBorders>
            <w:vAlign w:val="center"/>
          </w:tcPr>
          <w:p>
            <w:pPr>
              <w:pStyle w:val="PPTableBody"/>
              <w:keepNext/>
              <w:spacing w:before="10" w:after="10"/>
              <w:jc w:val="right"/>
            </w:pPr>
            <w:r>
              <w:t xml:space="preserve">Emp. A</w:t>
            </w:r>
          </w:p>
        </w:tc>
        <w:tc>
          <w:tcPr>
            <w:tcW w:w="608" w:type="dxa"/>
            <w:tcBorders>
              <w:top w:val="single" w:sz="8" w:space="0" w:color="auto"/>
            </w:tcBorders>
            <w:vAlign w:val="center"/>
          </w:tcPr>
          <w:p>
            <w:pPr>
              <w:pStyle w:val="PPTableBody"/>
              <w:keepNext/>
              <w:spacing w:before="10" w:after="10"/>
              <w:jc w:val="right"/>
            </w:pPr>
            <w:r>
              <w:t xml:space="preserve">Emp. B</w:t>
            </w:r>
          </w:p>
        </w:tc>
      </w:tr>
      <w:tr>
        <w:trPr>
          <w:cantSplit/>
        </w:trPr>
        <w:tc>
          <w:tcPr>
            <w:tcW w:w="3736" w:type="dxa"/>
            <w:gridSpan w:val="5"/>
            <w:tcBorders>
              <w:top w:val="single" w:sz="4" w:space="0" w:color="auto"/>
            </w:tcBorders>
            <w:vAlign w:val="center"/>
          </w:tcPr>
          <w:p>
            <w:pPr>
              <w:pStyle w:val="PPTableBody"/>
              <w:keepNext/>
              <w:spacing w:before="10" w:after="10"/>
              <w:jc w:val="center"/>
            </w:pPr>
            <w:r>
              <w:t xml:space="preserve">Logistic regression</w:t>
            </w:r>
          </w:p>
        </w:tc>
      </w:tr>
      <w:tr>
        <w:trPr>
          <w:cantSplit/>
        </w:trPr>
        <w:tc>
          <w:tcPr>
            <w:tcW w:w="1498" w:type="dxa"/>
            <w:tcBorders>
              <w:top w:val="single" w:sz="4" w:space="0" w:color="auto"/>
            </w:tcBorders>
            <w:vAlign w:val="center"/>
          </w:tcPr>
          <w:p>
            <w:pPr>
              <w:pStyle w:val="PPTableBody"/>
              <w:keepNext/>
              <w:spacing w:before="10" w:after="10"/>
              <w:jc w:val="left"/>
            </w:pPr>
            <w:r>
              <w:t xml:space="preserve">Ours</w:t>
            </w:r>
          </w:p>
        </w:tc>
        <w:tc>
          <w:tcPr>
            <w:tcW w:w="511" w:type="dxa"/>
            <w:tcBorders>
              <w:top w:val="single" w:sz="4" w:space="0" w:color="auto"/>
            </w:tcBorders>
            <w:vAlign w:val="center"/>
          </w:tcPr>
          <w:p>
            <w:pPr>
              <w:pStyle w:val="PPTableBody"/>
              <w:keepNext/>
              <w:spacing w:before="10" w:after="10"/>
              <w:jc w:val="right"/>
            </w:pPr>
            <w:r>
              <w:t xml:space="preserve">94.3</w:t>
            </w:r>
          </w:p>
        </w:tc>
        <w:tc>
          <w:tcPr>
            <w:tcW w:w="511" w:type="dxa"/>
            <w:tcBorders>
              <w:top w:val="single" w:sz="4" w:space="0" w:color="auto"/>
            </w:tcBorders>
            <w:vAlign w:val="center"/>
          </w:tcPr>
          <w:p>
            <w:pPr>
              <w:pStyle w:val="PPTableBody"/>
              <w:keepNext/>
              <w:spacing w:before="10" w:after="10"/>
              <w:jc w:val="right"/>
            </w:pPr>
            <w:r>
              <w:t xml:space="preserve">62.4</w:t>
            </w:r>
          </w:p>
        </w:tc>
        <w:tc>
          <w:tcPr>
            <w:tcW w:w="608" w:type="dxa"/>
            <w:tcBorders>
              <w:top w:val="single" w:sz="4" w:space="0" w:color="auto"/>
            </w:tcBorders>
            <w:vAlign w:val="center"/>
          </w:tcPr>
          <w:p>
            <w:pPr>
              <w:pStyle w:val="PPTableBody"/>
              <w:keepNext/>
              <w:spacing w:before="10" w:after="10"/>
              <w:jc w:val="right"/>
            </w:pPr>
            <w:r>
              <w:t xml:space="preserve">85.7</w:t>
            </w:r>
          </w:p>
        </w:tc>
        <w:tc>
          <w:tcPr>
            <w:tcW w:w="608" w:type="dxa"/>
            <w:tcBorders>
              <w:top w:val="single" w:sz="4" w:space="0" w:color="auto"/>
            </w:tcBorders>
            <w:vAlign w:val="center"/>
          </w:tcPr>
          <w:p>
            <w:pPr>
              <w:pStyle w:val="PPTableBody"/>
              <w:keepNext/>
              <w:spacing w:before="10" w:after="10"/>
              <w:jc w:val="right"/>
            </w:pPr>
            <w:r>
              <w:t xml:space="preserve">80.5</w:t>
            </w:r>
          </w:p>
        </w:tc>
      </w:tr>
      <w:tr>
        <w:trPr>
          <w:cantSplit/>
        </w:trPr>
        <w:tc>
          <w:tcPr>
            <w:tcW w:w="1498" w:type="dxa"/>
            <w:tcBorders/>
            <w:vAlign w:val="center"/>
          </w:tcPr>
          <w:p>
            <w:pPr>
              <w:pStyle w:val="PPTableBody"/>
              <w:keepNext/>
              <w:spacing w:before="10" w:after="10"/>
              <w:jc w:val="left"/>
            </w:pPr>
            <w:r>
              <w:t xml:space="preserve">Input monitoring</w:t>
            </w:r>
          </w:p>
        </w:tc>
        <w:tc>
          <w:tcPr>
            <w:tcW w:w="511" w:type="dxa"/>
            <w:tcBorders/>
            <w:vAlign w:val="center"/>
          </w:tcPr>
          <w:p>
            <w:pPr>
              <w:pStyle w:val="PPTableBody"/>
              <w:keepNext/>
              <w:spacing w:before="10" w:after="10"/>
              <w:jc w:val="right"/>
            </w:pPr>
            <w:r>
              <w:t xml:space="preserve">30.3↓</w:t>
            </w:r>
          </w:p>
        </w:tc>
        <w:tc>
          <w:tcPr>
            <w:tcW w:w="511" w:type="dxa"/>
            <w:tcBorders/>
            <w:vAlign w:val="center"/>
          </w:tcPr>
          <w:p>
            <w:pPr>
              <w:pStyle w:val="PPTableBody"/>
              <w:keepNext/>
              <w:spacing w:before="10" w:after="10"/>
              <w:jc w:val="right"/>
            </w:pPr>
            <w:r>
              <w:t xml:space="preserve">20.0↓</w:t>
            </w:r>
          </w:p>
        </w:tc>
        <w:tc>
          <w:tcPr>
            <w:tcW w:w="608" w:type="dxa"/>
            <w:tcBorders/>
            <w:vAlign w:val="center"/>
          </w:tcPr>
          <w:p>
            <w:pPr>
              <w:pStyle w:val="PPTableBody"/>
              <w:keepNext/>
              <w:spacing w:before="10" w:after="10"/>
              <w:jc w:val="right"/>
            </w:pPr>
            <w:r>
              <w:t xml:space="preserve">30.5↓</w:t>
            </w:r>
          </w:p>
        </w:tc>
        <w:tc>
          <w:tcPr>
            <w:tcW w:w="608" w:type="dxa"/>
            <w:tcBorders/>
            <w:vAlign w:val="center"/>
          </w:tcPr>
          <w:p>
            <w:pPr>
              <w:pStyle w:val="PPTableBody"/>
              <w:keepNext/>
              <w:spacing w:before="10" w:after="10"/>
              <w:jc w:val="right"/>
            </w:pPr>
            <w:r>
              <w:t xml:space="preserve">25.0↓</w:t>
            </w:r>
          </w:p>
        </w:tc>
      </w:tr>
      <w:tr>
        <w:trPr>
          <w:cantSplit/>
        </w:trPr>
        <w:tc>
          <w:tcPr>
            <w:tcW w:w="1498" w:type="dxa"/>
            <w:tcBorders/>
            <w:vAlign w:val="center"/>
          </w:tcPr>
          <w:p>
            <w:pPr>
              <w:pStyle w:val="PPTableBody"/>
              <w:keepNext/>
              <w:spacing w:before="10" w:after="10"/>
              <w:jc w:val="left"/>
            </w:pPr>
            <w:r>
              <w:t xml:space="preserve">BBSE first</w:t>
            </w:r>
          </w:p>
        </w:tc>
        <w:tc>
          <w:tcPr>
            <w:tcW w:w="511" w:type="dxa"/>
            <w:tcBorders/>
            <w:vAlign w:val="center"/>
          </w:tcPr>
          <w:p>
            <w:pPr>
              <w:pStyle w:val="PPTableBody"/>
              <w:keepNext/>
              <w:spacing w:before="10" w:after="10"/>
              <w:jc w:val="right"/>
            </w:pPr>
            <w:r>
              <w:t xml:space="preserve">30.5↓</w:t>
            </w:r>
          </w:p>
        </w:tc>
        <w:tc>
          <w:tcPr>
            <w:tcW w:w="511" w:type="dxa"/>
            <w:tcBorders/>
            <w:vAlign w:val="center"/>
          </w:tcPr>
          <w:p>
            <w:pPr>
              <w:pStyle w:val="PPTableBody"/>
              <w:keepNext/>
              <w:spacing w:before="10" w:after="10"/>
              <w:jc w:val="right"/>
            </w:pPr>
            <w:r>
              <w:t xml:space="preserve">27.7↓</w:t>
            </w:r>
          </w:p>
        </w:tc>
        <w:tc>
          <w:tcPr>
            <w:tcW w:w="608" w:type="dxa"/>
            <w:tcBorders/>
            <w:vAlign w:val="center"/>
          </w:tcPr>
          <w:p>
            <w:pPr>
              <w:pStyle w:val="PPTableBody"/>
              <w:keepNext/>
              <w:spacing w:before="10" w:after="10"/>
              <w:jc w:val="right"/>
            </w:pPr>
            <w:r>
              <w:t xml:space="preserve">30.5↓</w:t>
            </w:r>
          </w:p>
        </w:tc>
        <w:tc>
          <w:tcPr>
            <w:tcW w:w="608" w:type="dxa"/>
            <w:tcBorders/>
            <w:vAlign w:val="center"/>
          </w:tcPr>
          <w:p>
            <w:pPr>
              <w:pStyle w:val="PPTableBody"/>
              <w:keepNext/>
              <w:spacing w:before="10" w:after="10"/>
              <w:jc w:val="right"/>
            </w:pPr>
            <w:r>
              <w:t xml:space="preserve">39.2↓</w:t>
            </w:r>
          </w:p>
        </w:tc>
      </w:tr>
      <w:tr>
        <w:trPr>
          <w:cantSplit/>
        </w:trPr>
        <w:tc>
          <w:tcPr>
            <w:tcW w:w="1498" w:type="dxa"/>
            <w:tcBorders/>
            <w:vAlign w:val="center"/>
          </w:tcPr>
          <w:p>
            <w:pPr>
              <w:pStyle w:val="PPTableBody"/>
              <w:keepNext/>
              <w:spacing w:before="10" w:after="10"/>
              <w:jc w:val="left"/>
            </w:pPr>
            <w:r>
              <w:t xml:space="preserve">Error-rate monitoring</w:t>
            </w:r>
          </w:p>
        </w:tc>
        <w:tc>
          <w:tcPr>
            <w:tcW w:w="511" w:type="dxa"/>
            <w:tcBorders/>
            <w:vAlign w:val="center"/>
          </w:tcPr>
          <w:p>
            <w:pPr>
              <w:pStyle w:val="PPTableBody"/>
              <w:keepNext/>
              <w:spacing w:before="10" w:after="10"/>
              <w:jc w:val="right"/>
            </w:pPr>
            <w:r>
              <w:t xml:space="preserve">52.3↓</w:t>
            </w:r>
          </w:p>
        </w:tc>
        <w:tc>
          <w:tcPr>
            <w:tcW w:w="511" w:type="dxa"/>
            <w:tcBorders/>
            <w:vAlign w:val="center"/>
          </w:tcPr>
          <w:p>
            <w:pPr>
              <w:pStyle w:val="PPTableBody"/>
              <w:keepNext/>
              <w:spacing w:before="10" w:after="10"/>
              <w:jc w:val="right"/>
            </w:pPr>
            <w:r>
              <w:t xml:space="preserve">48.5↓</w:t>
            </w:r>
          </w:p>
        </w:tc>
        <w:tc>
          <w:tcPr>
            <w:tcW w:w="608" w:type="dxa"/>
            <w:tcBorders/>
            <w:vAlign w:val="center"/>
          </w:tcPr>
          <w:p>
            <w:pPr>
              <w:pStyle w:val="PPTableBody"/>
              <w:keepNext/>
              <w:spacing w:before="10" w:after="10"/>
              <w:jc w:val="right"/>
            </w:pPr>
            <w:r>
              <w:t xml:space="preserve">52.2↓</w:t>
            </w:r>
          </w:p>
        </w:tc>
        <w:tc>
          <w:tcPr>
            <w:tcW w:w="608" w:type="dxa"/>
            <w:tcBorders/>
            <w:vAlign w:val="center"/>
          </w:tcPr>
          <w:p>
            <w:pPr>
              <w:pStyle w:val="PPTableBody"/>
              <w:keepNext/>
              <w:spacing w:before="10" w:after="10"/>
              <w:jc w:val="right"/>
            </w:pPr>
            <w:r>
              <w:t xml:space="preserve">62.8↓</w:t>
            </w:r>
          </w:p>
        </w:tc>
      </w:tr>
      <w:tr>
        <w:trPr>
          <w:cantSplit/>
        </w:trPr>
        <w:tc>
          <w:tcPr>
            <w:tcW w:w="1498" w:type="dxa"/>
            <w:tcBorders/>
            <w:vAlign w:val="center"/>
          </w:tcPr>
          <w:p>
            <w:pPr>
              <w:pStyle w:val="PPTableBody"/>
              <w:keepNext/>
              <w:spacing w:before="10" w:after="10"/>
              <w:jc w:val="left"/>
            </w:pPr>
            <w:r>
              <w:t xml:space="preserve">Meta-classifier</w:t>
            </w:r>
          </w:p>
        </w:tc>
        <w:tc>
          <w:tcPr>
            <w:tcW w:w="511" w:type="dxa"/>
            <w:tcBorders/>
            <w:vAlign w:val="center"/>
          </w:tcPr>
          <w:p>
            <w:pPr>
              <w:pStyle w:val="PPTableBody"/>
              <w:keepNext/>
              <w:spacing w:before="10" w:after="10"/>
              <w:jc w:val="right"/>
            </w:pPr>
            <w:r>
              <w:t xml:space="preserve">97.5</w:t>
            </w:r>
          </w:p>
        </w:tc>
        <w:tc>
          <w:tcPr>
            <w:tcW w:w="511" w:type="dxa"/>
            <w:tcBorders/>
            <w:vAlign w:val="center"/>
          </w:tcPr>
          <w:p>
            <w:pPr>
              <w:pStyle w:val="PPTableBody"/>
              <w:keepNext/>
              <w:spacing w:before="10" w:after="10"/>
              <w:jc w:val="right"/>
            </w:pPr>
            <w:r>
              <w:t xml:space="preserve">31.1↓</w:t>
            </w:r>
          </w:p>
        </w:tc>
        <w:tc>
          <w:tcPr>
            <w:tcW w:w="608" w:type="dxa"/>
            <w:tcBorders/>
            <w:vAlign w:val="center"/>
          </w:tcPr>
          <w:p>
            <w:pPr>
              <w:pStyle w:val="PPTableBody"/>
              <w:keepNext/>
              <w:spacing w:before="10" w:after="10"/>
              <w:jc w:val="right"/>
            </w:pPr>
            <w:r>
              <w:t xml:space="preserve">95.8↑</w:t>
            </w:r>
          </w:p>
        </w:tc>
        <w:tc>
          <w:tcPr>
            <w:tcW w:w="608" w:type="dxa"/>
            <w:tcBorders/>
            <w:vAlign w:val="center"/>
          </w:tcPr>
          <w:p>
            <w:pPr>
              <w:pStyle w:val="PPTableBody"/>
              <w:keepNext/>
              <w:spacing w:before="10" w:after="10"/>
              <w:jc w:val="right"/>
            </w:pPr>
            <w:r>
              <w:t xml:space="preserve">48.2↓</w:t>
            </w:r>
          </w:p>
        </w:tc>
      </w:tr>
      <w:tr>
        <w:trPr>
          <w:cantSplit/>
        </w:trPr>
        <w:tc>
          <w:tcPr>
            <w:tcW w:w="1498" w:type="dxa"/>
            <w:tcBorders>
              <w:top w:val="single" w:sz="4" w:space="0" w:color="auto"/>
            </w:tcBorders>
            <w:vAlign w:val="center"/>
          </w:tcPr>
          <w:p>
            <w:pPr>
              <w:pStyle w:val="PPTableBody"/>
              <w:keepNext/>
              <w:spacing w:before="10" w:after="10"/>
              <w:jc w:val="left"/>
            </w:pPr>
            <w:r>
              <w:t xml:space="preserve">Ours, no MMD</w:t>
            </w:r>
          </w:p>
        </w:tc>
        <w:tc>
          <w:tcPr>
            <w:tcW w:w="511" w:type="dxa"/>
            <w:tcBorders>
              <w:top w:val="single" w:sz="4" w:space="0" w:color="auto"/>
            </w:tcBorders>
            <w:vAlign w:val="center"/>
          </w:tcPr>
          <w:p>
            <w:pPr>
              <w:pStyle w:val="PPTableBody"/>
              <w:keepNext/>
              <w:spacing w:before="10" w:after="10"/>
              <w:jc w:val="right"/>
            </w:pPr>
            <w:r>
              <w:t xml:space="preserve">95.2</w:t>
            </w:r>
          </w:p>
        </w:tc>
        <w:tc>
          <w:tcPr>
            <w:tcW w:w="511" w:type="dxa"/>
            <w:tcBorders>
              <w:top w:val="single" w:sz="4" w:space="0" w:color="auto"/>
            </w:tcBorders>
            <w:vAlign w:val="center"/>
          </w:tcPr>
          <w:p>
            <w:pPr>
              <w:pStyle w:val="PPTableBody"/>
              <w:keepNext/>
              <w:spacing w:before="10" w:after="10"/>
              <w:jc w:val="right"/>
            </w:pPr>
            <w:r>
              <w:t xml:space="preserve">62.9</w:t>
            </w:r>
          </w:p>
        </w:tc>
        <w:tc>
          <w:tcPr>
            <w:tcW w:w="608" w:type="dxa"/>
            <w:tcBorders>
              <w:top w:val="single" w:sz="4" w:space="0" w:color="auto"/>
            </w:tcBorders>
            <w:vAlign w:val="center"/>
          </w:tcPr>
          <w:p>
            <w:pPr>
              <w:pStyle w:val="PPTableBody"/>
              <w:keepNext/>
              <w:spacing w:before="10" w:after="10"/>
              <w:jc w:val="right"/>
            </w:pPr>
            <w:r>
              <w:t xml:space="preserve">86.6</w:t>
            </w:r>
          </w:p>
        </w:tc>
        <w:tc>
          <w:tcPr>
            <w:tcW w:w="608" w:type="dxa"/>
            <w:tcBorders>
              <w:top w:val="single" w:sz="4" w:space="0" w:color="auto"/>
            </w:tcBorders>
            <w:vAlign w:val="center"/>
          </w:tcPr>
          <w:p>
            <w:pPr>
              <w:pStyle w:val="PPTableBody"/>
              <w:keepNext/>
              <w:spacing w:before="10" w:after="10"/>
              <w:jc w:val="right"/>
            </w:pPr>
            <w:r>
              <w:t xml:space="preserve">81.3</w:t>
            </w:r>
          </w:p>
        </w:tc>
      </w:tr>
      <w:tr>
        <w:trPr>
          <w:cantSplit/>
        </w:trPr>
        <w:tc>
          <w:tcPr>
            <w:tcW w:w="1498" w:type="dxa"/>
            <w:tcBorders/>
            <w:vAlign w:val="center"/>
          </w:tcPr>
          <w:p>
            <w:pPr>
              <w:pStyle w:val="PPTableBody"/>
              <w:keepNext/>
              <w:spacing w:before="10" w:after="10"/>
              <w:jc w:val="left"/>
            </w:pPr>
            <w:r>
              <w:t xml:space="preserve">Ours, no confidence</w:t>
            </w:r>
          </w:p>
        </w:tc>
        <w:tc>
          <w:tcPr>
            <w:tcW w:w="511" w:type="dxa"/>
            <w:tcBorders/>
            <w:vAlign w:val="center"/>
          </w:tcPr>
          <w:p>
            <w:pPr>
              <w:pStyle w:val="PPTableBody"/>
              <w:keepNext/>
              <w:spacing w:before="10" w:after="10"/>
              <w:jc w:val="right"/>
            </w:pPr>
            <w:r>
              <w:t xml:space="preserve">79.1↓</w:t>
            </w:r>
          </w:p>
        </w:tc>
        <w:tc>
          <w:tcPr>
            <w:tcW w:w="511" w:type="dxa"/>
            <w:tcBorders/>
            <w:vAlign w:val="center"/>
          </w:tcPr>
          <w:p>
            <w:pPr>
              <w:pStyle w:val="PPTableBody"/>
              <w:keepNext/>
              <w:spacing w:before="10" w:after="10"/>
              <w:jc w:val="right"/>
            </w:pPr>
            <w:r>
              <w:t xml:space="preserve">62.9</w:t>
            </w:r>
          </w:p>
        </w:tc>
        <w:tc>
          <w:tcPr>
            <w:tcW w:w="608" w:type="dxa"/>
            <w:tcBorders/>
            <w:vAlign w:val="center"/>
          </w:tcPr>
          <w:p>
            <w:pPr>
              <w:pStyle w:val="PPTableBody"/>
              <w:keepNext/>
              <w:spacing w:before="10" w:after="10"/>
              <w:jc w:val="right"/>
            </w:pPr>
            <w:r>
              <w:t xml:space="preserve">83.7↓</w:t>
            </w:r>
          </w:p>
        </w:tc>
        <w:tc>
          <w:tcPr>
            <w:tcW w:w="608" w:type="dxa"/>
            <w:tcBorders/>
            <w:vAlign w:val="center"/>
          </w:tcPr>
          <w:p>
            <w:pPr>
              <w:pStyle w:val="PPTableBody"/>
              <w:keepNext/>
              <w:spacing w:before="10" w:after="10"/>
              <w:jc w:val="right"/>
            </w:pPr>
            <w:r>
              <w:t xml:space="preserve">80.7</w:t>
            </w:r>
          </w:p>
        </w:tc>
      </w:tr>
      <w:tr>
        <w:trPr>
          <w:cantSplit/>
        </w:trPr>
        <w:tc>
          <w:tcPr>
            <w:tcW w:w="1498" w:type="dxa"/>
            <w:tcBorders/>
            <w:vAlign w:val="center"/>
          </w:tcPr>
          <w:p>
            <w:pPr>
              <w:pStyle w:val="PPTableBody"/>
              <w:keepNext/>
              <w:spacing w:before="10" w:after="10"/>
              <w:jc w:val="left"/>
            </w:pPr>
            <w:r>
              <w:t xml:space="preserve">Ours, class cells</w:t>
            </w:r>
          </w:p>
        </w:tc>
        <w:tc>
          <w:tcPr>
            <w:tcW w:w="511" w:type="dxa"/>
            <w:tcBorders/>
            <w:vAlign w:val="center"/>
          </w:tcPr>
          <w:p>
            <w:pPr>
              <w:pStyle w:val="PPTableBody"/>
              <w:keepNext/>
              <w:spacing w:before="10" w:after="10"/>
              <w:jc w:val="right"/>
            </w:pPr>
            <w:r>
              <w:t xml:space="preserve">93.1</w:t>
            </w:r>
          </w:p>
        </w:tc>
        <w:tc>
          <w:tcPr>
            <w:tcW w:w="511" w:type="dxa"/>
            <w:tcBorders/>
            <w:vAlign w:val="center"/>
          </w:tcPr>
          <w:p>
            <w:pPr>
              <w:pStyle w:val="PPTableBody"/>
              <w:keepNext/>
              <w:spacing w:before="10" w:after="10"/>
              <w:jc w:val="right"/>
            </w:pPr>
            <w:r>
              <w:t xml:space="preserve">65.6↑</w:t>
            </w:r>
          </w:p>
        </w:tc>
        <w:tc>
          <w:tcPr>
            <w:tcW w:w="608" w:type="dxa"/>
            <w:tcBorders/>
            <w:vAlign w:val="center"/>
          </w:tcPr>
          <w:p>
            <w:pPr>
              <w:pStyle w:val="PPTableBody"/>
              <w:keepNext/>
              <w:spacing w:before="10" w:after="10"/>
              <w:jc w:val="right"/>
            </w:pPr>
            <w:r>
              <w:t xml:space="preserve">86.2</w:t>
            </w:r>
          </w:p>
        </w:tc>
        <w:tc>
          <w:tcPr>
            <w:tcW w:w="608" w:type="dxa"/>
            <w:tcBorders/>
            <w:vAlign w:val="center"/>
          </w:tcPr>
          <w:p>
            <w:pPr>
              <w:pStyle w:val="PPTableBody"/>
              <w:keepNext/>
              <w:spacing w:before="10" w:after="10"/>
              <w:jc w:val="right"/>
            </w:pPr>
            <w:r>
              <w:t xml:space="preserve">91.8↑</w:t>
            </w:r>
          </w:p>
        </w:tc>
      </w:tr>
      <w:tr>
        <w:trPr>
          <w:cantSplit/>
        </w:trPr>
        <w:tc>
          <w:tcPr>
            <w:tcW w:w="3736" w:type="dxa"/>
            <w:gridSpan w:val="5"/>
            <w:tcBorders>
              <w:top w:val="single" w:sz="4" w:space="0" w:color="auto"/>
            </w:tcBorders>
            <w:vAlign w:val="center"/>
          </w:tcPr>
          <w:p>
            <w:pPr>
              <w:pStyle w:val="PPTableBody"/>
              <w:keepNext/>
              <w:spacing w:before="10" w:after="10"/>
              <w:jc w:val="center"/>
            </w:pPr>
            <w:r>
              <w:t xml:space="preserve">Gradient boosting</w:t>
            </w:r>
          </w:p>
        </w:tc>
      </w:tr>
      <w:tr>
        <w:trPr>
          <w:cantSplit/>
        </w:trPr>
        <w:tc>
          <w:tcPr>
            <w:tcW w:w="1498" w:type="dxa"/>
            <w:tcBorders>
              <w:top w:val="single" w:sz="4" w:space="0" w:color="auto"/>
            </w:tcBorders>
            <w:vAlign w:val="center"/>
          </w:tcPr>
          <w:p>
            <w:pPr>
              <w:pStyle w:val="PPTableBody"/>
              <w:keepNext/>
              <w:spacing w:before="10" w:after="10"/>
              <w:jc w:val="left"/>
            </w:pPr>
            <w:r>
              <w:t xml:space="preserve">Ours</w:t>
            </w:r>
          </w:p>
        </w:tc>
        <w:tc>
          <w:tcPr>
            <w:tcW w:w="511" w:type="dxa"/>
            <w:tcBorders>
              <w:top w:val="single" w:sz="4" w:space="0" w:color="auto"/>
            </w:tcBorders>
            <w:vAlign w:val="center"/>
          </w:tcPr>
          <w:p>
            <w:pPr>
              <w:pStyle w:val="PPTableBody"/>
              <w:keepNext/>
              <w:spacing w:before="10" w:after="10"/>
              <w:jc w:val="right"/>
            </w:pPr>
            <w:r>
              <w:t xml:space="preserve">94.2</w:t>
            </w:r>
          </w:p>
        </w:tc>
        <w:tc>
          <w:tcPr>
            <w:tcW w:w="511" w:type="dxa"/>
            <w:tcBorders>
              <w:top w:val="single" w:sz="4" w:space="0" w:color="auto"/>
            </w:tcBorders>
            <w:vAlign w:val="center"/>
          </w:tcPr>
          <w:p>
            <w:pPr>
              <w:pStyle w:val="PPTableBody"/>
              <w:keepNext/>
              <w:spacing w:before="10" w:after="10"/>
              <w:jc w:val="right"/>
            </w:pPr>
            <w:r>
              <w:t xml:space="preserve">63.2</w:t>
            </w:r>
          </w:p>
        </w:tc>
        <w:tc>
          <w:tcPr>
            <w:tcW w:w="608" w:type="dxa"/>
            <w:tcBorders>
              <w:top w:val="single" w:sz="4" w:space="0" w:color="auto"/>
            </w:tcBorders>
            <w:vAlign w:val="center"/>
          </w:tcPr>
          <w:p>
            <w:pPr>
              <w:pStyle w:val="PPTableBody"/>
              <w:keepNext/>
              <w:spacing w:before="10" w:after="10"/>
              <w:jc w:val="right"/>
            </w:pPr>
            <w:r>
              <w:t xml:space="preserve">90.5</w:t>
            </w:r>
          </w:p>
        </w:tc>
        <w:tc>
          <w:tcPr>
            <w:tcW w:w="608" w:type="dxa"/>
            <w:tcBorders>
              <w:top w:val="single" w:sz="4" w:space="0" w:color="auto"/>
            </w:tcBorders>
            <w:vAlign w:val="center"/>
          </w:tcPr>
          <w:p>
            <w:pPr>
              <w:pStyle w:val="PPTableBody"/>
              <w:keepNext/>
              <w:spacing w:before="10" w:after="10"/>
              <w:jc w:val="right"/>
            </w:pPr>
            <w:r>
              <w:t xml:space="preserve">81.5</w:t>
            </w:r>
          </w:p>
        </w:tc>
      </w:tr>
      <w:tr>
        <w:trPr>
          <w:cantSplit/>
        </w:trPr>
        <w:tc>
          <w:tcPr>
            <w:tcW w:w="1498" w:type="dxa"/>
            <w:tcBorders/>
            <w:vAlign w:val="center"/>
          </w:tcPr>
          <w:p>
            <w:pPr>
              <w:pStyle w:val="PPTableBody"/>
              <w:keepNext/>
              <w:spacing w:before="10" w:after="10"/>
              <w:jc w:val="left"/>
            </w:pPr>
            <w:r>
              <w:t xml:space="preserve">Input monitoring</w:t>
            </w:r>
          </w:p>
        </w:tc>
        <w:tc>
          <w:tcPr>
            <w:tcW w:w="511" w:type="dxa"/>
            <w:tcBorders/>
            <w:vAlign w:val="center"/>
          </w:tcPr>
          <w:p>
            <w:pPr>
              <w:pStyle w:val="PPTableBody"/>
              <w:keepNext/>
              <w:spacing w:before="10" w:after="10"/>
              <w:jc w:val="right"/>
            </w:pPr>
            <w:r>
              <w:t xml:space="preserve">30.3↓</w:t>
            </w:r>
          </w:p>
        </w:tc>
        <w:tc>
          <w:tcPr>
            <w:tcW w:w="511" w:type="dxa"/>
            <w:tcBorders/>
            <w:vAlign w:val="center"/>
          </w:tcPr>
          <w:p>
            <w:pPr>
              <w:pStyle w:val="PPTableBody"/>
              <w:keepNext/>
              <w:spacing w:before="10" w:after="10"/>
              <w:jc w:val="right"/>
            </w:pPr>
            <w:r>
              <w:t xml:space="preserve">20.0↓</w:t>
            </w:r>
          </w:p>
        </w:tc>
        <w:tc>
          <w:tcPr>
            <w:tcW w:w="608" w:type="dxa"/>
            <w:tcBorders/>
            <w:vAlign w:val="center"/>
          </w:tcPr>
          <w:p>
            <w:pPr>
              <w:pStyle w:val="PPTableBody"/>
              <w:keepNext/>
              <w:spacing w:before="10" w:after="10"/>
              <w:jc w:val="right"/>
            </w:pPr>
            <w:r>
              <w:t xml:space="preserve">30.5↓</w:t>
            </w:r>
          </w:p>
        </w:tc>
        <w:tc>
          <w:tcPr>
            <w:tcW w:w="608" w:type="dxa"/>
            <w:tcBorders/>
            <w:vAlign w:val="center"/>
          </w:tcPr>
          <w:p>
            <w:pPr>
              <w:pStyle w:val="PPTableBody"/>
              <w:keepNext/>
              <w:spacing w:before="10" w:after="10"/>
              <w:jc w:val="right"/>
            </w:pPr>
            <w:r>
              <w:t xml:space="preserve">25.0↓</w:t>
            </w:r>
          </w:p>
        </w:tc>
      </w:tr>
      <w:tr>
        <w:trPr>
          <w:cantSplit/>
        </w:trPr>
        <w:tc>
          <w:tcPr>
            <w:tcW w:w="1498" w:type="dxa"/>
            <w:tcBorders/>
            <w:vAlign w:val="center"/>
          </w:tcPr>
          <w:p>
            <w:pPr>
              <w:pStyle w:val="PPTableBody"/>
              <w:keepNext/>
              <w:spacing w:before="10" w:after="10"/>
              <w:jc w:val="left"/>
            </w:pPr>
            <w:r>
              <w:t xml:space="preserve">BBSE first</w:t>
            </w:r>
          </w:p>
        </w:tc>
        <w:tc>
          <w:tcPr>
            <w:tcW w:w="511" w:type="dxa"/>
            <w:tcBorders/>
            <w:vAlign w:val="center"/>
          </w:tcPr>
          <w:p>
            <w:pPr>
              <w:pStyle w:val="PPTableBody"/>
              <w:keepNext/>
              <w:spacing w:before="10" w:after="10"/>
              <w:jc w:val="right"/>
            </w:pPr>
            <w:r>
              <w:t xml:space="preserve">30.5↓</w:t>
            </w:r>
          </w:p>
        </w:tc>
        <w:tc>
          <w:tcPr>
            <w:tcW w:w="511" w:type="dxa"/>
            <w:tcBorders/>
            <w:vAlign w:val="center"/>
          </w:tcPr>
          <w:p>
            <w:pPr>
              <w:pStyle w:val="PPTableBody"/>
              <w:keepNext/>
              <w:spacing w:before="10" w:after="10"/>
              <w:jc w:val="right"/>
            </w:pPr>
            <w:r>
              <w:t xml:space="preserve">28.1↓</w:t>
            </w:r>
          </w:p>
        </w:tc>
        <w:tc>
          <w:tcPr>
            <w:tcW w:w="608" w:type="dxa"/>
            <w:tcBorders/>
            <w:vAlign w:val="center"/>
          </w:tcPr>
          <w:p>
            <w:pPr>
              <w:pStyle w:val="PPTableBody"/>
              <w:keepNext/>
              <w:spacing w:before="10" w:after="10"/>
              <w:jc w:val="right"/>
            </w:pPr>
            <w:r>
              <w:t xml:space="preserve">30.6↓</w:t>
            </w:r>
          </w:p>
        </w:tc>
        <w:tc>
          <w:tcPr>
            <w:tcW w:w="608" w:type="dxa"/>
            <w:tcBorders/>
            <w:vAlign w:val="center"/>
          </w:tcPr>
          <w:p>
            <w:pPr>
              <w:pStyle w:val="PPTableBody"/>
              <w:keepNext/>
              <w:spacing w:before="10" w:after="10"/>
              <w:jc w:val="right"/>
            </w:pPr>
            <w:r>
              <w:t xml:space="preserve">40.3↓</w:t>
            </w:r>
          </w:p>
        </w:tc>
      </w:tr>
      <w:tr>
        <w:trPr>
          <w:cantSplit/>
        </w:trPr>
        <w:tc>
          <w:tcPr>
            <w:tcW w:w="1498" w:type="dxa"/>
            <w:tcBorders/>
            <w:vAlign w:val="center"/>
          </w:tcPr>
          <w:p>
            <w:pPr>
              <w:pStyle w:val="PPTableBody"/>
              <w:keepNext/>
              <w:spacing w:before="10" w:after="10"/>
              <w:jc w:val="left"/>
            </w:pPr>
            <w:r>
              <w:t xml:space="preserve">Error-rate monitoring</w:t>
            </w:r>
          </w:p>
        </w:tc>
        <w:tc>
          <w:tcPr>
            <w:tcW w:w="511" w:type="dxa"/>
            <w:tcBorders/>
            <w:vAlign w:val="center"/>
          </w:tcPr>
          <w:p>
            <w:pPr>
              <w:pStyle w:val="PPTableBody"/>
              <w:keepNext/>
              <w:spacing w:before="10" w:after="10"/>
              <w:jc w:val="right"/>
            </w:pPr>
            <w:r>
              <w:t xml:space="preserve">52.5↓</w:t>
            </w:r>
          </w:p>
        </w:tc>
        <w:tc>
          <w:tcPr>
            <w:tcW w:w="511" w:type="dxa"/>
            <w:tcBorders/>
            <w:vAlign w:val="center"/>
          </w:tcPr>
          <w:p>
            <w:pPr>
              <w:pStyle w:val="PPTableBody"/>
              <w:keepNext/>
              <w:spacing w:before="10" w:after="10"/>
              <w:jc w:val="right"/>
            </w:pPr>
            <w:r>
              <w:t xml:space="preserve">49.6↓</w:t>
            </w:r>
          </w:p>
        </w:tc>
        <w:tc>
          <w:tcPr>
            <w:tcW w:w="608" w:type="dxa"/>
            <w:tcBorders/>
            <w:vAlign w:val="center"/>
          </w:tcPr>
          <w:p>
            <w:pPr>
              <w:pStyle w:val="PPTableBody"/>
              <w:keepNext/>
              <w:spacing w:before="10" w:after="10"/>
              <w:jc w:val="right"/>
            </w:pPr>
            <w:r>
              <w:t xml:space="preserve">53.1↓</w:t>
            </w:r>
          </w:p>
        </w:tc>
        <w:tc>
          <w:tcPr>
            <w:tcW w:w="608" w:type="dxa"/>
            <w:tcBorders/>
            <w:vAlign w:val="center"/>
          </w:tcPr>
          <w:p>
            <w:pPr>
              <w:pStyle w:val="PPTableBody"/>
              <w:keepNext/>
              <w:spacing w:before="10" w:after="10"/>
              <w:jc w:val="right"/>
            </w:pPr>
            <w:r>
              <w:t xml:space="preserve">64.8↓</w:t>
            </w:r>
          </w:p>
        </w:tc>
      </w:tr>
      <w:tr>
        <w:trPr>
          <w:cantSplit/>
        </w:trPr>
        <w:tc>
          <w:tcPr>
            <w:tcW w:w="1498" w:type="dxa"/>
            <w:tcBorders/>
            <w:vAlign w:val="center"/>
          </w:tcPr>
          <w:p>
            <w:pPr>
              <w:pStyle w:val="PPTableBody"/>
              <w:keepNext/>
              <w:spacing w:before="10" w:after="10"/>
              <w:jc w:val="left"/>
            </w:pPr>
            <w:r>
              <w:t xml:space="preserve">Meta-classifier</w:t>
            </w:r>
          </w:p>
        </w:tc>
        <w:tc>
          <w:tcPr>
            <w:tcW w:w="511" w:type="dxa"/>
            <w:tcBorders/>
            <w:vAlign w:val="center"/>
          </w:tcPr>
          <w:p>
            <w:pPr>
              <w:pStyle w:val="PPTableBody"/>
              <w:keepNext/>
              <w:spacing w:before="10" w:after="10"/>
              <w:jc w:val="right"/>
            </w:pPr>
            <w:r>
              <w:t xml:space="preserve">98.5↑</w:t>
            </w:r>
          </w:p>
        </w:tc>
        <w:tc>
          <w:tcPr>
            <w:tcW w:w="511" w:type="dxa"/>
            <w:tcBorders/>
            <w:vAlign w:val="center"/>
          </w:tcPr>
          <w:p>
            <w:pPr>
              <w:pStyle w:val="PPTableBody"/>
              <w:keepNext/>
              <w:spacing w:before="10" w:after="10"/>
              <w:jc w:val="right"/>
            </w:pPr>
            <w:r>
              <w:t xml:space="preserve">39.2↓</w:t>
            </w:r>
          </w:p>
        </w:tc>
        <w:tc>
          <w:tcPr>
            <w:tcW w:w="608" w:type="dxa"/>
            <w:tcBorders/>
            <w:vAlign w:val="center"/>
          </w:tcPr>
          <w:p>
            <w:pPr>
              <w:pStyle w:val="PPTableBody"/>
              <w:keepNext/>
              <w:spacing w:before="10" w:after="10"/>
              <w:jc w:val="right"/>
            </w:pPr>
            <w:r>
              <w:t xml:space="preserve">97.4↑</w:t>
            </w:r>
          </w:p>
        </w:tc>
        <w:tc>
          <w:tcPr>
            <w:tcW w:w="608" w:type="dxa"/>
            <w:tcBorders/>
            <w:vAlign w:val="center"/>
          </w:tcPr>
          <w:p>
            <w:pPr>
              <w:pStyle w:val="PPTableBody"/>
              <w:keepNext/>
              <w:spacing w:before="10" w:after="10"/>
              <w:jc w:val="right"/>
            </w:pPr>
            <w:r>
              <w:t xml:space="preserve">51.2↓</w:t>
            </w:r>
          </w:p>
        </w:tc>
      </w:tr>
      <w:tr>
        <w:trPr>
          <w:cantSplit/>
        </w:trPr>
        <w:tc>
          <w:tcPr>
            <w:tcW w:w="1498" w:type="dxa"/>
            <w:tcBorders>
              <w:top w:val="single" w:sz="4" w:space="0" w:color="auto"/>
            </w:tcBorders>
            <w:vAlign w:val="center"/>
          </w:tcPr>
          <w:p>
            <w:pPr>
              <w:pStyle w:val="PPTableBody"/>
              <w:keepNext/>
              <w:spacing w:before="10" w:after="10"/>
              <w:jc w:val="left"/>
            </w:pPr>
            <w:r>
              <w:t xml:space="preserve">Ours, no MMD</w:t>
            </w:r>
          </w:p>
        </w:tc>
        <w:tc>
          <w:tcPr>
            <w:tcW w:w="511" w:type="dxa"/>
            <w:tcBorders>
              <w:top w:val="single" w:sz="4" w:space="0" w:color="auto"/>
            </w:tcBorders>
            <w:vAlign w:val="center"/>
          </w:tcPr>
          <w:p>
            <w:pPr>
              <w:pStyle w:val="PPTableBody"/>
              <w:keepNext/>
              <w:spacing w:before="10" w:after="10"/>
              <w:jc w:val="right"/>
            </w:pPr>
            <w:r>
              <w:t xml:space="preserve">95.1</w:t>
            </w:r>
          </w:p>
        </w:tc>
        <w:tc>
          <w:tcPr>
            <w:tcW w:w="511" w:type="dxa"/>
            <w:tcBorders>
              <w:top w:val="single" w:sz="4" w:space="0" w:color="auto"/>
            </w:tcBorders>
            <w:vAlign w:val="center"/>
          </w:tcPr>
          <w:p>
            <w:pPr>
              <w:pStyle w:val="PPTableBody"/>
              <w:keepNext/>
              <w:spacing w:before="10" w:after="10"/>
              <w:jc w:val="right"/>
            </w:pPr>
            <w:r>
              <w:t xml:space="preserve">63.9</w:t>
            </w:r>
          </w:p>
        </w:tc>
        <w:tc>
          <w:tcPr>
            <w:tcW w:w="608" w:type="dxa"/>
            <w:tcBorders>
              <w:top w:val="single" w:sz="4" w:space="0" w:color="auto"/>
            </w:tcBorders>
            <w:vAlign w:val="center"/>
          </w:tcPr>
          <w:p>
            <w:pPr>
              <w:pStyle w:val="PPTableBody"/>
              <w:keepNext/>
              <w:spacing w:before="10" w:after="10"/>
              <w:jc w:val="right"/>
            </w:pPr>
            <w:r>
              <w:t xml:space="preserve">90.5</w:t>
            </w:r>
          </w:p>
        </w:tc>
        <w:tc>
          <w:tcPr>
            <w:tcW w:w="608" w:type="dxa"/>
            <w:tcBorders>
              <w:top w:val="single" w:sz="4" w:space="0" w:color="auto"/>
            </w:tcBorders>
            <w:vAlign w:val="center"/>
          </w:tcPr>
          <w:p>
            <w:pPr>
              <w:pStyle w:val="PPTableBody"/>
              <w:keepNext/>
              <w:spacing w:before="10" w:after="10"/>
              <w:jc w:val="right"/>
            </w:pPr>
            <w:r>
              <w:t xml:space="preserve">81.3</w:t>
            </w:r>
          </w:p>
        </w:tc>
      </w:tr>
      <w:tr>
        <w:trPr>
          <w:cantSplit/>
        </w:trPr>
        <w:tc>
          <w:tcPr>
            <w:tcW w:w="1498" w:type="dxa"/>
            <w:tcBorders/>
            <w:vAlign w:val="center"/>
          </w:tcPr>
          <w:p>
            <w:pPr>
              <w:pStyle w:val="PPTableBody"/>
              <w:keepNext/>
              <w:spacing w:before="10" w:after="10"/>
              <w:jc w:val="left"/>
            </w:pPr>
            <w:r>
              <w:t xml:space="preserve">Ours, no confidence</w:t>
            </w:r>
          </w:p>
        </w:tc>
        <w:tc>
          <w:tcPr>
            <w:tcW w:w="511" w:type="dxa"/>
            <w:tcBorders/>
            <w:vAlign w:val="center"/>
          </w:tcPr>
          <w:p>
            <w:pPr>
              <w:pStyle w:val="PPTableBody"/>
              <w:keepNext/>
              <w:spacing w:before="10" w:after="10"/>
              <w:jc w:val="right"/>
            </w:pPr>
            <w:r>
              <w:t xml:space="preserve">78.0↓</w:t>
            </w:r>
          </w:p>
        </w:tc>
        <w:tc>
          <w:tcPr>
            <w:tcW w:w="511" w:type="dxa"/>
            <w:tcBorders/>
            <w:vAlign w:val="center"/>
          </w:tcPr>
          <w:p>
            <w:pPr>
              <w:pStyle w:val="PPTableBody"/>
              <w:keepNext/>
              <w:spacing w:before="10" w:after="10"/>
              <w:jc w:val="right"/>
            </w:pPr>
            <w:r>
              <w:t xml:space="preserve">62.9</w:t>
            </w:r>
          </w:p>
        </w:tc>
        <w:tc>
          <w:tcPr>
            <w:tcW w:w="608" w:type="dxa"/>
            <w:tcBorders/>
            <w:vAlign w:val="center"/>
          </w:tcPr>
          <w:p>
            <w:pPr>
              <w:pStyle w:val="PPTableBody"/>
              <w:keepNext/>
              <w:spacing w:before="10" w:after="10"/>
              <w:jc w:val="right"/>
            </w:pPr>
            <w:r>
              <w:t xml:space="preserve">85.4↓</w:t>
            </w:r>
          </w:p>
        </w:tc>
        <w:tc>
          <w:tcPr>
            <w:tcW w:w="608" w:type="dxa"/>
            <w:tcBorders/>
            <w:vAlign w:val="center"/>
          </w:tcPr>
          <w:p>
            <w:pPr>
              <w:pStyle w:val="PPTableBody"/>
              <w:keepNext/>
              <w:spacing w:before="10" w:after="10"/>
              <w:jc w:val="right"/>
            </w:pPr>
            <w:r>
              <w:t xml:space="preserve">82.0</w:t>
            </w:r>
          </w:p>
        </w:tc>
      </w:tr>
      <w:tr>
        <w:trPr>
          <w:cantSplit/>
        </w:trPr>
        <w:tc>
          <w:tcPr>
            <w:tcW w:w="1498" w:type="dxa"/>
            <w:tcBorders>
              <w:bottom w:val="single" w:sz="8" w:space="0" w:color="auto"/>
            </w:tcBorders>
            <w:vAlign w:val="center"/>
          </w:tcPr>
          <w:p>
            <w:pPr>
              <w:pStyle w:val="PPTableBody"/>
              <w:spacing w:before="10" w:after="10"/>
              <w:jc w:val="left"/>
            </w:pPr>
            <w:r>
              <w:t xml:space="preserve">Ours, class cells</w:t>
            </w:r>
          </w:p>
        </w:tc>
        <w:tc>
          <w:tcPr>
            <w:tcW w:w="511" w:type="dxa"/>
            <w:tcBorders>
              <w:bottom w:val="single" w:sz="8" w:space="0" w:color="auto"/>
            </w:tcBorders>
            <w:vAlign w:val="center"/>
          </w:tcPr>
          <w:p>
            <w:pPr>
              <w:pStyle w:val="PPTableBody"/>
              <w:spacing w:before="10" w:after="10"/>
              <w:jc w:val="right"/>
            </w:pPr>
            <w:r>
              <w:t xml:space="preserve">92.9↓</w:t>
            </w:r>
          </w:p>
        </w:tc>
        <w:tc>
          <w:tcPr>
            <w:tcW w:w="511" w:type="dxa"/>
            <w:tcBorders>
              <w:bottom w:val="single" w:sz="8" w:space="0" w:color="auto"/>
            </w:tcBorders>
            <w:vAlign w:val="center"/>
          </w:tcPr>
          <w:p>
            <w:pPr>
              <w:pStyle w:val="PPTableBody"/>
              <w:spacing w:before="10" w:after="10"/>
              <w:jc w:val="right"/>
            </w:pPr>
            <w:r>
              <w:t xml:space="preserve">66.5↑</w:t>
            </w:r>
          </w:p>
        </w:tc>
        <w:tc>
          <w:tcPr>
            <w:tcW w:w="608" w:type="dxa"/>
            <w:tcBorders>
              <w:bottom w:val="single" w:sz="8" w:space="0" w:color="auto"/>
            </w:tcBorders>
            <w:vAlign w:val="center"/>
          </w:tcPr>
          <w:p>
            <w:pPr>
              <w:pStyle w:val="PPTableBody"/>
              <w:spacing w:before="10" w:after="10"/>
              <w:jc w:val="right"/>
            </w:pPr>
            <w:r>
              <w:t xml:space="preserve">90.6</w:t>
            </w:r>
          </w:p>
        </w:tc>
        <w:tc>
          <w:tcPr>
            <w:tcW w:w="608" w:type="dxa"/>
            <w:tcBorders>
              <w:bottom w:val="single" w:sz="8" w:space="0" w:color="auto"/>
            </w:tcBorders>
            <w:vAlign w:val="center"/>
          </w:tcPr>
          <w:p>
            <w:pPr>
              <w:pStyle w:val="PPTableBody"/>
              <w:spacing w:before="10" w:after="10"/>
              <w:jc w:val="right"/>
            </w:pPr>
            <w:r>
              <w:t xml:space="preserve">93.7↑</w:t>
            </w:r>
          </w:p>
        </w:tc>
      </w:tr>
    </w:tbl>
    <w:p>
      <w:pPr>
        <w:spacing w:after="0" w:line="160" w:lineRule="exact"/>
      </w:pPr>
    </w:p>
    <w:p>
      <w:pPr>
        <w:pStyle w:val="PPBodyMainText"/>
      </w:pPr>
      <w:r>
        <w:t xml:space="preserve">Inc. and Emp. denote ACS Income and ACS Employment. A and B are the two designs. An arrow marks a method that differs significantly from ours after Holm correction: a down arrow means that ours is better and an up arrow that ours is worse. Within each model family the upper block contains the competing methods and the lower block the ablations of our procedure.</w:t>
      </w:r>
    </w:p>
    <w:p>
      <w:pPr>
        <w:pStyle w:val="PPBodyMainText"/>
      </w:pPr>
      <w:r>
        <w:t xml:space="preserve">With LR on ACS Income, our procedure names the type in 94.3% of design A windows (95% interval [92.3, 95.8]), compared with at most 52.3% for a rule baseline. Each rule can name only some of the five outcomes, which caps its score. Across all eight configurations our procedure is significantly better in 28 of the 32 comparisons with a baseline or the learned rule and significantly worse in 3, all against the learned meta-classifier on design A (ACS Employment LR, ACS Income GB and ACS Employment GB).</w:t>
      </w:r>
    </w:p>
    <w:p>
      <w:pPr>
        <w:pStyle w:val="PPBodyMainText"/>
      </w:pPr>
      <w:r>
        <w:t xml:space="preserve">The learned meta-classifier is the strongest competitor on design A. Validated on states it has not seen, it reaches 97.5% on ACS Income, above our 94.3%. On the held-out mechanisms of design B, however, the picture reverses. Trained on design A, the meta-classifier falls to 31.1% on ACS Income and 48.2% on ACS Employment, while our procedure retains 62.4% and 80.5%. The learned rule had tied each type to the size and shape of the injected shift. For example, it associated covariate shift with a large shift in two features and therefore misses selection bias, which moves many features slightly. This is the main argument for tests over a learned rule: the tests encode the definitions of the drift types rather than the appearance of the training examples.</w:t>
      </w:r>
    </w:p>
    <w:p>
      <w:pPr>
        <w:pStyle w:val="PPBodyMainText"/>
      </w:pPr>
      <w:r>
        <w:t xml:space="preserve">The overall rates hide which types are confused with which, so Fig. </w:t>
      </w:r>
      <w:r>
        <w:t xml:space="preserve">3</w:t>
      </w:r>
      <w:r>
        <w:t xml:space="preserve"> shows this breakdown for LR.</w:t>
      </w:r>
    </w:p>
    <w:p>
      <w:pPr>
        <w:pStyle w:val="PPFigureTableCaption"/>
        <w:keepNext/>
        <w:spacing w:before="100" w:after="40" w:line="240" w:lineRule="auto"/>
      </w:pPr>
      <w:r>
        <w:drawing>
          <wp:inline distT="0" distB="0" distL="0" distR="0">
            <wp:extent cx="3006000" cy="2515474"/>
            <wp:docPr id="3" name="Figure 3" descr="Fig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3.png"/>
                    <pic:cNvPicPr/>
                  </pic:nvPicPr>
                  <pic:blipFill>
                    <a:blip r:embed="rIdI3"/>
                    <a:stretch>
                      <a:fillRect/>
                    </a:stretch>
                  </pic:blipFill>
                  <pic:spPr>
                    <a:xfrm>
                      <a:off x="0" y="0"/>
                      <a:ext cx="3006000" cy="2515474"/>
                    </a:xfrm>
                    <a:prstGeom prst="rect">
                      <a:avLst/>
                    </a:prstGeom>
                  </pic:spPr>
                </pic:pic>
              </a:graphicData>
            </a:graphic>
          </wp:inline>
        </w:drawing>
      </w:r>
    </w:p>
    <w:p>
      <w:pPr>
        <w:pStyle w:val="PPFigureTableCaption"/>
        <w:keepLines/>
        <w:spacing w:after="120"/>
      </w:pPr>
      <w:r>
        <w:rPr>
          <w:b/>
        </w:rPr>
        <w:t xml:space="preserve">Fig. 3</w:t>
      </w:r>
      <w:r>
        <w:t xml:space="preserve"> </w:t>
      </w:r>
      <w:r>
        <w:t xml:space="preserve">Injected (rows) and diagnosed (columns) drift types on the benchmark with LR, in counts of windows; darker cells hold a larger share of their row</w:t>
      </w:r>
    </w:p>
    <w:p>
      <w:pPr>
        <w:pStyle w:val="PPBodyMainText"/>
      </w:pPr>
      <w:r>
        <w:t xml:space="preserve">A perfect result would fill only the diagonal. Because design B has no control windows, false alarms are measured on design A. In design A most errors fall in the label noise row, where noise is read as concept drift or as no drift. The control row holds the false alarms. Our procedure raised them on 13 of 200 control windows (6.5%), 7 in the label-free stage and 6 in the audit, which is below the bound of 10% derived in Section </w:t>
      </w:r>
      <w:r>
        <w:t xml:space="preserve">3.3</w:t>
      </w:r>
      <w:r>
        <w:t xml:space="preserve">. In design B the errors concentrate in the concept and noise rows, for reasons explained in Section </w:t>
      </w:r>
      <w:r>
        <w:t xml:space="preserve">5.2</w:t>
      </w:r>
      <w:r>
        <w:t xml:space="preserve">.</w:t>
      </w:r>
    </w:p>
    <w:p>
      <w:pPr>
        <w:pStyle w:val="PPBodyMainText"/>
      </w:pPr>
      <w:r>
        <w:t xml:space="preserve">The ablations show which parts of the procedure matter. Removing the confidence term from the audit null costs 15.2 points on ACS Income design A, because uniform label noise then looks like concept drift. Removing the MMD block makes little difference on the benchmark (−0.9 points), whose shifts are visible feature by feature, but its value becomes clear on the image embeddings in Section </w:t>
      </w:r>
      <w:r>
        <w:t xml:space="preserve">5.4</w:t>
      </w:r>
      <w:r>
        <w:t xml:space="preserve">. Replacing the confidence bins by cells of predicted class and confidence helps on ACS Employment design B (91.8% against 80.5%) but costs accuracy on ACS Income design A (93.1%). Adopting it now would mean choosing the method after seeing design B, so it remains an ablation and a direction for future work.</w:t>
      </w:r>
    </w:p>
    <w:p>
      <w:pPr>
        <w:pStyle w:val="PPHeading"/>
        <w:keepNext/>
      </w:pPr>
      <w:r>
        <w:t xml:space="preserve">5.2 Held-out mechanisms</w:t>
      </w:r>
    </w:p>
    <w:p>
      <w:pPr>
        <w:pStyle w:val="PPBodyMainText"/>
        <w:ind w:firstLine="0"/>
      </w:pPr>
      <w:r>
        <w:t xml:space="preserve">Design B asks whether the procedure transfers to drift it was not designed for. It is the stronger of the two tests, since no part of the procedure was shaped by these mechanisms. Table </w:t>
      </w:r>
      <w:r>
        <w:t xml:space="preserve">4</w:t>
      </w:r>
      <w:r>
        <w:t xml:space="preserve"> breaks the results down by mechanism.</w:t>
      </w:r>
    </w:p>
    <w:p>
      <w:pPr>
        <w:pStyle w:val="PPFigureTableCaption"/>
        <w:keepNext/>
        <w:keepLines/>
        <w:spacing w:before="160" w:after="60"/>
      </w:pPr>
      <w:r>
        <w:rPr>
          <w:b/>
        </w:rPr>
        <w:t xml:space="preserve">Table 4</w:t>
      </w:r>
      <w:r>
        <w:t xml:space="preserve"> </w:t>
      </w:r>
      <w:r>
        <w:t xml:space="preserve">Design B results by drift mechanism</w:t>
      </w:r>
    </w:p>
    <w:tbl>
      <w:tblPr>
        <w:tblW w:w="0" w:type="auto"/>
        <w:jc w:val="center"/>
        <w:tblLayout w:type="fixed"/>
        <w:tblCellMar>
          <w:left w:w="45" w:type="dxa"/>
          <w:right w:w="45" w:type="dxa"/>
        </w:tblCellMar>
        <w:tblLook w:val="04A0" w:firstRow="1" w:lastRow="0" w:firstColumn="1" w:lastColumn="0" w:noHBand="0" w:noVBand="1"/>
      </w:tblPr>
      <w:tblGrid>
        <w:gridCol w:w="1160"/>
        <w:gridCol w:w="444"/>
        <w:gridCol w:w="448"/>
        <w:gridCol w:w="444"/>
        <w:gridCol w:w="448"/>
        <w:gridCol w:w="444"/>
        <w:gridCol w:w="448"/>
        <w:gridCol w:w="444"/>
        <w:gridCol w:w="448"/>
      </w:tblGrid>
      <w:tr>
        <w:trPr>
          <w:cantSplit/>
          <w:tblHeader/>
        </w:trPr>
        <w:tc>
          <w:tcPr>
            <w:tcW w:w="1160" w:type="dxa"/>
            <w:tcBorders>
              <w:top w:val="single" w:sz="8" w:space="0" w:color="auto"/>
            </w:tcBorders>
            <w:vAlign w:val="center"/>
          </w:tcPr>
          <w:p>
            <w:pPr>
              <w:pStyle w:val="PPTableBody"/>
              <w:keepNext/>
              <w:spacing w:before="10" w:after="10"/>
              <w:jc w:val="left"/>
            </w:pPr>
          </w:p>
        </w:tc>
        <w:tc>
          <w:tcPr>
            <w:tcW w:w="1784" w:type="dxa"/>
            <w:gridSpan w:val="4"/>
            <w:tcBorders>
              <w:top w:val="single" w:sz="8" w:space="0" w:color="auto"/>
              <w:bottom w:val="single" w:sz="4" w:space="0" w:color="auto"/>
            </w:tcBorders>
            <w:vAlign w:val="center"/>
          </w:tcPr>
          <w:p>
            <w:pPr>
              <w:pStyle w:val="PPTableBody"/>
              <w:keepNext/>
              <w:spacing w:before="10" w:after="10"/>
              <w:jc w:val="center"/>
            </w:pPr>
            <w:r>
              <w:t xml:space="preserve">ACS Income</w:t>
            </w:r>
          </w:p>
        </w:tc>
        <w:tc>
          <w:tcPr>
            <w:tcW w:w="1784" w:type="dxa"/>
            <w:gridSpan w:val="4"/>
            <w:tcBorders>
              <w:top w:val="single" w:sz="8" w:space="0" w:color="auto"/>
              <w:bottom w:val="single" w:sz="4" w:space="0" w:color="auto"/>
            </w:tcBorders>
            <w:vAlign w:val="center"/>
          </w:tcPr>
          <w:p>
            <w:pPr>
              <w:pStyle w:val="PPTableBody"/>
              <w:keepNext/>
              <w:spacing w:before="10" w:after="10"/>
              <w:jc w:val="center"/>
            </w:pPr>
            <w:r>
              <w:t xml:space="preserve">ACS Employment</w:t>
            </w:r>
          </w:p>
        </w:tc>
      </w:tr>
      <w:tr>
        <w:trPr>
          <w:cantSplit/>
          <w:tblHeader/>
        </w:trPr>
        <w:tc>
          <w:tcPr>
            <w:tcW w:w="1160" w:type="dxa"/>
            <w:tcBorders/>
            <w:vAlign w:val="center"/>
          </w:tcPr>
          <w:p>
            <w:pPr>
              <w:pStyle w:val="PPTableBody"/>
              <w:keepNext/>
              <w:spacing w:before="10" w:after="10"/>
              <w:jc w:val="left"/>
            </w:pPr>
          </w:p>
        </w:tc>
        <w:tc>
          <w:tcPr>
            <w:tcW w:w="892" w:type="dxa"/>
            <w:gridSpan w:val="2"/>
            <w:tcBorders>
              <w:bottom w:val="single" w:sz="4" w:space="0" w:color="auto"/>
            </w:tcBorders>
            <w:vAlign w:val="center"/>
          </w:tcPr>
          <w:p>
            <w:pPr>
              <w:pStyle w:val="PPTableBody"/>
              <w:keepNext/>
              <w:spacing w:before="10" w:after="10"/>
              <w:jc w:val="center"/>
            </w:pPr>
            <w:r>
              <w:t xml:space="preserve">LR</w:t>
            </w:r>
          </w:p>
        </w:tc>
        <w:tc>
          <w:tcPr>
            <w:tcW w:w="892" w:type="dxa"/>
            <w:gridSpan w:val="2"/>
            <w:tcBorders>
              <w:bottom w:val="single" w:sz="4" w:space="0" w:color="auto"/>
            </w:tcBorders>
            <w:vAlign w:val="center"/>
          </w:tcPr>
          <w:p>
            <w:pPr>
              <w:pStyle w:val="PPTableBody"/>
              <w:keepNext/>
              <w:spacing w:before="10" w:after="10"/>
              <w:jc w:val="center"/>
            </w:pPr>
            <w:r>
              <w:t xml:space="preserve">GB</w:t>
            </w:r>
          </w:p>
        </w:tc>
        <w:tc>
          <w:tcPr>
            <w:tcW w:w="892" w:type="dxa"/>
            <w:gridSpan w:val="2"/>
            <w:tcBorders>
              <w:bottom w:val="single" w:sz="4" w:space="0" w:color="auto"/>
            </w:tcBorders>
            <w:vAlign w:val="center"/>
          </w:tcPr>
          <w:p>
            <w:pPr>
              <w:pStyle w:val="PPTableBody"/>
              <w:keepNext/>
              <w:spacing w:before="10" w:after="10"/>
              <w:jc w:val="center"/>
            </w:pPr>
            <w:r>
              <w:t xml:space="preserve">LR</w:t>
            </w:r>
          </w:p>
        </w:tc>
        <w:tc>
          <w:tcPr>
            <w:tcW w:w="892" w:type="dxa"/>
            <w:gridSpan w:val="2"/>
            <w:tcBorders>
              <w:bottom w:val="single" w:sz="4" w:space="0" w:color="auto"/>
            </w:tcBorders>
            <w:vAlign w:val="center"/>
          </w:tcPr>
          <w:p>
            <w:pPr>
              <w:pStyle w:val="PPTableBody"/>
              <w:keepNext/>
              <w:spacing w:before="10" w:after="10"/>
              <w:jc w:val="center"/>
            </w:pPr>
            <w:r>
              <w:t xml:space="preserve">GB</w:t>
            </w:r>
          </w:p>
        </w:tc>
      </w:tr>
      <w:tr>
        <w:trPr>
          <w:cantSplit/>
          <w:tblHeader/>
        </w:trPr>
        <w:tc>
          <w:tcPr>
            <w:tcW w:w="1160" w:type="dxa"/>
            <w:tcBorders/>
            <w:vAlign w:val="center"/>
          </w:tcPr>
          <w:p>
            <w:pPr>
              <w:pStyle w:val="PPTableBody"/>
              <w:keepNext/>
              <w:spacing w:before="10" w:after="10"/>
              <w:jc w:val="left"/>
            </w:pPr>
            <w:r>
              <w:t xml:space="preserve">Mechanism</w:t>
            </w:r>
          </w:p>
        </w:tc>
        <w:tc>
          <w:tcPr>
            <w:tcW w:w="444" w:type="dxa"/>
            <w:tcBorders/>
            <w:vAlign w:val="center"/>
          </w:tcPr>
          <w:p>
            <w:pPr>
              <w:pStyle w:val="PPTableBody"/>
              <w:keepNext/>
              <w:spacing w:before="10" w:after="10"/>
              <w:jc w:val="right"/>
            </w:pPr>
            <w:r>
              <w:t xml:space="preserve">Corr.</w:t>
            </w:r>
          </w:p>
        </w:tc>
        <w:tc>
          <w:tcPr>
            <w:tcW w:w="448" w:type="dxa"/>
            <w:tcBorders/>
            <w:vAlign w:val="center"/>
          </w:tcPr>
          <w:p>
            <w:pPr>
              <w:pStyle w:val="PPTableBody"/>
              <w:keepNext/>
              <w:spacing w:before="10" w:after="10"/>
              <w:jc w:val="right"/>
            </w:pPr>
            <w:r>
              <w:t xml:space="preserve">Drop</w:t>
            </w:r>
          </w:p>
        </w:tc>
        <w:tc>
          <w:tcPr>
            <w:tcW w:w="444" w:type="dxa"/>
            <w:tcBorders/>
            <w:vAlign w:val="center"/>
          </w:tcPr>
          <w:p>
            <w:pPr>
              <w:pStyle w:val="PPTableBody"/>
              <w:keepNext/>
              <w:spacing w:before="10" w:after="10"/>
              <w:jc w:val="right"/>
            </w:pPr>
            <w:r>
              <w:t xml:space="preserve">Corr.</w:t>
            </w:r>
          </w:p>
        </w:tc>
        <w:tc>
          <w:tcPr>
            <w:tcW w:w="448" w:type="dxa"/>
            <w:tcBorders/>
            <w:vAlign w:val="center"/>
          </w:tcPr>
          <w:p>
            <w:pPr>
              <w:pStyle w:val="PPTableBody"/>
              <w:keepNext/>
              <w:spacing w:before="10" w:after="10"/>
              <w:jc w:val="right"/>
            </w:pPr>
            <w:r>
              <w:t xml:space="preserve">Drop</w:t>
            </w:r>
          </w:p>
        </w:tc>
        <w:tc>
          <w:tcPr>
            <w:tcW w:w="444" w:type="dxa"/>
            <w:tcBorders/>
            <w:vAlign w:val="center"/>
          </w:tcPr>
          <w:p>
            <w:pPr>
              <w:pStyle w:val="PPTableBody"/>
              <w:keepNext/>
              <w:spacing w:before="10" w:after="10"/>
              <w:jc w:val="right"/>
            </w:pPr>
            <w:r>
              <w:t xml:space="preserve">Corr.</w:t>
            </w:r>
          </w:p>
        </w:tc>
        <w:tc>
          <w:tcPr>
            <w:tcW w:w="448" w:type="dxa"/>
            <w:tcBorders/>
            <w:vAlign w:val="center"/>
          </w:tcPr>
          <w:p>
            <w:pPr>
              <w:pStyle w:val="PPTableBody"/>
              <w:keepNext/>
              <w:spacing w:before="10" w:after="10"/>
              <w:jc w:val="right"/>
            </w:pPr>
            <w:r>
              <w:t xml:space="preserve">Drop</w:t>
            </w:r>
          </w:p>
        </w:tc>
        <w:tc>
          <w:tcPr>
            <w:tcW w:w="444" w:type="dxa"/>
            <w:tcBorders/>
            <w:vAlign w:val="center"/>
          </w:tcPr>
          <w:p>
            <w:pPr>
              <w:pStyle w:val="PPTableBody"/>
              <w:keepNext/>
              <w:spacing w:before="10" w:after="10"/>
              <w:jc w:val="right"/>
            </w:pPr>
            <w:r>
              <w:t xml:space="preserve">Corr.</w:t>
            </w:r>
          </w:p>
        </w:tc>
        <w:tc>
          <w:tcPr>
            <w:tcW w:w="448" w:type="dxa"/>
            <w:tcBorders/>
            <w:vAlign w:val="center"/>
          </w:tcPr>
          <w:p>
            <w:pPr>
              <w:pStyle w:val="PPTableBody"/>
              <w:keepNext/>
              <w:spacing w:before="10" w:after="10"/>
              <w:jc w:val="right"/>
            </w:pPr>
            <w:r>
              <w:t xml:space="preserve">Drop</w:t>
            </w:r>
          </w:p>
        </w:tc>
      </w:tr>
      <w:tr>
        <w:trPr>
          <w:cantSplit/>
        </w:trPr>
        <w:tc>
          <w:tcPr>
            <w:tcW w:w="1160" w:type="dxa"/>
            <w:tcBorders>
              <w:top w:val="single" w:sz="4" w:space="0" w:color="auto"/>
            </w:tcBorders>
            <w:vAlign w:val="center"/>
          </w:tcPr>
          <w:p>
            <w:pPr>
              <w:pStyle w:val="PPTableBody"/>
              <w:keepNext/>
              <w:spacing w:before="10" w:after="10"/>
              <w:jc w:val="left"/>
            </w:pPr>
            <w:r>
              <w:t xml:space="preserve">Covariate: selection bias</w:t>
            </w:r>
          </w:p>
        </w:tc>
        <w:tc>
          <w:tcPr>
            <w:tcW w:w="444" w:type="dxa"/>
            <w:tcBorders>
              <w:top w:val="single" w:sz="4" w:space="0" w:color="auto"/>
            </w:tcBorders>
            <w:vAlign w:val="center"/>
          </w:tcPr>
          <w:p>
            <w:pPr>
              <w:pStyle w:val="PPTableBody"/>
              <w:keepNext/>
              <w:spacing w:before="10" w:after="10"/>
              <w:jc w:val="right"/>
            </w:pPr>
            <w:r>
              <w:t xml:space="preserve">99</w:t>
            </w:r>
          </w:p>
        </w:tc>
        <w:tc>
          <w:tcPr>
            <w:tcW w:w="448" w:type="dxa"/>
            <w:tcBorders>
              <w:top w:val="single" w:sz="4" w:space="0" w:color="auto"/>
            </w:tcBorders>
            <w:vAlign w:val="center"/>
          </w:tcPr>
          <w:p>
            <w:pPr>
              <w:pStyle w:val="PPTableBody"/>
              <w:keepNext/>
              <w:spacing w:before="10" w:after="10"/>
              <w:jc w:val="right"/>
            </w:pPr>
            <w:r>
              <w:t xml:space="preserve">0.2</w:t>
            </w:r>
          </w:p>
        </w:tc>
        <w:tc>
          <w:tcPr>
            <w:tcW w:w="444" w:type="dxa"/>
            <w:tcBorders>
              <w:top w:val="single" w:sz="4" w:space="0" w:color="auto"/>
            </w:tcBorders>
            <w:vAlign w:val="center"/>
          </w:tcPr>
          <w:p>
            <w:pPr>
              <w:pStyle w:val="PPTableBody"/>
              <w:keepNext/>
              <w:spacing w:before="10" w:after="10"/>
              <w:jc w:val="right"/>
            </w:pPr>
            <w:r>
              <w:t xml:space="preserve">99</w:t>
            </w:r>
          </w:p>
        </w:tc>
        <w:tc>
          <w:tcPr>
            <w:tcW w:w="448" w:type="dxa"/>
            <w:tcBorders>
              <w:top w:val="single" w:sz="4" w:space="0" w:color="auto"/>
            </w:tcBorders>
            <w:vAlign w:val="center"/>
          </w:tcPr>
          <w:p>
            <w:pPr>
              <w:pStyle w:val="PPTableBody"/>
              <w:keepNext/>
              <w:spacing w:before="10" w:after="10"/>
              <w:jc w:val="right"/>
            </w:pPr>
            <w:r>
              <w:t xml:space="preserve">0.3</w:t>
            </w:r>
          </w:p>
        </w:tc>
        <w:tc>
          <w:tcPr>
            <w:tcW w:w="444" w:type="dxa"/>
            <w:tcBorders>
              <w:top w:val="single" w:sz="4" w:space="0" w:color="auto"/>
            </w:tcBorders>
            <w:vAlign w:val="center"/>
          </w:tcPr>
          <w:p>
            <w:pPr>
              <w:pStyle w:val="PPTableBody"/>
              <w:keepNext/>
              <w:spacing w:before="10" w:after="10"/>
              <w:jc w:val="right"/>
            </w:pPr>
            <w:r>
              <w:t xml:space="preserve">100</w:t>
            </w:r>
          </w:p>
        </w:tc>
        <w:tc>
          <w:tcPr>
            <w:tcW w:w="448" w:type="dxa"/>
            <w:tcBorders>
              <w:top w:val="single" w:sz="4" w:space="0" w:color="auto"/>
            </w:tcBorders>
            <w:vAlign w:val="center"/>
          </w:tcPr>
          <w:p>
            <w:pPr>
              <w:pStyle w:val="PPTableBody"/>
              <w:keepNext/>
              <w:spacing w:before="10" w:after="10"/>
              <w:jc w:val="right"/>
            </w:pPr>
            <w:r>
              <w:t xml:space="preserve">−0.3</w:t>
            </w:r>
          </w:p>
        </w:tc>
        <w:tc>
          <w:tcPr>
            <w:tcW w:w="444" w:type="dxa"/>
            <w:tcBorders>
              <w:top w:val="single" w:sz="4" w:space="0" w:color="auto"/>
            </w:tcBorders>
            <w:vAlign w:val="center"/>
          </w:tcPr>
          <w:p>
            <w:pPr>
              <w:pStyle w:val="PPTableBody"/>
              <w:keepNext/>
              <w:spacing w:before="10" w:after="10"/>
              <w:jc w:val="right"/>
            </w:pPr>
            <w:r>
              <w:t xml:space="preserve">100</w:t>
            </w:r>
          </w:p>
        </w:tc>
        <w:tc>
          <w:tcPr>
            <w:tcW w:w="448" w:type="dxa"/>
            <w:tcBorders>
              <w:top w:val="single" w:sz="4" w:space="0" w:color="auto"/>
            </w:tcBorders>
            <w:vAlign w:val="center"/>
          </w:tcPr>
          <w:p>
            <w:pPr>
              <w:pStyle w:val="PPTableBody"/>
              <w:keepNext/>
              <w:spacing w:before="10" w:after="10"/>
              <w:jc w:val="right"/>
            </w:pPr>
            <w:r>
              <w:t xml:space="preserve">−0.3</w:t>
            </w:r>
          </w:p>
        </w:tc>
      </w:tr>
      <w:tr>
        <w:trPr>
          <w:cantSplit/>
        </w:trPr>
        <w:tc>
          <w:tcPr>
            <w:tcW w:w="1160" w:type="dxa"/>
            <w:tcBorders/>
            <w:vAlign w:val="center"/>
          </w:tcPr>
          <w:p>
            <w:pPr>
              <w:pStyle w:val="PPTableBody"/>
              <w:keepNext/>
              <w:spacing w:before="10" w:after="10"/>
              <w:jc w:val="left"/>
            </w:pPr>
            <w:r>
              <w:t xml:space="preserve">Prior: decrease</w:t>
            </w:r>
          </w:p>
        </w:tc>
        <w:tc>
          <w:tcPr>
            <w:tcW w:w="444" w:type="dxa"/>
            <w:tcBorders/>
            <w:vAlign w:val="center"/>
          </w:tcPr>
          <w:p>
            <w:pPr>
              <w:pStyle w:val="PPTableBody"/>
              <w:keepNext/>
              <w:spacing w:before="10" w:after="10"/>
              <w:jc w:val="right"/>
            </w:pPr>
            <w:r>
              <w:t xml:space="preserve">92</w:t>
            </w:r>
          </w:p>
        </w:tc>
        <w:tc>
          <w:tcPr>
            <w:tcW w:w="448" w:type="dxa"/>
            <w:tcBorders/>
            <w:vAlign w:val="center"/>
          </w:tcPr>
          <w:p>
            <w:pPr>
              <w:pStyle w:val="PPTableBody"/>
              <w:keepNext/>
              <w:spacing w:before="10" w:after="10"/>
              <w:jc w:val="right"/>
            </w:pPr>
            <w:r>
              <w:t xml:space="preserve">−2.8</w:t>
            </w:r>
          </w:p>
        </w:tc>
        <w:tc>
          <w:tcPr>
            <w:tcW w:w="444" w:type="dxa"/>
            <w:tcBorders/>
            <w:vAlign w:val="center"/>
          </w:tcPr>
          <w:p>
            <w:pPr>
              <w:pStyle w:val="PPTableBody"/>
              <w:keepNext/>
              <w:spacing w:before="10" w:after="10"/>
              <w:jc w:val="right"/>
            </w:pPr>
            <w:r>
              <w:t xml:space="preserve">93</w:t>
            </w:r>
          </w:p>
        </w:tc>
        <w:tc>
          <w:tcPr>
            <w:tcW w:w="448" w:type="dxa"/>
            <w:tcBorders/>
            <w:vAlign w:val="center"/>
          </w:tcPr>
          <w:p>
            <w:pPr>
              <w:pStyle w:val="PPTableBody"/>
              <w:keepNext/>
              <w:spacing w:before="10" w:after="10"/>
              <w:jc w:val="right"/>
            </w:pPr>
            <w:r>
              <w:t xml:space="preserve">−2.4</w:t>
            </w:r>
          </w:p>
        </w:tc>
        <w:tc>
          <w:tcPr>
            <w:tcW w:w="444" w:type="dxa"/>
            <w:tcBorders/>
            <w:vAlign w:val="center"/>
          </w:tcPr>
          <w:p>
            <w:pPr>
              <w:pStyle w:val="PPTableBody"/>
              <w:keepNext/>
              <w:spacing w:before="10" w:after="10"/>
              <w:jc w:val="right"/>
            </w:pPr>
            <w:r>
              <w:t xml:space="preserve">97</w:t>
            </w:r>
          </w:p>
        </w:tc>
        <w:tc>
          <w:tcPr>
            <w:tcW w:w="448" w:type="dxa"/>
            <w:tcBorders/>
            <w:vAlign w:val="center"/>
          </w:tcPr>
          <w:p>
            <w:pPr>
              <w:pStyle w:val="PPTableBody"/>
              <w:keepNext/>
              <w:spacing w:before="10" w:after="10"/>
              <w:jc w:val="right"/>
            </w:pPr>
            <w:r>
              <w:t xml:space="preserve">2.5</w:t>
            </w:r>
          </w:p>
        </w:tc>
        <w:tc>
          <w:tcPr>
            <w:tcW w:w="444" w:type="dxa"/>
            <w:tcBorders/>
            <w:vAlign w:val="center"/>
          </w:tcPr>
          <w:p>
            <w:pPr>
              <w:pStyle w:val="PPTableBody"/>
              <w:keepNext/>
              <w:spacing w:before="10" w:after="10"/>
              <w:jc w:val="right"/>
            </w:pPr>
            <w:r>
              <w:t xml:space="preserve">97</w:t>
            </w:r>
          </w:p>
        </w:tc>
        <w:tc>
          <w:tcPr>
            <w:tcW w:w="448" w:type="dxa"/>
            <w:tcBorders/>
            <w:vAlign w:val="center"/>
          </w:tcPr>
          <w:p>
            <w:pPr>
              <w:pStyle w:val="PPTableBody"/>
              <w:keepNext/>
              <w:spacing w:before="10" w:after="10"/>
              <w:jc w:val="right"/>
            </w:pPr>
            <w:r>
              <w:t xml:space="preserve">1.9</w:t>
            </w:r>
          </w:p>
        </w:tc>
      </w:tr>
      <w:tr>
        <w:trPr>
          <w:cantSplit/>
        </w:trPr>
        <w:tc>
          <w:tcPr>
            <w:tcW w:w="1160" w:type="dxa"/>
            <w:tcBorders/>
            <w:vAlign w:val="center"/>
          </w:tcPr>
          <w:p>
            <w:pPr>
              <w:pStyle w:val="PPTableBody"/>
              <w:keepNext/>
              <w:spacing w:before="10" w:after="10"/>
              <w:jc w:val="left"/>
            </w:pPr>
            <w:r>
              <w:t xml:space="preserve">Concept: oblique region</w:t>
            </w:r>
          </w:p>
        </w:tc>
        <w:tc>
          <w:tcPr>
            <w:tcW w:w="444" w:type="dxa"/>
            <w:tcBorders/>
            <w:vAlign w:val="center"/>
          </w:tcPr>
          <w:p>
            <w:pPr>
              <w:pStyle w:val="PPTableBody"/>
              <w:keepNext/>
              <w:spacing w:before="10" w:after="10"/>
              <w:jc w:val="right"/>
            </w:pPr>
            <w:r>
              <w:t xml:space="preserve">95</w:t>
            </w:r>
          </w:p>
        </w:tc>
        <w:tc>
          <w:tcPr>
            <w:tcW w:w="448" w:type="dxa"/>
            <w:tcBorders/>
            <w:vAlign w:val="center"/>
          </w:tcPr>
          <w:p>
            <w:pPr>
              <w:pStyle w:val="PPTableBody"/>
              <w:keepNext/>
              <w:spacing w:before="10" w:after="10"/>
              <w:jc w:val="right"/>
            </w:pPr>
            <w:r>
              <w:t xml:space="preserve">21.9</w:t>
            </w:r>
          </w:p>
        </w:tc>
        <w:tc>
          <w:tcPr>
            <w:tcW w:w="444" w:type="dxa"/>
            <w:tcBorders/>
            <w:vAlign w:val="center"/>
          </w:tcPr>
          <w:p>
            <w:pPr>
              <w:pStyle w:val="PPTableBody"/>
              <w:keepNext/>
              <w:spacing w:before="10" w:after="10"/>
              <w:jc w:val="right"/>
            </w:pPr>
            <w:r>
              <w:t xml:space="preserve">95</w:t>
            </w:r>
          </w:p>
        </w:tc>
        <w:tc>
          <w:tcPr>
            <w:tcW w:w="448" w:type="dxa"/>
            <w:tcBorders/>
            <w:vAlign w:val="center"/>
          </w:tcPr>
          <w:p>
            <w:pPr>
              <w:pStyle w:val="PPTableBody"/>
              <w:keepNext/>
              <w:spacing w:before="10" w:after="10"/>
              <w:jc w:val="right"/>
            </w:pPr>
            <w:r>
              <w:t xml:space="preserve">22.5</w:t>
            </w:r>
          </w:p>
        </w:tc>
        <w:tc>
          <w:tcPr>
            <w:tcW w:w="444" w:type="dxa"/>
            <w:tcBorders/>
            <w:vAlign w:val="center"/>
          </w:tcPr>
          <w:p>
            <w:pPr>
              <w:pStyle w:val="PPTableBody"/>
              <w:keepNext/>
              <w:spacing w:before="10" w:after="10"/>
              <w:jc w:val="right"/>
            </w:pPr>
            <w:r>
              <w:t xml:space="preserve">91</w:t>
            </w:r>
          </w:p>
        </w:tc>
        <w:tc>
          <w:tcPr>
            <w:tcW w:w="448" w:type="dxa"/>
            <w:tcBorders/>
            <w:vAlign w:val="center"/>
          </w:tcPr>
          <w:p>
            <w:pPr>
              <w:pStyle w:val="PPTableBody"/>
              <w:keepNext/>
              <w:spacing w:before="10" w:after="10"/>
              <w:jc w:val="right"/>
            </w:pPr>
            <w:r>
              <w:t xml:space="preserve">15.7</w:t>
            </w:r>
          </w:p>
        </w:tc>
        <w:tc>
          <w:tcPr>
            <w:tcW w:w="444" w:type="dxa"/>
            <w:tcBorders/>
            <w:vAlign w:val="center"/>
          </w:tcPr>
          <w:p>
            <w:pPr>
              <w:pStyle w:val="PPTableBody"/>
              <w:keepNext/>
              <w:spacing w:before="10" w:after="10"/>
              <w:jc w:val="right"/>
            </w:pPr>
            <w:r>
              <w:t xml:space="preserve">97</w:t>
            </w:r>
          </w:p>
        </w:tc>
        <w:tc>
          <w:tcPr>
            <w:tcW w:w="448" w:type="dxa"/>
            <w:tcBorders/>
            <w:vAlign w:val="center"/>
          </w:tcPr>
          <w:p>
            <w:pPr>
              <w:pStyle w:val="PPTableBody"/>
              <w:keepNext/>
              <w:spacing w:before="10" w:after="10"/>
              <w:jc w:val="right"/>
            </w:pPr>
            <w:r>
              <w:t xml:space="preserve">17.7</w:t>
            </w:r>
          </w:p>
        </w:tc>
      </w:tr>
      <w:tr>
        <w:trPr>
          <w:cantSplit/>
        </w:trPr>
        <w:tc>
          <w:tcPr>
            <w:tcW w:w="1160" w:type="dxa"/>
            <w:tcBorders/>
            <w:vAlign w:val="center"/>
          </w:tcPr>
          <w:p>
            <w:pPr>
              <w:pStyle w:val="PPTableBody"/>
              <w:keepNext/>
              <w:spacing w:before="10" w:after="10"/>
              <w:jc w:val="left"/>
            </w:pPr>
            <w:r>
              <w:t xml:space="preserve">Concept: income threshold</w:t>
            </w:r>
          </w:p>
        </w:tc>
        <w:tc>
          <w:tcPr>
            <w:tcW w:w="444" w:type="dxa"/>
            <w:tcBorders/>
            <w:vAlign w:val="center"/>
          </w:tcPr>
          <w:p>
            <w:pPr>
              <w:pStyle w:val="PPTableBody"/>
              <w:keepNext/>
              <w:spacing w:before="10" w:after="10"/>
              <w:jc w:val="right"/>
            </w:pPr>
            <w:r>
              <w:t xml:space="preserve">4</w:t>
            </w:r>
          </w:p>
        </w:tc>
        <w:tc>
          <w:tcPr>
            <w:tcW w:w="448" w:type="dxa"/>
            <w:tcBorders/>
            <w:vAlign w:val="center"/>
          </w:tcPr>
          <w:p>
            <w:pPr>
              <w:pStyle w:val="PPTableBody"/>
              <w:keepNext/>
              <w:spacing w:before="10" w:after="10"/>
              <w:jc w:val="right"/>
            </w:pPr>
            <w:r>
              <w:t xml:space="preserve">−0.3</w:t>
            </w:r>
          </w:p>
        </w:tc>
        <w:tc>
          <w:tcPr>
            <w:tcW w:w="444" w:type="dxa"/>
            <w:tcBorders/>
            <w:vAlign w:val="center"/>
          </w:tcPr>
          <w:p>
            <w:pPr>
              <w:pStyle w:val="PPTableBody"/>
              <w:keepNext/>
              <w:spacing w:before="10" w:after="10"/>
              <w:jc w:val="right"/>
            </w:pPr>
            <w:r>
              <w:t xml:space="preserve">6</w:t>
            </w:r>
          </w:p>
        </w:tc>
        <w:tc>
          <w:tcPr>
            <w:tcW w:w="448" w:type="dxa"/>
            <w:tcBorders/>
            <w:vAlign w:val="center"/>
          </w:tcPr>
          <w:p>
            <w:pPr>
              <w:pStyle w:val="PPTableBody"/>
              <w:keepNext/>
              <w:spacing w:before="10" w:after="10"/>
              <w:jc w:val="right"/>
            </w:pPr>
            <w:r>
              <w:t xml:space="preserve">0.2</w:t>
            </w:r>
          </w:p>
        </w:tc>
        <w:tc>
          <w:tcPr>
            <w:tcW w:w="444" w:type="dxa"/>
            <w:tcBorders/>
            <w:vAlign w:val="center"/>
          </w:tcPr>
          <w:p>
            <w:pPr>
              <w:pStyle w:val="PPTableBody"/>
              <w:keepNext/>
              <w:spacing w:before="10" w:after="10"/>
              <w:jc w:val="right"/>
            </w:pPr>
            <w:r>
              <w:t xml:space="preserve">–</w:t>
            </w:r>
          </w:p>
        </w:tc>
        <w:tc>
          <w:tcPr>
            <w:tcW w:w="448" w:type="dxa"/>
            <w:tcBorders/>
            <w:vAlign w:val="center"/>
          </w:tcPr>
          <w:p>
            <w:pPr>
              <w:pStyle w:val="PPTableBody"/>
              <w:keepNext/>
              <w:spacing w:before="10" w:after="10"/>
              <w:jc w:val="right"/>
            </w:pPr>
            <w:r>
              <w:t xml:space="preserve">–</w:t>
            </w:r>
          </w:p>
        </w:tc>
        <w:tc>
          <w:tcPr>
            <w:tcW w:w="444" w:type="dxa"/>
            <w:tcBorders/>
            <w:vAlign w:val="center"/>
          </w:tcPr>
          <w:p>
            <w:pPr>
              <w:pStyle w:val="PPTableBody"/>
              <w:keepNext/>
              <w:spacing w:before="10" w:after="10"/>
              <w:jc w:val="right"/>
            </w:pPr>
            <w:r>
              <w:t xml:space="preserve">–</w:t>
            </w:r>
          </w:p>
        </w:tc>
        <w:tc>
          <w:tcPr>
            <w:tcW w:w="448" w:type="dxa"/>
            <w:tcBorders/>
            <w:vAlign w:val="center"/>
          </w:tcPr>
          <w:p>
            <w:pPr>
              <w:pStyle w:val="PPTableBody"/>
              <w:keepNext/>
              <w:spacing w:before="10" w:after="10"/>
              <w:jc w:val="right"/>
            </w:pPr>
            <w:r>
              <w:t xml:space="preserve">–</w:t>
            </w:r>
          </w:p>
        </w:tc>
      </w:tr>
      <w:tr>
        <w:trPr>
          <w:cantSplit/>
        </w:trPr>
        <w:tc>
          <w:tcPr>
            <w:tcW w:w="1160" w:type="dxa"/>
            <w:tcBorders>
              <w:bottom w:val="single" w:sz="8" w:space="0" w:color="auto"/>
            </w:tcBorders>
            <w:vAlign w:val="center"/>
          </w:tcPr>
          <w:p>
            <w:pPr>
              <w:pStyle w:val="PPTableBody"/>
              <w:spacing w:before="10" w:after="10"/>
              <w:jc w:val="left"/>
            </w:pPr>
            <w:r>
              <w:t xml:space="preserve">Noise: class-conditional</w:t>
            </w:r>
          </w:p>
        </w:tc>
        <w:tc>
          <w:tcPr>
            <w:tcW w:w="444" w:type="dxa"/>
            <w:tcBorders>
              <w:bottom w:val="single" w:sz="8" w:space="0" w:color="auto"/>
            </w:tcBorders>
            <w:vAlign w:val="center"/>
          </w:tcPr>
          <w:p>
            <w:pPr>
              <w:pStyle w:val="PPTableBody"/>
              <w:spacing w:before="10" w:after="10"/>
              <w:jc w:val="right"/>
            </w:pPr>
            <w:r>
              <w:t xml:space="preserve">21</w:t>
            </w:r>
          </w:p>
        </w:tc>
        <w:tc>
          <w:tcPr>
            <w:tcW w:w="448" w:type="dxa"/>
            <w:tcBorders>
              <w:bottom w:val="single" w:sz="8" w:space="0" w:color="auto"/>
            </w:tcBorders>
            <w:vAlign w:val="center"/>
          </w:tcPr>
          <w:p>
            <w:pPr>
              <w:pStyle w:val="PPTableBody"/>
              <w:spacing w:before="10" w:after="10"/>
              <w:jc w:val="right"/>
            </w:pPr>
            <w:r>
              <w:t xml:space="preserve">2.8</w:t>
            </w:r>
          </w:p>
        </w:tc>
        <w:tc>
          <w:tcPr>
            <w:tcW w:w="444" w:type="dxa"/>
            <w:tcBorders>
              <w:bottom w:val="single" w:sz="8" w:space="0" w:color="auto"/>
            </w:tcBorders>
            <w:vAlign w:val="center"/>
          </w:tcPr>
          <w:p>
            <w:pPr>
              <w:pStyle w:val="PPTableBody"/>
              <w:spacing w:before="10" w:after="10"/>
              <w:jc w:val="right"/>
            </w:pPr>
            <w:r>
              <w:t xml:space="preserve">23</w:t>
            </w:r>
          </w:p>
        </w:tc>
        <w:tc>
          <w:tcPr>
            <w:tcW w:w="448" w:type="dxa"/>
            <w:tcBorders>
              <w:bottom w:val="single" w:sz="8" w:space="0" w:color="auto"/>
            </w:tcBorders>
            <w:vAlign w:val="center"/>
          </w:tcPr>
          <w:p>
            <w:pPr>
              <w:pStyle w:val="PPTableBody"/>
              <w:spacing w:before="10" w:after="10"/>
              <w:jc w:val="right"/>
            </w:pPr>
            <w:r>
              <w:t xml:space="preserve">3.1</w:t>
            </w:r>
          </w:p>
        </w:tc>
        <w:tc>
          <w:tcPr>
            <w:tcW w:w="444" w:type="dxa"/>
            <w:tcBorders>
              <w:bottom w:val="single" w:sz="8" w:space="0" w:color="auto"/>
            </w:tcBorders>
            <w:vAlign w:val="center"/>
          </w:tcPr>
          <w:p>
            <w:pPr>
              <w:pStyle w:val="PPTableBody"/>
              <w:spacing w:before="10" w:after="10"/>
              <w:jc w:val="right"/>
            </w:pPr>
            <w:r>
              <w:t xml:space="preserve">35</w:t>
            </w:r>
          </w:p>
        </w:tc>
        <w:tc>
          <w:tcPr>
            <w:tcW w:w="448" w:type="dxa"/>
            <w:tcBorders>
              <w:bottom w:val="single" w:sz="8" w:space="0" w:color="auto"/>
            </w:tcBorders>
            <w:vAlign w:val="center"/>
          </w:tcPr>
          <w:p>
            <w:pPr>
              <w:pStyle w:val="PPTableBody"/>
              <w:spacing w:before="10" w:after="10"/>
              <w:jc w:val="right"/>
            </w:pPr>
            <w:r>
              <w:t xml:space="preserve">7.7</w:t>
            </w:r>
          </w:p>
        </w:tc>
        <w:tc>
          <w:tcPr>
            <w:tcW w:w="444" w:type="dxa"/>
            <w:tcBorders>
              <w:bottom w:val="single" w:sz="8" w:space="0" w:color="auto"/>
            </w:tcBorders>
            <w:vAlign w:val="center"/>
          </w:tcPr>
          <w:p>
            <w:pPr>
              <w:pStyle w:val="PPTableBody"/>
              <w:spacing w:before="10" w:after="10"/>
              <w:jc w:val="right"/>
            </w:pPr>
            <w:r>
              <w:t xml:space="preserve">33</w:t>
            </w:r>
          </w:p>
        </w:tc>
        <w:tc>
          <w:tcPr>
            <w:tcW w:w="448" w:type="dxa"/>
            <w:tcBorders>
              <w:bottom w:val="single" w:sz="8" w:space="0" w:color="auto"/>
            </w:tcBorders>
            <w:vAlign w:val="center"/>
          </w:tcPr>
          <w:p>
            <w:pPr>
              <w:pStyle w:val="PPTableBody"/>
              <w:spacing w:before="10" w:after="10"/>
              <w:jc w:val="right"/>
            </w:pPr>
            <w:r>
              <w:t xml:space="preserve">8.0</w:t>
            </w:r>
          </w:p>
        </w:tc>
      </w:tr>
    </w:tbl>
    <w:p>
      <w:pPr>
        <w:spacing w:after="0" w:line="160" w:lineRule="exact"/>
      </w:pPr>
    </w:p>
    <w:p>
      <w:pPr>
        <w:pStyle w:val="PPBodyMainText"/>
      </w:pPr>
      <w:r>
        <w:t xml:space="preserve">Corr. is the share of windows typed correctly (%) and Drop is the mean true accuracy drop in points, where a negative value means that accuracy rose. The income threshold mechanism exists only for ACS Income.</w:t>
      </w:r>
    </w:p>
    <w:p>
      <w:pPr>
        <w:pStyle w:val="PPBodyMainText"/>
      </w:pPr>
      <w:r>
        <w:t xml:space="preserve">Three of the mechanisms transfer well. Selection bias is identified as covariate shift in 99% of ACS Income windows with LR, even though no value is distorted and the shift spreads over all features. A lower positive rate is identified as prior shift in 92%. Concept drift in an oblique region is found in 95%, although no single feature defines that region.</w:t>
      </w:r>
    </w:p>
    <w:p>
      <w:pPr>
        <w:pStyle w:val="PPBodyMainText"/>
      </w:pPr>
      <w:r>
        <w:t xml:space="preserve">Two mechanisms do not transfer. Raising the income threshold relabels some rows in every window but barely changes accuracy (mean drop −0.3 points). Because the audit first asks whether accuracy fell, it reports no drift in 132 of the 150 windows. The procedure is designed to find drift that harms the model, which this drift does not. Class-conditional label noise is identified correctly in only 21% of ACS Income windows. At low rates the accuracy drop is too small to detect with 600 labels. At high rates the errors follow the true class, which correlates with the features, so the error structure test reads the pattern as concept drift. This is a genuine limitation of a null model that conditions on confidence alone. Both failures lie in the audit rather than in the label-free stage.</w:t>
      </w:r>
    </w:p>
    <w:p>
      <w:pPr>
        <w:pStyle w:val="PPBodyMainText"/>
      </w:pPr>
      <w:r>
        <w:t xml:space="preserve">The same patterns hold for ACS Employment and for GB. On design A our procedure reaches 85.7% on ACS Employment with LR and, with GB, 94.2% on ACS Income and 90.5% on ACS Employment. Label noise is the hardest type on ACS Employment, identified in 50.0% of windows. The methods rank the same for both model families. The tests read only the model’s outputs and its errors, so they need no modification for a nonlinear model.</w:t>
      </w:r>
    </w:p>
    <w:p>
      <w:pPr>
        <w:pStyle w:val="PPHeading"/>
        <w:keepNext/>
      </w:pPr>
      <w:r>
        <w:t xml:space="preserve">5.3 Detection and accuracy estimation</w:t>
      </w:r>
    </w:p>
    <w:p>
      <w:pPr>
        <w:pStyle w:val="PPBodyMainText"/>
        <w:ind w:firstLine="0"/>
      </w:pPr>
      <w:r>
        <w:t xml:space="preserve">The diagnosis builds on the detectors and the accuracy estimate, so both are also checked on the benchmark. Table </w:t>
      </w:r>
      <w:r>
        <w:t xml:space="preserve">5</w:t>
      </w:r>
      <w:r>
        <w:t xml:space="preserve"> gives the alarm rate of each detector by injected type, pooled over the four design A configurations.</w:t>
      </w:r>
    </w:p>
    <w:p>
      <w:pPr>
        <w:pStyle w:val="PPFigureTableCaption"/>
        <w:keepNext/>
        <w:keepLines/>
        <w:spacing w:before="160" w:after="60"/>
      </w:pPr>
      <w:r>
        <w:rPr>
          <w:b/>
        </w:rPr>
        <w:t xml:space="preserve">Table 5</w:t>
      </w:r>
      <w:r>
        <w:t xml:space="preserve"> </w:t>
      </w:r>
      <w:r>
        <w:t xml:space="preserve">Detector alarm rates on design A by injected type</w:t>
      </w:r>
    </w:p>
    <w:tbl>
      <w:tblPr>
        <w:tblW w:w="0" w:type="auto"/>
        <w:jc w:val="center"/>
        <w:tblLayout w:type="fixed"/>
        <w:tblCellMar>
          <w:left w:w="45" w:type="dxa"/>
          <w:right w:w="45" w:type="dxa"/>
        </w:tblCellMar>
        <w:tblLook w:val="04A0" w:firstRow="1" w:lastRow="0" w:firstColumn="1" w:lastColumn="0" w:noHBand="0" w:noVBand="1"/>
      </w:tblPr>
      <w:tblGrid>
        <w:gridCol w:w="1182"/>
        <w:gridCol w:w="1182"/>
        <w:gridCol w:w="742"/>
        <w:gridCol w:w="480"/>
        <w:gridCol w:w="653"/>
        <w:gridCol w:w="493"/>
      </w:tblGrid>
      <w:tr>
        <w:trPr>
          <w:cantSplit/>
          <w:tblHeader/>
        </w:trPr>
        <w:tc>
          <w:tcPr>
            <w:tcW w:w="1182" w:type="dxa"/>
            <w:tcBorders>
              <w:top w:val="single" w:sz="8" w:space="0" w:color="auto"/>
            </w:tcBorders>
            <w:vAlign w:val="center"/>
          </w:tcPr>
          <w:p>
            <w:pPr>
              <w:pStyle w:val="PPTableBody"/>
              <w:keepNext/>
              <w:spacing w:before="10" w:after="10"/>
              <w:jc w:val="left"/>
            </w:pPr>
          </w:p>
        </w:tc>
        <w:tc>
          <w:tcPr>
            <w:tcW w:w="3550" w:type="dxa"/>
            <w:gridSpan w:val="5"/>
            <w:tcBorders>
              <w:top w:val="single" w:sz="8" w:space="0" w:color="auto"/>
              <w:bottom w:val="single" w:sz="4" w:space="0" w:color="auto"/>
            </w:tcBorders>
            <w:vAlign w:val="center"/>
          </w:tcPr>
          <w:p>
            <w:pPr>
              <w:pStyle w:val="PPTableBody"/>
              <w:keepNext/>
              <w:spacing w:before="10" w:after="10"/>
              <w:jc w:val="center"/>
            </w:pPr>
            <w:r>
              <w:t xml:space="preserve">Alarm rate (%) by injected type</w:t>
            </w:r>
          </w:p>
        </w:tc>
      </w:tr>
      <w:tr>
        <w:trPr>
          <w:cantSplit/>
          <w:tblHeader/>
        </w:trPr>
        <w:tc>
          <w:tcPr>
            <w:tcW w:w="1182" w:type="dxa"/>
            <w:tcBorders/>
            <w:vAlign w:val="center"/>
          </w:tcPr>
          <w:p>
            <w:pPr>
              <w:pStyle w:val="PPTableBody"/>
              <w:keepNext/>
              <w:spacing w:before="10" w:after="10"/>
              <w:jc w:val="left"/>
            </w:pPr>
            <w:r>
              <w:t xml:space="preserve">Detector</w:t>
            </w:r>
          </w:p>
        </w:tc>
        <w:tc>
          <w:tcPr>
            <w:tcW w:w="1182" w:type="dxa"/>
            <w:tcBorders/>
            <w:vAlign w:val="center"/>
          </w:tcPr>
          <w:p>
            <w:pPr>
              <w:pStyle w:val="PPTableBody"/>
              <w:keepNext/>
              <w:spacing w:before="10" w:after="10"/>
              <w:jc w:val="right"/>
            </w:pPr>
            <w:r>
              <w:t xml:space="preserve">No drift [95% CI]</w:t>
            </w:r>
          </w:p>
        </w:tc>
        <w:tc>
          <w:tcPr>
            <w:tcW w:w="742" w:type="dxa"/>
            <w:tcBorders/>
            <w:vAlign w:val="center"/>
          </w:tcPr>
          <w:p>
            <w:pPr>
              <w:pStyle w:val="PPTableBody"/>
              <w:keepNext/>
              <w:spacing w:before="10" w:after="10"/>
              <w:jc w:val="right"/>
            </w:pPr>
            <w:r>
              <w:t xml:space="preserve">Covariate</w:t>
            </w:r>
          </w:p>
        </w:tc>
        <w:tc>
          <w:tcPr>
            <w:tcW w:w="480" w:type="dxa"/>
            <w:tcBorders/>
            <w:vAlign w:val="center"/>
          </w:tcPr>
          <w:p>
            <w:pPr>
              <w:pStyle w:val="PPTableBody"/>
              <w:keepNext/>
              <w:spacing w:before="10" w:after="10"/>
              <w:jc w:val="right"/>
            </w:pPr>
            <w:r>
              <w:t xml:space="preserve">Prior</w:t>
            </w:r>
          </w:p>
        </w:tc>
        <w:tc>
          <w:tcPr>
            <w:tcW w:w="653" w:type="dxa"/>
            <w:tcBorders/>
            <w:vAlign w:val="center"/>
          </w:tcPr>
          <w:p>
            <w:pPr>
              <w:pStyle w:val="PPTableBody"/>
              <w:keepNext/>
              <w:spacing w:before="10" w:after="10"/>
              <w:jc w:val="right"/>
            </w:pPr>
            <w:r>
              <w:t xml:space="preserve">Concept</w:t>
            </w:r>
          </w:p>
        </w:tc>
        <w:tc>
          <w:tcPr>
            <w:tcW w:w="493" w:type="dxa"/>
            <w:tcBorders/>
            <w:vAlign w:val="center"/>
          </w:tcPr>
          <w:p>
            <w:pPr>
              <w:pStyle w:val="PPTableBody"/>
              <w:keepNext/>
              <w:spacing w:before="10" w:after="10"/>
              <w:jc w:val="right"/>
            </w:pPr>
            <w:r>
              <w:t xml:space="preserve">Noise</w:t>
            </w:r>
          </w:p>
        </w:tc>
      </w:tr>
      <w:tr>
        <w:trPr>
          <w:cantSplit/>
        </w:trPr>
        <w:tc>
          <w:tcPr>
            <w:tcW w:w="1182" w:type="dxa"/>
            <w:tcBorders>
              <w:top w:val="single" w:sz="4" w:space="0" w:color="auto"/>
            </w:tcBorders>
            <w:vAlign w:val="center"/>
          </w:tcPr>
          <w:p>
            <w:pPr>
              <w:pStyle w:val="PPTableBody"/>
              <w:keepNext/>
              <w:spacing w:before="10" w:after="10"/>
              <w:jc w:val="left"/>
            </w:pPr>
            <w:r>
              <w:t xml:space="preserve">KS</w:t>
            </w:r>
          </w:p>
        </w:tc>
        <w:tc>
          <w:tcPr>
            <w:tcW w:w="1182" w:type="dxa"/>
            <w:tcBorders>
              <w:top w:val="single" w:sz="4" w:space="0" w:color="auto"/>
            </w:tcBorders>
            <w:vAlign w:val="center"/>
          </w:tcPr>
          <w:p>
            <w:pPr>
              <w:pStyle w:val="PPTableBody"/>
              <w:keepNext/>
              <w:spacing w:before="10" w:after="10"/>
              <w:jc w:val="right"/>
            </w:pPr>
            <w:r>
              <w:t xml:space="preserve">1.0 [0.3, 3.6]</w:t>
            </w:r>
          </w:p>
        </w:tc>
        <w:tc>
          <w:tcPr>
            <w:tcW w:w="742" w:type="dxa"/>
            <w:tcBorders>
              <w:top w:val="single" w:sz="4" w:space="0" w:color="auto"/>
            </w:tcBorders>
            <w:vAlign w:val="center"/>
          </w:tcPr>
          <w:p>
            <w:pPr>
              <w:pStyle w:val="PPTableBody"/>
              <w:keepNext/>
              <w:spacing w:before="10" w:after="10"/>
              <w:jc w:val="right"/>
            </w:pPr>
            <w:r>
              <w:t xml:space="preserve">100.0</w:t>
            </w:r>
          </w:p>
        </w:tc>
        <w:tc>
          <w:tcPr>
            <w:tcW w:w="480" w:type="dxa"/>
            <w:tcBorders>
              <w:top w:val="single" w:sz="4" w:space="0" w:color="auto"/>
            </w:tcBorders>
            <w:vAlign w:val="center"/>
          </w:tcPr>
          <w:p>
            <w:pPr>
              <w:pStyle w:val="PPTableBody"/>
              <w:keepNext/>
              <w:spacing w:before="10" w:after="10"/>
              <w:jc w:val="right"/>
            </w:pPr>
            <w:r>
              <w:t xml:space="preserve">100.0</w:t>
            </w:r>
          </w:p>
        </w:tc>
        <w:tc>
          <w:tcPr>
            <w:tcW w:w="653" w:type="dxa"/>
            <w:tcBorders>
              <w:top w:val="single" w:sz="4" w:space="0" w:color="auto"/>
            </w:tcBorders>
            <w:vAlign w:val="center"/>
          </w:tcPr>
          <w:p>
            <w:pPr>
              <w:pStyle w:val="PPTableBody"/>
              <w:keepNext/>
              <w:spacing w:before="10" w:after="10"/>
              <w:jc w:val="right"/>
            </w:pPr>
            <w:r>
              <w:t xml:space="preserve">1.0</w:t>
            </w:r>
          </w:p>
        </w:tc>
        <w:tc>
          <w:tcPr>
            <w:tcW w:w="493" w:type="dxa"/>
            <w:tcBorders>
              <w:top w:val="single" w:sz="4" w:space="0" w:color="auto"/>
            </w:tcBorders>
            <w:vAlign w:val="center"/>
          </w:tcPr>
          <w:p>
            <w:pPr>
              <w:pStyle w:val="PPTableBody"/>
              <w:keepNext/>
              <w:spacing w:before="10" w:after="10"/>
              <w:jc w:val="right"/>
            </w:pPr>
            <w:r>
              <w:t xml:space="preserve">1.0</w:t>
            </w:r>
          </w:p>
        </w:tc>
      </w:tr>
      <w:tr>
        <w:trPr>
          <w:cantSplit/>
        </w:trPr>
        <w:tc>
          <w:tcPr>
            <w:tcW w:w="1182" w:type="dxa"/>
            <w:tcBorders/>
            <w:vAlign w:val="center"/>
          </w:tcPr>
          <w:p>
            <w:pPr>
              <w:pStyle w:val="PPTableBody"/>
              <w:keepNext/>
              <w:spacing w:before="10" w:after="10"/>
              <w:jc w:val="left"/>
            </w:pPr>
            <w:r>
              <w:t xml:space="preserve">PSI</w:t>
            </w:r>
          </w:p>
        </w:tc>
        <w:tc>
          <w:tcPr>
            <w:tcW w:w="1182" w:type="dxa"/>
            <w:tcBorders/>
            <w:vAlign w:val="center"/>
          </w:tcPr>
          <w:p>
            <w:pPr>
              <w:pStyle w:val="PPTableBody"/>
              <w:keepNext/>
              <w:spacing w:before="10" w:after="10"/>
              <w:jc w:val="right"/>
            </w:pPr>
            <w:r>
              <w:t xml:space="preserve">0.0 [0.0, 1.9]</w:t>
            </w:r>
          </w:p>
        </w:tc>
        <w:tc>
          <w:tcPr>
            <w:tcW w:w="742" w:type="dxa"/>
            <w:tcBorders/>
            <w:vAlign w:val="center"/>
          </w:tcPr>
          <w:p>
            <w:pPr>
              <w:pStyle w:val="PPTableBody"/>
              <w:keepNext/>
              <w:spacing w:before="10" w:after="10"/>
              <w:jc w:val="right"/>
            </w:pPr>
            <w:r>
              <w:t xml:space="preserve">99.7</w:t>
            </w:r>
          </w:p>
        </w:tc>
        <w:tc>
          <w:tcPr>
            <w:tcW w:w="480" w:type="dxa"/>
            <w:tcBorders/>
            <w:vAlign w:val="center"/>
          </w:tcPr>
          <w:p>
            <w:pPr>
              <w:pStyle w:val="PPTableBody"/>
              <w:keepNext/>
              <w:spacing w:before="10" w:after="10"/>
              <w:jc w:val="right"/>
            </w:pPr>
            <w:r>
              <w:t xml:space="preserve">0.3</w:t>
            </w:r>
          </w:p>
        </w:tc>
        <w:tc>
          <w:tcPr>
            <w:tcW w:w="653" w:type="dxa"/>
            <w:tcBorders/>
            <w:vAlign w:val="center"/>
          </w:tcPr>
          <w:p>
            <w:pPr>
              <w:pStyle w:val="PPTableBody"/>
              <w:keepNext/>
              <w:spacing w:before="10" w:after="10"/>
              <w:jc w:val="right"/>
            </w:pPr>
            <w:r>
              <w:t xml:space="preserve">0.0</w:t>
            </w:r>
          </w:p>
        </w:tc>
        <w:tc>
          <w:tcPr>
            <w:tcW w:w="493" w:type="dxa"/>
            <w:tcBorders/>
            <w:vAlign w:val="center"/>
          </w:tcPr>
          <w:p>
            <w:pPr>
              <w:pStyle w:val="PPTableBody"/>
              <w:keepNext/>
              <w:spacing w:before="10" w:after="10"/>
              <w:jc w:val="right"/>
            </w:pPr>
            <w:r>
              <w:t xml:space="preserve">0.0</w:t>
            </w:r>
          </w:p>
        </w:tc>
      </w:tr>
      <w:tr>
        <w:trPr>
          <w:cantSplit/>
        </w:trPr>
        <w:tc>
          <w:tcPr>
            <w:tcW w:w="1182" w:type="dxa"/>
            <w:tcBorders/>
            <w:vAlign w:val="center"/>
          </w:tcPr>
          <w:p>
            <w:pPr>
              <w:pStyle w:val="PPTableBody"/>
              <w:keepNext/>
              <w:spacing w:before="10" w:after="10"/>
              <w:jc w:val="left"/>
            </w:pPr>
            <w:r>
              <w:t xml:space="preserve">MMD</w:t>
            </w:r>
          </w:p>
        </w:tc>
        <w:tc>
          <w:tcPr>
            <w:tcW w:w="1182" w:type="dxa"/>
            <w:tcBorders/>
            <w:vAlign w:val="center"/>
          </w:tcPr>
          <w:p>
            <w:pPr>
              <w:pStyle w:val="PPTableBody"/>
              <w:keepNext/>
              <w:spacing w:before="10" w:after="10"/>
              <w:jc w:val="right"/>
            </w:pPr>
            <w:r>
              <w:t xml:space="preserve">7.0 [4.2, 11.4]</w:t>
            </w:r>
          </w:p>
        </w:tc>
        <w:tc>
          <w:tcPr>
            <w:tcW w:w="742" w:type="dxa"/>
            <w:tcBorders/>
            <w:vAlign w:val="center"/>
          </w:tcPr>
          <w:p>
            <w:pPr>
              <w:pStyle w:val="PPTableBody"/>
              <w:keepNext/>
              <w:spacing w:before="10" w:after="10"/>
              <w:jc w:val="right"/>
            </w:pPr>
            <w:r>
              <w:t xml:space="preserve">100.0</w:t>
            </w:r>
          </w:p>
        </w:tc>
        <w:tc>
          <w:tcPr>
            <w:tcW w:w="480" w:type="dxa"/>
            <w:tcBorders/>
            <w:vAlign w:val="center"/>
          </w:tcPr>
          <w:p>
            <w:pPr>
              <w:pStyle w:val="PPTableBody"/>
              <w:keepNext/>
              <w:spacing w:before="10" w:after="10"/>
              <w:jc w:val="right"/>
            </w:pPr>
            <w:r>
              <w:t xml:space="preserve">100.0</w:t>
            </w:r>
          </w:p>
        </w:tc>
        <w:tc>
          <w:tcPr>
            <w:tcW w:w="653" w:type="dxa"/>
            <w:tcBorders/>
            <w:vAlign w:val="center"/>
          </w:tcPr>
          <w:p>
            <w:pPr>
              <w:pStyle w:val="PPTableBody"/>
              <w:keepNext/>
              <w:spacing w:before="10" w:after="10"/>
              <w:jc w:val="right"/>
            </w:pPr>
            <w:r>
              <w:t xml:space="preserve">7.0</w:t>
            </w:r>
          </w:p>
        </w:tc>
        <w:tc>
          <w:tcPr>
            <w:tcW w:w="493" w:type="dxa"/>
            <w:tcBorders/>
            <w:vAlign w:val="center"/>
          </w:tcPr>
          <w:p>
            <w:pPr>
              <w:pStyle w:val="PPTableBody"/>
              <w:keepNext/>
              <w:spacing w:before="10" w:after="10"/>
              <w:jc w:val="right"/>
            </w:pPr>
            <w:r>
              <w:t xml:space="preserve">7.0</w:t>
            </w:r>
          </w:p>
        </w:tc>
      </w:tr>
      <w:tr>
        <w:trPr>
          <w:cantSplit/>
        </w:trPr>
        <w:tc>
          <w:tcPr>
            <w:tcW w:w="1182" w:type="dxa"/>
            <w:tcBorders/>
            <w:vAlign w:val="center"/>
          </w:tcPr>
          <w:p>
            <w:pPr>
              <w:pStyle w:val="PPTableBody"/>
              <w:keepNext/>
              <w:spacing w:before="10" w:after="10"/>
              <w:jc w:val="left"/>
            </w:pPr>
            <w:r>
              <w:t xml:space="preserve">Confidence</w:t>
            </w:r>
          </w:p>
        </w:tc>
        <w:tc>
          <w:tcPr>
            <w:tcW w:w="1182" w:type="dxa"/>
            <w:tcBorders/>
            <w:vAlign w:val="center"/>
          </w:tcPr>
          <w:p>
            <w:pPr>
              <w:pStyle w:val="PPTableBody"/>
              <w:keepNext/>
              <w:spacing w:before="10" w:after="10"/>
              <w:jc w:val="right"/>
            </w:pPr>
            <w:r>
              <w:t xml:space="preserve">5.0 [2.7, 9.0]</w:t>
            </w:r>
          </w:p>
        </w:tc>
        <w:tc>
          <w:tcPr>
            <w:tcW w:w="742" w:type="dxa"/>
            <w:tcBorders/>
            <w:vAlign w:val="center"/>
          </w:tcPr>
          <w:p>
            <w:pPr>
              <w:pStyle w:val="PPTableBody"/>
              <w:keepNext/>
              <w:spacing w:before="10" w:after="10"/>
              <w:jc w:val="right"/>
            </w:pPr>
            <w:r>
              <w:t xml:space="preserve">93.8</w:t>
            </w:r>
          </w:p>
        </w:tc>
        <w:tc>
          <w:tcPr>
            <w:tcW w:w="480" w:type="dxa"/>
            <w:tcBorders/>
            <w:vAlign w:val="center"/>
          </w:tcPr>
          <w:p>
            <w:pPr>
              <w:pStyle w:val="PPTableBody"/>
              <w:keepNext/>
              <w:spacing w:before="10" w:after="10"/>
              <w:jc w:val="right"/>
            </w:pPr>
            <w:r>
              <w:t xml:space="preserve">86.7</w:t>
            </w:r>
          </w:p>
        </w:tc>
        <w:tc>
          <w:tcPr>
            <w:tcW w:w="653" w:type="dxa"/>
            <w:tcBorders/>
            <w:vAlign w:val="center"/>
          </w:tcPr>
          <w:p>
            <w:pPr>
              <w:pStyle w:val="PPTableBody"/>
              <w:keepNext/>
              <w:spacing w:before="10" w:after="10"/>
              <w:jc w:val="right"/>
            </w:pPr>
            <w:r>
              <w:t xml:space="preserve">5.0</w:t>
            </w:r>
          </w:p>
        </w:tc>
        <w:tc>
          <w:tcPr>
            <w:tcW w:w="493" w:type="dxa"/>
            <w:tcBorders/>
            <w:vAlign w:val="center"/>
          </w:tcPr>
          <w:p>
            <w:pPr>
              <w:pStyle w:val="PPTableBody"/>
              <w:keepNext/>
              <w:spacing w:before="10" w:after="10"/>
              <w:jc w:val="right"/>
            </w:pPr>
            <w:r>
              <w:t xml:space="preserve">5.0</w:t>
            </w:r>
          </w:p>
        </w:tc>
      </w:tr>
      <w:tr>
        <w:trPr>
          <w:cantSplit/>
        </w:trPr>
        <w:tc>
          <w:tcPr>
            <w:tcW w:w="1182" w:type="dxa"/>
            <w:tcBorders/>
            <w:vAlign w:val="center"/>
          </w:tcPr>
          <w:p>
            <w:pPr>
              <w:pStyle w:val="PPTableBody"/>
              <w:keepNext/>
              <w:spacing w:before="10" w:after="10"/>
              <w:jc w:val="left"/>
            </w:pPr>
            <w:r>
              <w:t xml:space="preserve">BBSD</w:t>
            </w:r>
          </w:p>
        </w:tc>
        <w:tc>
          <w:tcPr>
            <w:tcW w:w="1182" w:type="dxa"/>
            <w:tcBorders/>
            <w:vAlign w:val="center"/>
          </w:tcPr>
          <w:p>
            <w:pPr>
              <w:pStyle w:val="PPTableBody"/>
              <w:keepNext/>
              <w:spacing w:before="10" w:after="10"/>
              <w:jc w:val="right"/>
            </w:pPr>
            <w:r>
              <w:t xml:space="preserve">2.5 [1.1, 5.7]</w:t>
            </w:r>
          </w:p>
        </w:tc>
        <w:tc>
          <w:tcPr>
            <w:tcW w:w="742" w:type="dxa"/>
            <w:tcBorders/>
            <w:vAlign w:val="center"/>
          </w:tcPr>
          <w:p>
            <w:pPr>
              <w:pStyle w:val="PPTableBody"/>
              <w:keepNext/>
              <w:spacing w:before="10" w:after="10"/>
              <w:jc w:val="right"/>
            </w:pPr>
            <w:r>
              <w:t xml:space="preserve">100.0</w:t>
            </w:r>
          </w:p>
        </w:tc>
        <w:tc>
          <w:tcPr>
            <w:tcW w:w="480" w:type="dxa"/>
            <w:tcBorders/>
            <w:vAlign w:val="center"/>
          </w:tcPr>
          <w:p>
            <w:pPr>
              <w:pStyle w:val="PPTableBody"/>
              <w:keepNext/>
              <w:spacing w:before="10" w:after="10"/>
              <w:jc w:val="right"/>
            </w:pPr>
            <w:r>
              <w:t xml:space="preserve">100.0</w:t>
            </w:r>
          </w:p>
        </w:tc>
        <w:tc>
          <w:tcPr>
            <w:tcW w:w="653" w:type="dxa"/>
            <w:tcBorders/>
            <w:vAlign w:val="center"/>
          </w:tcPr>
          <w:p>
            <w:pPr>
              <w:pStyle w:val="PPTableBody"/>
              <w:keepNext/>
              <w:spacing w:before="10" w:after="10"/>
              <w:jc w:val="right"/>
            </w:pPr>
            <w:r>
              <w:t xml:space="preserve">2.5</w:t>
            </w:r>
          </w:p>
        </w:tc>
        <w:tc>
          <w:tcPr>
            <w:tcW w:w="493" w:type="dxa"/>
            <w:tcBorders/>
            <w:vAlign w:val="center"/>
          </w:tcPr>
          <w:p>
            <w:pPr>
              <w:pStyle w:val="PPTableBody"/>
              <w:keepNext/>
              <w:spacing w:before="10" w:after="10"/>
              <w:jc w:val="right"/>
            </w:pPr>
            <w:r>
              <w:t xml:space="preserve">2.5</w:t>
            </w:r>
          </w:p>
        </w:tc>
      </w:tr>
      <w:tr>
        <w:trPr>
          <w:cantSplit/>
        </w:trPr>
        <w:tc>
          <w:tcPr>
            <w:tcW w:w="1182" w:type="dxa"/>
            <w:tcBorders>
              <w:bottom w:val="single" w:sz="8" w:space="0" w:color="auto"/>
            </w:tcBorders>
            <w:vAlign w:val="center"/>
          </w:tcPr>
          <w:p>
            <w:pPr>
              <w:pStyle w:val="PPTableBody"/>
              <w:spacing w:before="10" w:after="10"/>
              <w:jc w:val="left"/>
            </w:pPr>
            <w:r>
              <w:t xml:space="preserve">Domain classifier</w:t>
            </w:r>
          </w:p>
        </w:tc>
        <w:tc>
          <w:tcPr>
            <w:tcW w:w="1182" w:type="dxa"/>
            <w:tcBorders>
              <w:bottom w:val="single" w:sz="8" w:space="0" w:color="auto"/>
            </w:tcBorders>
            <w:vAlign w:val="center"/>
          </w:tcPr>
          <w:p>
            <w:pPr>
              <w:pStyle w:val="PPTableBody"/>
              <w:spacing w:before="10" w:after="10"/>
              <w:jc w:val="right"/>
            </w:pPr>
            <w:r>
              <w:t xml:space="preserve">6.0 [3.5, 10.2]</w:t>
            </w:r>
          </w:p>
        </w:tc>
        <w:tc>
          <w:tcPr>
            <w:tcW w:w="742" w:type="dxa"/>
            <w:tcBorders>
              <w:bottom w:val="single" w:sz="8" w:space="0" w:color="auto"/>
            </w:tcBorders>
            <w:vAlign w:val="center"/>
          </w:tcPr>
          <w:p>
            <w:pPr>
              <w:pStyle w:val="PPTableBody"/>
              <w:spacing w:before="10" w:after="10"/>
              <w:jc w:val="right"/>
            </w:pPr>
            <w:r>
              <w:t xml:space="preserve">100.0</w:t>
            </w:r>
          </w:p>
        </w:tc>
        <w:tc>
          <w:tcPr>
            <w:tcW w:w="480" w:type="dxa"/>
            <w:tcBorders>
              <w:bottom w:val="single" w:sz="8" w:space="0" w:color="auto"/>
            </w:tcBorders>
            <w:vAlign w:val="center"/>
          </w:tcPr>
          <w:p>
            <w:pPr>
              <w:pStyle w:val="PPTableBody"/>
              <w:spacing w:before="10" w:after="10"/>
              <w:jc w:val="right"/>
            </w:pPr>
            <w:r>
              <w:t xml:space="preserve">72.0</w:t>
            </w:r>
          </w:p>
        </w:tc>
        <w:tc>
          <w:tcPr>
            <w:tcW w:w="653" w:type="dxa"/>
            <w:tcBorders>
              <w:bottom w:val="single" w:sz="8" w:space="0" w:color="auto"/>
            </w:tcBorders>
            <w:vAlign w:val="center"/>
          </w:tcPr>
          <w:p>
            <w:pPr>
              <w:pStyle w:val="PPTableBody"/>
              <w:spacing w:before="10" w:after="10"/>
              <w:jc w:val="right"/>
            </w:pPr>
            <w:r>
              <w:t xml:space="preserve">6.0</w:t>
            </w:r>
          </w:p>
        </w:tc>
        <w:tc>
          <w:tcPr>
            <w:tcW w:w="493" w:type="dxa"/>
            <w:tcBorders>
              <w:bottom w:val="single" w:sz="8" w:space="0" w:color="auto"/>
            </w:tcBorders>
            <w:vAlign w:val="center"/>
          </w:tcPr>
          <w:p>
            <w:pPr>
              <w:pStyle w:val="PPTableBody"/>
              <w:spacing w:before="10" w:after="10"/>
              <w:jc w:val="right"/>
            </w:pPr>
            <w:r>
              <w:t xml:space="preserve">6.0</w:t>
            </w:r>
          </w:p>
        </w:tc>
      </w:tr>
    </w:tbl>
    <w:p>
      <w:pPr>
        <w:spacing w:after="0" w:line="160" w:lineRule="exact"/>
      </w:pPr>
    </w:p>
    <w:p>
      <w:pPr>
        <w:pStyle w:val="PPBodyMainText"/>
      </w:pPr>
      <w:r>
        <w:t xml:space="preserve">The no drift column is the false alarm rate with its 95% confidence interval (CI). Over 200 control windows every interval contains </w:t>
      </w:r>
      <m:oMath>
        <m:r>
          <m:t>α</m:t>
        </m:r>
        <m:r>
          <m:rPr>
            <m:sty m:val="p"/>
          </m:rPr>
          <m:t>=</m:t>
        </m:r>
        <m:r>
          <m:t>0.05</m:t>
        </m:r>
      </m:oMath>
      <w:r>
        <w:t xml:space="preserve"> or lies below it. Every detector catches covariate shift and all except PSI also catch most prior shifts. Concept drift and label noise windows share their inputs with the control window of their replicate, so no detector can see them, which is why the audit is needed. Table </w:t>
      </w:r>
      <w:r>
        <w:t xml:space="preserve">6</w:t>
      </w:r>
      <w:r>
        <w:t xml:space="preserve"> compares the four accuracy estimates by their mean absolute error against the measured accuracy.</w:t>
      </w:r>
    </w:p>
    <w:p>
      <w:pPr>
        <w:pStyle w:val="PPFigureTableCaption"/>
        <w:keepNext/>
        <w:keepLines/>
        <w:spacing w:before="160" w:after="60"/>
      </w:pPr>
      <w:r>
        <w:rPr>
          <w:b/>
        </w:rPr>
        <w:t xml:space="preserve">Table 6</w:t>
      </w:r>
      <w:r>
        <w:t xml:space="preserve"> </w:t>
      </w:r>
      <w:r>
        <w:t xml:space="preserve">Mean absolute error of the label-free accuracy estimates (points)</w:t>
      </w:r>
    </w:p>
    <w:tbl>
      <w:tblPr>
        <w:tblW w:w="0" w:type="auto"/>
        <w:jc w:val="center"/>
        <w:tblLayout w:type="fixed"/>
        <w:tblCellMar>
          <w:left w:w="45" w:type="dxa"/>
          <w:right w:w="45" w:type="dxa"/>
        </w:tblCellMar>
        <w:tblLook w:val="04A0" w:firstRow="1" w:lastRow="0" w:firstColumn="1" w:lastColumn="0" w:noHBand="0" w:noVBand="1"/>
      </w:tblPr>
      <w:tblGrid>
        <w:gridCol w:w="742"/>
        <w:gridCol w:w="466"/>
        <w:gridCol w:w="480"/>
        <w:gridCol w:w="440"/>
        <w:gridCol w:w="618"/>
        <w:gridCol w:w="400"/>
        <w:gridCol w:w="462"/>
        <w:gridCol w:w="480"/>
        <w:gridCol w:w="644"/>
      </w:tblGrid>
      <w:tr>
        <w:trPr>
          <w:cantSplit/>
          <w:tblHeader/>
        </w:trPr>
        <w:tc>
          <w:tcPr>
            <w:tcW w:w="742" w:type="dxa"/>
            <w:tcBorders>
              <w:top w:val="single" w:sz="8" w:space="0" w:color="auto"/>
            </w:tcBorders>
            <w:vAlign w:val="center"/>
          </w:tcPr>
          <w:p>
            <w:pPr>
              <w:pStyle w:val="PPTableBody"/>
              <w:keepNext/>
              <w:spacing w:before="10" w:after="10"/>
              <w:jc w:val="left"/>
            </w:pPr>
          </w:p>
        </w:tc>
        <w:tc>
          <w:tcPr>
            <w:tcW w:w="2004" w:type="dxa"/>
            <w:gridSpan w:val="4"/>
            <w:tcBorders>
              <w:top w:val="single" w:sz="8" w:space="0" w:color="auto"/>
              <w:bottom w:val="single" w:sz="4" w:space="0" w:color="auto"/>
            </w:tcBorders>
            <w:vAlign w:val="center"/>
          </w:tcPr>
          <w:p>
            <w:pPr>
              <w:pStyle w:val="PPTableBody"/>
              <w:keepNext/>
              <w:spacing w:before="10" w:after="10"/>
              <w:jc w:val="center"/>
            </w:pPr>
            <w:r>
              <w:t xml:space="preserve">Benchmark (design A)</w:t>
            </w:r>
          </w:p>
        </w:tc>
        <w:tc>
          <w:tcPr>
            <w:tcW w:w="1986" w:type="dxa"/>
            <w:gridSpan w:val="4"/>
            <w:tcBorders>
              <w:top w:val="single" w:sz="8" w:space="0" w:color="auto"/>
              <w:bottom w:val="single" w:sz="4" w:space="0" w:color="auto"/>
            </w:tcBorders>
            <w:vAlign w:val="center"/>
          </w:tcPr>
          <w:p>
            <w:pPr>
              <w:pStyle w:val="PPTableBody"/>
              <w:keepNext/>
              <w:spacing w:before="10" w:after="10"/>
              <w:jc w:val="center"/>
            </w:pPr>
            <w:r>
              <w:t xml:space="preserve">Real windows</w:t>
            </w:r>
          </w:p>
        </w:tc>
      </w:tr>
      <w:tr>
        <w:trPr>
          <w:cantSplit/>
          <w:tblHeader/>
        </w:trPr>
        <w:tc>
          <w:tcPr>
            <w:tcW w:w="742" w:type="dxa"/>
            <w:tcBorders/>
            <w:vAlign w:val="center"/>
          </w:tcPr>
          <w:p>
            <w:pPr>
              <w:pStyle w:val="PPTableBody"/>
              <w:keepNext/>
              <w:spacing w:before="10" w:after="10"/>
              <w:jc w:val="left"/>
            </w:pPr>
            <w:r>
              <w:t xml:space="preserve">Estimator</w:t>
            </w:r>
          </w:p>
        </w:tc>
        <w:tc>
          <w:tcPr>
            <w:tcW w:w="466" w:type="dxa"/>
            <w:tcBorders/>
            <w:vAlign w:val="center"/>
          </w:tcPr>
          <w:p>
            <w:pPr>
              <w:pStyle w:val="PPTableBody"/>
              <w:keepNext/>
              <w:spacing w:before="10" w:after="10"/>
              <w:jc w:val="right"/>
            </w:pPr>
            <w:r>
              <w:t xml:space="preserve">None</w:t>
            </w:r>
          </w:p>
        </w:tc>
        <w:tc>
          <w:tcPr>
            <w:tcW w:w="480" w:type="dxa"/>
            <w:tcBorders/>
            <w:vAlign w:val="center"/>
          </w:tcPr>
          <w:p>
            <w:pPr>
              <w:pStyle w:val="PPTableBody"/>
              <w:keepNext/>
              <w:spacing w:before="10" w:after="10"/>
              <w:jc w:val="right"/>
            </w:pPr>
            <w:r>
              <w:t xml:space="preserve">Cov.</w:t>
            </w:r>
          </w:p>
        </w:tc>
        <w:tc>
          <w:tcPr>
            <w:tcW w:w="440" w:type="dxa"/>
            <w:tcBorders/>
            <w:vAlign w:val="center"/>
          </w:tcPr>
          <w:p>
            <w:pPr>
              <w:pStyle w:val="PPTableBody"/>
              <w:keepNext/>
              <w:spacing w:before="10" w:after="10"/>
              <w:jc w:val="right"/>
            </w:pPr>
            <w:r>
              <w:t xml:space="preserve">Prior</w:t>
            </w:r>
          </w:p>
        </w:tc>
        <w:tc>
          <w:tcPr>
            <w:tcW w:w="618" w:type="dxa"/>
            <w:tcBorders/>
            <w:vAlign w:val="center"/>
          </w:tcPr>
          <w:p>
            <w:pPr>
              <w:pStyle w:val="PPTableBody"/>
              <w:keepNext/>
              <w:spacing w:before="10" w:after="10"/>
              <w:jc w:val="right"/>
            </w:pPr>
            <w:r>
              <w:t xml:space="preserve">Conc., noise</w:t>
            </w:r>
          </w:p>
        </w:tc>
        <w:tc>
          <w:tcPr>
            <w:tcW w:w="400" w:type="dxa"/>
            <w:tcBorders/>
            <w:vAlign w:val="center"/>
          </w:tcPr>
          <w:p>
            <w:pPr>
              <w:pStyle w:val="PPTableBody"/>
              <w:keepNext/>
              <w:spacing w:before="10" w:after="10"/>
              <w:jc w:val="right"/>
            </w:pPr>
            <w:r>
              <w:t xml:space="preserve">Inc.</w:t>
            </w:r>
          </w:p>
        </w:tc>
        <w:tc>
          <w:tcPr>
            <w:tcW w:w="462" w:type="dxa"/>
            <w:tcBorders/>
            <w:vAlign w:val="center"/>
          </w:tcPr>
          <w:p>
            <w:pPr>
              <w:pStyle w:val="PPTableBody"/>
              <w:keepNext/>
              <w:spacing w:before="10" w:after="10"/>
              <w:jc w:val="right"/>
            </w:pPr>
            <w:r>
              <w:t xml:space="preserve">Emp.</w:t>
            </w:r>
          </w:p>
        </w:tc>
        <w:tc>
          <w:tcPr>
            <w:tcW w:w="480" w:type="dxa"/>
            <w:tcBorders/>
            <w:vAlign w:val="center"/>
          </w:tcPr>
          <w:p>
            <w:pPr>
              <w:pStyle w:val="PPTableBody"/>
              <w:keepNext/>
              <w:spacing w:before="10" w:after="10"/>
              <w:jc w:val="right"/>
            </w:pPr>
            <w:r>
              <w:t xml:space="preserve">Gas</w:t>
            </w:r>
          </w:p>
        </w:tc>
        <w:tc>
          <w:tcPr>
            <w:tcW w:w="644" w:type="dxa"/>
            <w:tcBorders/>
            <w:vAlign w:val="center"/>
          </w:tcPr>
          <w:p>
            <w:pPr>
              <w:pStyle w:val="PPTableBody"/>
              <w:keepNext/>
              <w:spacing w:before="10" w:after="10"/>
              <w:jc w:val="right"/>
            </w:pPr>
            <w:r>
              <w:t xml:space="preserve">CLEAR</w:t>
            </w:r>
          </w:p>
        </w:tc>
      </w:tr>
      <w:tr>
        <w:trPr>
          <w:cantSplit/>
        </w:trPr>
        <w:tc>
          <w:tcPr>
            <w:tcW w:w="742" w:type="dxa"/>
            <w:tcBorders>
              <w:top w:val="single" w:sz="4" w:space="0" w:color="auto"/>
            </w:tcBorders>
            <w:vAlign w:val="center"/>
          </w:tcPr>
          <w:p>
            <w:pPr>
              <w:pStyle w:val="PPTableBody"/>
              <w:keepNext/>
              <w:spacing w:before="10" w:after="10"/>
              <w:jc w:val="left"/>
            </w:pPr>
            <w:r>
              <w:t xml:space="preserve">CBPE</w:t>
            </w:r>
          </w:p>
        </w:tc>
        <w:tc>
          <w:tcPr>
            <w:tcW w:w="466" w:type="dxa"/>
            <w:tcBorders>
              <w:top w:val="single" w:sz="4" w:space="0" w:color="auto"/>
            </w:tcBorders>
            <w:vAlign w:val="center"/>
          </w:tcPr>
          <w:p>
            <w:pPr>
              <w:pStyle w:val="PPTableBody"/>
              <w:keepNext/>
              <w:spacing w:before="10" w:after="10"/>
              <w:jc w:val="right"/>
            </w:pPr>
            <w:r>
              <w:rPr>
                <w:b/>
              </w:rPr>
              <w:t xml:space="preserve">0.50</w:t>
            </w:r>
          </w:p>
        </w:tc>
        <w:tc>
          <w:tcPr>
            <w:tcW w:w="480" w:type="dxa"/>
            <w:tcBorders>
              <w:top w:val="single" w:sz="4" w:space="0" w:color="auto"/>
            </w:tcBorders>
            <w:vAlign w:val="center"/>
          </w:tcPr>
          <w:p>
            <w:pPr>
              <w:pStyle w:val="PPTableBody"/>
              <w:keepNext/>
              <w:spacing w:before="10" w:after="10"/>
              <w:jc w:val="right"/>
            </w:pPr>
            <w:r>
              <w:rPr>
                <w:b/>
              </w:rPr>
              <w:t xml:space="preserve">9.20</w:t>
            </w:r>
          </w:p>
        </w:tc>
        <w:tc>
          <w:tcPr>
            <w:tcW w:w="440" w:type="dxa"/>
            <w:tcBorders>
              <w:top w:val="single" w:sz="4" w:space="0" w:color="auto"/>
            </w:tcBorders>
            <w:vAlign w:val="center"/>
          </w:tcPr>
          <w:p>
            <w:pPr>
              <w:pStyle w:val="PPTableBody"/>
              <w:keepNext/>
              <w:spacing w:before="10" w:after="10"/>
              <w:jc w:val="right"/>
            </w:pPr>
            <w:r>
              <w:t xml:space="preserve">3.15</w:t>
            </w:r>
          </w:p>
        </w:tc>
        <w:tc>
          <w:tcPr>
            <w:tcW w:w="618" w:type="dxa"/>
            <w:tcBorders>
              <w:top w:val="single" w:sz="4" w:space="0" w:color="auto"/>
            </w:tcBorders>
            <w:vAlign w:val="center"/>
          </w:tcPr>
          <w:p>
            <w:pPr>
              <w:pStyle w:val="PPTableBody"/>
              <w:keepNext/>
              <w:spacing w:before="10" w:after="10"/>
              <w:jc w:val="right"/>
            </w:pPr>
            <w:r>
              <w:t xml:space="preserve">14.71</w:t>
            </w:r>
          </w:p>
        </w:tc>
        <w:tc>
          <w:tcPr>
            <w:tcW w:w="400" w:type="dxa"/>
            <w:tcBorders>
              <w:top w:val="single" w:sz="4" w:space="0" w:color="auto"/>
            </w:tcBorders>
            <w:vAlign w:val="center"/>
          </w:tcPr>
          <w:p>
            <w:pPr>
              <w:pStyle w:val="PPTableBody"/>
              <w:keepNext/>
              <w:spacing w:before="10" w:after="10"/>
              <w:jc w:val="right"/>
            </w:pPr>
            <w:r>
              <w:t xml:space="preserve">1.86</w:t>
            </w:r>
          </w:p>
        </w:tc>
        <w:tc>
          <w:tcPr>
            <w:tcW w:w="462" w:type="dxa"/>
            <w:tcBorders>
              <w:top w:val="single" w:sz="4" w:space="0" w:color="auto"/>
            </w:tcBorders>
            <w:vAlign w:val="center"/>
          </w:tcPr>
          <w:p>
            <w:pPr>
              <w:pStyle w:val="PPTableBody"/>
              <w:keepNext/>
              <w:spacing w:before="10" w:after="10"/>
              <w:jc w:val="right"/>
            </w:pPr>
            <w:r>
              <w:t xml:space="preserve">1.06</w:t>
            </w:r>
          </w:p>
        </w:tc>
        <w:tc>
          <w:tcPr>
            <w:tcW w:w="480" w:type="dxa"/>
            <w:tcBorders>
              <w:top w:val="single" w:sz="4" w:space="0" w:color="auto"/>
            </w:tcBorders>
            <w:vAlign w:val="center"/>
          </w:tcPr>
          <w:p>
            <w:pPr>
              <w:pStyle w:val="PPTableBody"/>
              <w:keepNext/>
              <w:spacing w:before="10" w:after="10"/>
              <w:jc w:val="right"/>
            </w:pPr>
            <w:r>
              <w:t xml:space="preserve">30.98</w:t>
            </w:r>
          </w:p>
        </w:tc>
        <w:tc>
          <w:tcPr>
            <w:tcW w:w="644" w:type="dxa"/>
            <w:tcBorders>
              <w:top w:val="single" w:sz="4" w:space="0" w:color="auto"/>
            </w:tcBorders>
            <w:vAlign w:val="center"/>
          </w:tcPr>
          <w:p>
            <w:pPr>
              <w:pStyle w:val="PPTableBody"/>
              <w:keepNext/>
              <w:spacing w:before="10" w:after="10"/>
              <w:jc w:val="right"/>
            </w:pPr>
            <w:r>
              <w:t xml:space="preserve">0.82</w:t>
            </w:r>
          </w:p>
        </w:tc>
      </w:tr>
      <w:tr>
        <w:trPr>
          <w:cantSplit/>
        </w:trPr>
        <w:tc>
          <w:tcPr>
            <w:tcW w:w="742" w:type="dxa"/>
            <w:tcBorders/>
            <w:vAlign w:val="center"/>
          </w:tcPr>
          <w:p>
            <w:pPr>
              <w:pStyle w:val="PPTableBody"/>
              <w:keepNext/>
              <w:spacing w:before="10" w:after="10"/>
              <w:jc w:val="left"/>
            </w:pPr>
            <w:r>
              <w:t xml:space="preserve">AC</w:t>
            </w:r>
          </w:p>
        </w:tc>
        <w:tc>
          <w:tcPr>
            <w:tcW w:w="466" w:type="dxa"/>
            <w:tcBorders/>
            <w:vAlign w:val="center"/>
          </w:tcPr>
          <w:p>
            <w:pPr>
              <w:pStyle w:val="PPTableBody"/>
              <w:keepNext/>
              <w:spacing w:before="10" w:after="10"/>
              <w:jc w:val="right"/>
            </w:pPr>
            <w:r>
              <w:t xml:space="preserve">0.83</w:t>
            </w:r>
          </w:p>
        </w:tc>
        <w:tc>
          <w:tcPr>
            <w:tcW w:w="480" w:type="dxa"/>
            <w:tcBorders/>
            <w:vAlign w:val="center"/>
          </w:tcPr>
          <w:p>
            <w:pPr>
              <w:pStyle w:val="PPTableBody"/>
              <w:keepNext/>
              <w:spacing w:before="10" w:after="10"/>
              <w:jc w:val="right"/>
            </w:pPr>
            <w:r>
              <w:t xml:space="preserve">9.58</w:t>
            </w:r>
          </w:p>
        </w:tc>
        <w:tc>
          <w:tcPr>
            <w:tcW w:w="440" w:type="dxa"/>
            <w:tcBorders/>
            <w:vAlign w:val="center"/>
          </w:tcPr>
          <w:p>
            <w:pPr>
              <w:pStyle w:val="PPTableBody"/>
              <w:keepNext/>
              <w:spacing w:before="10" w:after="10"/>
              <w:jc w:val="right"/>
            </w:pPr>
            <w:r>
              <w:t xml:space="preserve">3.65</w:t>
            </w:r>
          </w:p>
        </w:tc>
        <w:tc>
          <w:tcPr>
            <w:tcW w:w="618" w:type="dxa"/>
            <w:tcBorders/>
            <w:vAlign w:val="center"/>
          </w:tcPr>
          <w:p>
            <w:pPr>
              <w:pStyle w:val="PPTableBody"/>
              <w:keepNext/>
              <w:spacing w:before="10" w:after="10"/>
              <w:jc w:val="right"/>
            </w:pPr>
            <w:r>
              <w:rPr>
                <w:b/>
              </w:rPr>
              <w:t xml:space="preserve">14.66</w:t>
            </w:r>
          </w:p>
        </w:tc>
        <w:tc>
          <w:tcPr>
            <w:tcW w:w="400" w:type="dxa"/>
            <w:tcBorders/>
            <w:vAlign w:val="center"/>
          </w:tcPr>
          <w:p>
            <w:pPr>
              <w:pStyle w:val="PPTableBody"/>
              <w:keepNext/>
              <w:spacing w:before="10" w:after="10"/>
              <w:jc w:val="right"/>
            </w:pPr>
            <w:r>
              <w:t xml:space="preserve">1.87</w:t>
            </w:r>
          </w:p>
        </w:tc>
        <w:tc>
          <w:tcPr>
            <w:tcW w:w="462" w:type="dxa"/>
            <w:tcBorders/>
            <w:vAlign w:val="center"/>
          </w:tcPr>
          <w:p>
            <w:pPr>
              <w:pStyle w:val="PPTableBody"/>
              <w:keepNext/>
              <w:spacing w:before="10" w:after="10"/>
              <w:jc w:val="right"/>
            </w:pPr>
            <w:r>
              <w:t xml:space="preserve">1.25</w:t>
            </w:r>
          </w:p>
        </w:tc>
        <w:tc>
          <w:tcPr>
            <w:tcW w:w="480" w:type="dxa"/>
            <w:tcBorders/>
            <w:vAlign w:val="center"/>
          </w:tcPr>
          <w:p>
            <w:pPr>
              <w:pStyle w:val="PPTableBody"/>
              <w:keepNext/>
              <w:spacing w:before="10" w:after="10"/>
              <w:jc w:val="right"/>
            </w:pPr>
            <w:r>
              <w:t xml:space="preserve">30.36</w:t>
            </w:r>
          </w:p>
        </w:tc>
        <w:tc>
          <w:tcPr>
            <w:tcW w:w="644" w:type="dxa"/>
            <w:tcBorders/>
            <w:vAlign w:val="center"/>
          </w:tcPr>
          <w:p>
            <w:pPr>
              <w:pStyle w:val="PPTableBody"/>
              <w:keepNext/>
              <w:spacing w:before="10" w:after="10"/>
              <w:jc w:val="right"/>
            </w:pPr>
            <w:r>
              <w:t xml:space="preserve">5.32</w:t>
            </w:r>
          </w:p>
        </w:tc>
      </w:tr>
      <w:tr>
        <w:trPr>
          <w:cantSplit/>
        </w:trPr>
        <w:tc>
          <w:tcPr>
            <w:tcW w:w="742" w:type="dxa"/>
            <w:tcBorders/>
            <w:vAlign w:val="center"/>
          </w:tcPr>
          <w:p>
            <w:pPr>
              <w:pStyle w:val="PPTableBody"/>
              <w:keepNext/>
              <w:spacing w:before="10" w:after="10"/>
              <w:jc w:val="left"/>
            </w:pPr>
            <w:r>
              <w:t xml:space="preserve">DoC</w:t>
            </w:r>
          </w:p>
        </w:tc>
        <w:tc>
          <w:tcPr>
            <w:tcW w:w="466" w:type="dxa"/>
            <w:tcBorders/>
            <w:vAlign w:val="center"/>
          </w:tcPr>
          <w:p>
            <w:pPr>
              <w:pStyle w:val="PPTableBody"/>
              <w:keepNext/>
              <w:spacing w:before="10" w:after="10"/>
              <w:jc w:val="right"/>
            </w:pPr>
            <w:r>
              <w:rPr>
                <w:b/>
              </w:rPr>
              <w:t xml:space="preserve">0.50</w:t>
            </w:r>
          </w:p>
        </w:tc>
        <w:tc>
          <w:tcPr>
            <w:tcW w:w="480" w:type="dxa"/>
            <w:tcBorders/>
            <w:vAlign w:val="center"/>
          </w:tcPr>
          <w:p>
            <w:pPr>
              <w:pStyle w:val="PPTableBody"/>
              <w:keepNext/>
              <w:spacing w:before="10" w:after="10"/>
              <w:jc w:val="right"/>
            </w:pPr>
            <w:r>
              <w:t xml:space="preserve">9.63</w:t>
            </w:r>
          </w:p>
        </w:tc>
        <w:tc>
          <w:tcPr>
            <w:tcW w:w="440" w:type="dxa"/>
            <w:tcBorders/>
            <w:vAlign w:val="center"/>
          </w:tcPr>
          <w:p>
            <w:pPr>
              <w:pStyle w:val="PPTableBody"/>
              <w:keepNext/>
              <w:spacing w:before="10" w:after="10"/>
              <w:jc w:val="right"/>
            </w:pPr>
            <w:r>
              <w:t xml:space="preserve">3.12</w:t>
            </w:r>
          </w:p>
        </w:tc>
        <w:tc>
          <w:tcPr>
            <w:tcW w:w="618" w:type="dxa"/>
            <w:tcBorders/>
            <w:vAlign w:val="center"/>
          </w:tcPr>
          <w:p>
            <w:pPr>
              <w:pStyle w:val="PPTableBody"/>
              <w:keepNext/>
              <w:spacing w:before="10" w:after="10"/>
              <w:jc w:val="right"/>
            </w:pPr>
            <w:r>
              <w:t xml:space="preserve">14.71</w:t>
            </w:r>
          </w:p>
        </w:tc>
        <w:tc>
          <w:tcPr>
            <w:tcW w:w="400" w:type="dxa"/>
            <w:tcBorders/>
            <w:vAlign w:val="center"/>
          </w:tcPr>
          <w:p>
            <w:pPr>
              <w:pStyle w:val="PPTableBody"/>
              <w:keepNext/>
              <w:spacing w:before="10" w:after="10"/>
              <w:jc w:val="right"/>
            </w:pPr>
            <w:r>
              <w:t xml:space="preserve">1.77</w:t>
            </w:r>
          </w:p>
        </w:tc>
        <w:tc>
          <w:tcPr>
            <w:tcW w:w="462" w:type="dxa"/>
            <w:tcBorders/>
            <w:vAlign w:val="center"/>
          </w:tcPr>
          <w:p>
            <w:pPr>
              <w:pStyle w:val="PPTableBody"/>
              <w:keepNext/>
              <w:spacing w:before="10" w:after="10"/>
              <w:jc w:val="right"/>
            </w:pPr>
            <w:r>
              <w:t xml:space="preserve">1.06</w:t>
            </w:r>
          </w:p>
        </w:tc>
        <w:tc>
          <w:tcPr>
            <w:tcW w:w="480" w:type="dxa"/>
            <w:tcBorders/>
            <w:vAlign w:val="center"/>
          </w:tcPr>
          <w:p>
            <w:pPr>
              <w:pStyle w:val="PPTableBody"/>
              <w:keepNext/>
              <w:spacing w:before="10" w:after="10"/>
              <w:jc w:val="right"/>
            </w:pPr>
            <w:r>
              <w:t xml:space="preserve">29.78</w:t>
            </w:r>
          </w:p>
        </w:tc>
        <w:tc>
          <w:tcPr>
            <w:tcW w:w="644" w:type="dxa"/>
            <w:tcBorders/>
            <w:vAlign w:val="center"/>
          </w:tcPr>
          <w:p>
            <w:pPr>
              <w:pStyle w:val="PPTableBody"/>
              <w:keepNext/>
              <w:spacing w:before="10" w:after="10"/>
              <w:jc w:val="right"/>
            </w:pPr>
            <w:r>
              <w:t xml:space="preserve">0.76</w:t>
            </w:r>
          </w:p>
        </w:tc>
      </w:tr>
      <w:tr>
        <w:trPr>
          <w:cantSplit/>
        </w:trPr>
        <w:tc>
          <w:tcPr>
            <w:tcW w:w="742" w:type="dxa"/>
            <w:tcBorders>
              <w:bottom w:val="single" w:sz="8" w:space="0" w:color="auto"/>
            </w:tcBorders>
            <w:vAlign w:val="center"/>
          </w:tcPr>
          <w:p>
            <w:pPr>
              <w:pStyle w:val="PPTableBody"/>
              <w:spacing w:before="10" w:after="10"/>
              <w:jc w:val="left"/>
            </w:pPr>
            <w:r>
              <w:t xml:space="preserve">ATC</w:t>
            </w:r>
          </w:p>
        </w:tc>
        <w:tc>
          <w:tcPr>
            <w:tcW w:w="466" w:type="dxa"/>
            <w:tcBorders>
              <w:bottom w:val="single" w:sz="8" w:space="0" w:color="auto"/>
            </w:tcBorders>
            <w:vAlign w:val="center"/>
          </w:tcPr>
          <w:p>
            <w:pPr>
              <w:pStyle w:val="PPTableBody"/>
              <w:spacing w:before="10" w:after="10"/>
              <w:jc w:val="right"/>
            </w:pPr>
            <w:r>
              <w:t xml:space="preserve">0.63</w:t>
            </w:r>
          </w:p>
        </w:tc>
        <w:tc>
          <w:tcPr>
            <w:tcW w:w="480" w:type="dxa"/>
            <w:tcBorders>
              <w:bottom w:val="single" w:sz="8" w:space="0" w:color="auto"/>
            </w:tcBorders>
            <w:vAlign w:val="center"/>
          </w:tcPr>
          <w:p>
            <w:pPr>
              <w:pStyle w:val="PPTableBody"/>
              <w:spacing w:before="10" w:after="10"/>
              <w:jc w:val="right"/>
            </w:pPr>
            <w:r>
              <w:t xml:space="preserve">10.31</w:t>
            </w:r>
          </w:p>
        </w:tc>
        <w:tc>
          <w:tcPr>
            <w:tcW w:w="440" w:type="dxa"/>
            <w:tcBorders>
              <w:bottom w:val="single" w:sz="8" w:space="0" w:color="auto"/>
            </w:tcBorders>
            <w:vAlign w:val="center"/>
          </w:tcPr>
          <w:p>
            <w:pPr>
              <w:pStyle w:val="PPTableBody"/>
              <w:spacing w:before="10" w:after="10"/>
              <w:jc w:val="right"/>
            </w:pPr>
            <w:r>
              <w:rPr>
                <w:b/>
              </w:rPr>
              <w:t xml:space="preserve">2.43</w:t>
            </w:r>
          </w:p>
        </w:tc>
        <w:tc>
          <w:tcPr>
            <w:tcW w:w="618" w:type="dxa"/>
            <w:tcBorders>
              <w:bottom w:val="single" w:sz="8" w:space="0" w:color="auto"/>
            </w:tcBorders>
            <w:vAlign w:val="center"/>
          </w:tcPr>
          <w:p>
            <w:pPr>
              <w:pStyle w:val="PPTableBody"/>
              <w:spacing w:before="10" w:after="10"/>
              <w:jc w:val="right"/>
            </w:pPr>
            <w:r>
              <w:rPr>
                <w:b/>
              </w:rPr>
              <w:t xml:space="preserve">14.66</w:t>
            </w:r>
          </w:p>
        </w:tc>
        <w:tc>
          <w:tcPr>
            <w:tcW w:w="400" w:type="dxa"/>
            <w:tcBorders>
              <w:bottom w:val="single" w:sz="8" w:space="0" w:color="auto"/>
            </w:tcBorders>
            <w:vAlign w:val="center"/>
          </w:tcPr>
          <w:p>
            <w:pPr>
              <w:pStyle w:val="PPTableBody"/>
              <w:spacing w:before="10" w:after="10"/>
              <w:jc w:val="right"/>
            </w:pPr>
            <w:r>
              <w:rPr>
                <w:b/>
              </w:rPr>
              <w:t xml:space="preserve">1.15</w:t>
            </w:r>
          </w:p>
        </w:tc>
        <w:tc>
          <w:tcPr>
            <w:tcW w:w="462" w:type="dxa"/>
            <w:tcBorders>
              <w:bottom w:val="single" w:sz="8" w:space="0" w:color="auto"/>
            </w:tcBorders>
            <w:vAlign w:val="center"/>
          </w:tcPr>
          <w:p>
            <w:pPr>
              <w:pStyle w:val="PPTableBody"/>
              <w:spacing w:before="10" w:after="10"/>
              <w:jc w:val="right"/>
            </w:pPr>
            <w:r>
              <w:rPr>
                <w:b/>
              </w:rPr>
              <w:t xml:space="preserve">1.02</w:t>
            </w:r>
          </w:p>
        </w:tc>
        <w:tc>
          <w:tcPr>
            <w:tcW w:w="480" w:type="dxa"/>
            <w:tcBorders>
              <w:bottom w:val="single" w:sz="8" w:space="0" w:color="auto"/>
            </w:tcBorders>
            <w:vAlign w:val="center"/>
          </w:tcPr>
          <w:p>
            <w:pPr>
              <w:pStyle w:val="PPTableBody"/>
              <w:spacing w:before="10" w:after="10"/>
              <w:jc w:val="right"/>
            </w:pPr>
            <w:r>
              <w:rPr>
                <w:b/>
              </w:rPr>
              <w:t xml:space="preserve">26.95</w:t>
            </w:r>
          </w:p>
        </w:tc>
        <w:tc>
          <w:tcPr>
            <w:tcW w:w="644" w:type="dxa"/>
            <w:tcBorders>
              <w:bottom w:val="single" w:sz="8" w:space="0" w:color="auto"/>
            </w:tcBorders>
            <w:vAlign w:val="center"/>
          </w:tcPr>
          <w:p>
            <w:pPr>
              <w:pStyle w:val="PPTableBody"/>
              <w:spacing w:before="10" w:after="10"/>
              <w:jc w:val="right"/>
            </w:pPr>
            <w:r>
              <w:rPr>
                <w:b/>
              </w:rPr>
              <w:t xml:space="preserve">0.62</w:t>
            </w:r>
          </w:p>
        </w:tc>
      </w:tr>
    </w:tbl>
    <w:p>
      <w:pPr>
        <w:spacing w:after="0" w:line="160" w:lineRule="exact"/>
      </w:pPr>
    </w:p>
    <w:p>
      <w:pPr>
        <w:pStyle w:val="PPBodyMainText"/>
      </w:pPr>
      <w:r>
        <w:t xml:space="preserve">Cov. and Conc. denote covariate shift and concept drift, Inc. and Emp. the two ACS tasks. The smallest error in each column is shown in bold. On design A the errors of all four estimates stay below 0.83 points without drift and below 10.31 under covariate shift. Under concept drift and label noise every error equals the whole loss, about 14.71 points, because the inputs do not change. Across these 8 comparisons, ATC has the smallest error in 6 and CBPE in only 2. On the gas sensor data all four are off by 26.95 to 30.98 points on average. In batch 8 the LR model’s mean confidence falls from 0.973 to 0.595 and its accuracy to 0.330, yet CBPE estimates 0.618, so the estimate is best read as an upper bound on accuracy.</w:t>
      </w:r>
    </w:p>
    <w:p>
      <w:pPr>
        <w:pStyle w:val="PPHeading"/>
        <w:keepNext/>
      </w:pPr>
      <w:r>
        <w:t xml:space="preserve">5.4 Real drift</w:t>
      </w:r>
    </w:p>
    <w:p>
      <w:pPr>
        <w:pStyle w:val="PPBodyMainText"/>
        <w:ind w:firstLine="0"/>
      </w:pPr>
      <w:r>
        <w:t xml:space="preserve">Real drift has no known type, but its causes are documented. The question here is whether the verdicts agree with those causes and whether the control windows stay quiet. Fig. </w:t>
      </w:r>
      <w:r>
        <w:t xml:space="preserve">4</w:t>
      </w:r>
      <w:r>
        <w:t xml:space="preserve"> shows how accuracy evolves over time in all four datasets.</w:t>
      </w:r>
    </w:p>
    <w:p>
      <w:pPr>
        <w:pStyle w:val="PPFigureTableCaption"/>
        <w:keepNext/>
        <w:spacing w:before="100" w:after="40" w:line="240" w:lineRule="auto"/>
      </w:pPr>
      <w:r>
        <w:drawing>
          <wp:inline distT="0" distB="0" distL="0" distR="0">
            <wp:extent cx="3006000" cy="2765520"/>
            <wp:docPr id="4" name="Figure 4" descr="Fig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04.png"/>
                    <pic:cNvPicPr/>
                  </pic:nvPicPr>
                  <pic:blipFill>
                    <a:blip r:embed="rIdI4"/>
                    <a:stretch>
                      <a:fillRect/>
                    </a:stretch>
                  </pic:blipFill>
                  <pic:spPr>
                    <a:xfrm>
                      <a:off x="0" y="0"/>
                      <a:ext cx="3006000" cy="2765520"/>
                    </a:xfrm>
                    <a:prstGeom prst="rect">
                      <a:avLst/>
                    </a:prstGeom>
                  </pic:spPr>
                </pic:pic>
              </a:graphicData>
            </a:graphic>
          </wp:inline>
        </w:drawing>
      </w:r>
    </w:p>
    <w:p>
      <w:pPr>
        <w:pStyle w:val="PPFigureTableCaption"/>
        <w:keepLines/>
        <w:spacing w:after="120"/>
      </w:pPr>
      <w:r>
        <w:rPr>
          <w:b/>
        </w:rPr>
        <w:t xml:space="preserve">Fig. 4</w:t>
      </w:r>
      <w:r>
        <w:t xml:space="preserve"> </w:t>
      </w:r>
      <w:r>
        <w:t xml:space="preserve">Measured accuracy of both models and the label-free CBPE estimate on the temporal windows</w:t>
      </w:r>
    </w:p>
    <w:p>
      <w:pPr>
        <w:pStyle w:val="PPBodyMainText"/>
      </w:pPr>
      <w:r>
        <w:t xml:space="preserve">C marks the control window and the numbers mark years (ACS), batches (gas sensor) or buckets (CLEAR-10). The gap in the ACS lines marks the missing 2020 release.</w:t>
      </w:r>
    </w:p>
    <w:p>
      <w:pPr>
        <w:pStyle w:val="PPBodyMainText"/>
      </w:pPr>
      <w:r>
        <w:t xml:space="preserve">ACS Income shows the clearest trend, so we discuss it first. Its accuracy falls over time for both models, from 0.824 in 2015 to 0.749 in 2023 with LR, while the CBPE estimate falls much less. Table </w:t>
      </w:r>
      <w:r>
        <w:t xml:space="preserve">7</w:t>
      </w:r>
      <w:r>
        <w:t xml:space="preserve"> gives the details behind the ACS Income panel of Fig. </w:t>
      </w:r>
      <w:r>
        <w:t xml:space="preserve">4</w:t>
      </w:r>
      <w:r>
        <w:t xml:space="preserve">.</w:t>
      </w:r>
    </w:p>
    <w:p>
      <w:pPr>
        <w:pStyle w:val="PPFigureTableCaption"/>
        <w:keepNext/>
        <w:keepLines/>
        <w:spacing w:before="160" w:after="60"/>
      </w:pPr>
      <w:r>
        <w:rPr>
          <w:b/>
        </w:rPr>
        <w:t xml:space="preserve">Table 7</w:t>
      </w:r>
      <w:r>
        <w:t xml:space="preserve"> </w:t>
      </w:r>
      <w:r>
        <w:t xml:space="preserve">Detection and diagnosis on the ACS Income windows. The alarms are those of the LR model: K is the KS test, M the MMD test, C the confidence test, B BBSD and D the domain classifier</w:t>
      </w:r>
    </w:p>
    <w:tbl>
      <w:tblPr>
        <w:tblW w:w="0" w:type="auto"/>
        <w:jc w:val="center"/>
        <w:tblLayout w:type="fixed"/>
        <w:tblCellMar>
          <w:left w:w="45" w:type="dxa"/>
          <w:right w:w="45" w:type="dxa"/>
        </w:tblCellMar>
        <w:tblLook w:val="04A0" w:firstRow="1" w:lastRow="0" w:firstColumn="1" w:lastColumn="0" w:noHBand="0" w:noVBand="1"/>
      </w:tblPr>
      <w:tblGrid>
        <w:gridCol w:w="728"/>
        <w:gridCol w:w="480"/>
        <w:gridCol w:w="427"/>
        <w:gridCol w:w="445"/>
        <w:gridCol w:w="410"/>
        <w:gridCol w:w="300"/>
        <w:gridCol w:w="300"/>
        <w:gridCol w:w="300"/>
        <w:gridCol w:w="300"/>
        <w:gridCol w:w="300"/>
        <w:gridCol w:w="618"/>
        <w:gridCol w:w="437"/>
      </w:tblGrid>
      <w:tr>
        <w:trPr>
          <w:cantSplit/>
          <w:tblHeader/>
        </w:trPr>
        <w:tc>
          <w:tcPr>
            <w:tcW w:w="728" w:type="dxa"/>
            <w:tcBorders>
              <w:top w:val="single" w:sz="8" w:space="0" w:color="auto"/>
            </w:tcBorders>
            <w:vAlign w:val="center"/>
          </w:tcPr>
          <w:p>
            <w:pPr>
              <w:pStyle w:val="PPTableBody"/>
              <w:keepNext/>
              <w:spacing w:before="10" w:after="10"/>
              <w:jc w:val="left"/>
            </w:pPr>
          </w:p>
        </w:tc>
        <w:tc>
          <w:tcPr>
            <w:tcW w:w="1762" w:type="dxa"/>
            <w:gridSpan w:val="4"/>
            <w:tcBorders>
              <w:top w:val="single" w:sz="8" w:space="0" w:color="auto"/>
              <w:bottom w:val="single" w:sz="4" w:space="0" w:color="auto"/>
            </w:tcBorders>
            <w:vAlign w:val="center"/>
          </w:tcPr>
          <w:p>
            <w:pPr>
              <w:pStyle w:val="PPTableBody"/>
              <w:keepNext/>
              <w:spacing w:before="10" w:after="10"/>
              <w:jc w:val="center"/>
            </w:pPr>
            <w:r>
              <w:t xml:space="preserve">Accuracy</w:t>
            </w:r>
          </w:p>
        </w:tc>
        <w:tc>
          <w:tcPr>
            <w:tcW w:w="1500" w:type="dxa"/>
            <w:gridSpan w:val="5"/>
            <w:tcBorders>
              <w:top w:val="single" w:sz="8" w:space="0" w:color="auto"/>
              <w:bottom w:val="single" w:sz="4" w:space="0" w:color="auto"/>
            </w:tcBorders>
            <w:vAlign w:val="center"/>
          </w:tcPr>
          <w:p>
            <w:pPr>
              <w:pStyle w:val="PPTableBody"/>
              <w:keepNext/>
              <w:spacing w:before="10" w:after="10"/>
              <w:jc w:val="center"/>
            </w:pPr>
            <w:r>
              <w:t xml:space="preserve">Alarms</w:t>
            </w:r>
          </w:p>
        </w:tc>
        <w:tc>
          <w:tcPr>
            <w:tcW w:w="618" w:type="dxa"/>
            <w:tcBorders>
              <w:top w:val="single" w:sz="8" w:space="0" w:color="auto"/>
            </w:tcBorders>
            <w:vAlign w:val="center"/>
          </w:tcPr>
          <w:p>
            <w:pPr>
              <w:pStyle w:val="PPTableBody"/>
              <w:keepNext/>
              <w:spacing w:before="10" w:after="10"/>
              <w:jc w:val="left"/>
            </w:pPr>
          </w:p>
        </w:tc>
        <w:tc>
          <w:tcPr>
            <w:tcW w:w="437" w:type="dxa"/>
            <w:tcBorders>
              <w:top w:val="single" w:sz="8" w:space="0" w:color="auto"/>
            </w:tcBorders>
            <w:vAlign w:val="center"/>
          </w:tcPr>
          <w:p>
            <w:pPr>
              <w:pStyle w:val="PPTableBody"/>
              <w:keepNext/>
              <w:spacing w:before="10" w:after="10"/>
              <w:jc w:val="left"/>
            </w:pPr>
          </w:p>
        </w:tc>
      </w:tr>
      <w:tr>
        <w:trPr>
          <w:cantSplit/>
          <w:tblHeader/>
        </w:trPr>
        <w:tc>
          <w:tcPr>
            <w:tcW w:w="728" w:type="dxa"/>
            <w:tcBorders/>
            <w:vAlign w:val="center"/>
          </w:tcPr>
          <w:p>
            <w:pPr>
              <w:pStyle w:val="PPTableBody"/>
              <w:keepNext/>
              <w:spacing w:before="10" w:after="10"/>
              <w:jc w:val="left"/>
            </w:pPr>
            <w:r>
              <w:t xml:space="preserve">Window</w:t>
            </w:r>
          </w:p>
        </w:tc>
        <w:tc>
          <w:tcPr>
            <w:tcW w:w="480" w:type="dxa"/>
            <w:tcBorders/>
            <w:vAlign w:val="center"/>
          </w:tcPr>
          <w:p>
            <w:pPr>
              <w:pStyle w:val="PPTableBody"/>
              <w:keepNext/>
              <w:spacing w:before="10" w:after="10"/>
              <w:jc w:val="right"/>
            </w:pPr>
            <w:r>
              <w:t xml:space="preserve">LR</w:t>
            </w:r>
          </w:p>
        </w:tc>
        <w:tc>
          <w:tcPr>
            <w:tcW w:w="427" w:type="dxa"/>
            <w:tcBorders/>
            <w:vAlign w:val="center"/>
          </w:tcPr>
          <w:p>
            <w:pPr>
              <w:pStyle w:val="PPTableBody"/>
              <w:keepNext/>
              <w:spacing w:before="10" w:after="10"/>
              <w:jc w:val="right"/>
            </w:pPr>
            <w:r>
              <w:t xml:space="preserve">ΔLR</w:t>
            </w:r>
          </w:p>
        </w:tc>
        <w:tc>
          <w:tcPr>
            <w:tcW w:w="445" w:type="dxa"/>
            <w:tcBorders/>
            <w:vAlign w:val="center"/>
          </w:tcPr>
          <w:p>
            <w:pPr>
              <w:pStyle w:val="PPTableBody"/>
              <w:keepNext/>
              <w:spacing w:before="10" w:after="10"/>
              <w:jc w:val="right"/>
            </w:pPr>
            <w:r>
              <w:t xml:space="preserve">ΔGB</w:t>
            </w:r>
          </w:p>
        </w:tc>
        <w:tc>
          <w:tcPr>
            <w:tcW w:w="410" w:type="dxa"/>
            <w:tcBorders/>
            <w:vAlign w:val="center"/>
          </w:tcPr>
          <w:p>
            <w:pPr>
              <w:pStyle w:val="PPTableBody"/>
              <w:keepNext/>
              <w:spacing w:before="10" w:after="10"/>
              <w:jc w:val="right"/>
            </w:pPr>
            <w:r>
              <w:t xml:space="preserve">Est. err.</w:t>
            </w:r>
          </w:p>
        </w:tc>
        <w:tc>
          <w:tcPr>
            <w:tcW w:w="300" w:type="dxa"/>
            <w:tcBorders/>
            <w:vAlign w:val="center"/>
          </w:tcPr>
          <w:p>
            <w:pPr>
              <w:pStyle w:val="PPTableBody"/>
              <w:keepNext/>
              <w:spacing w:before="10" w:after="10"/>
              <w:jc w:val="center"/>
            </w:pPr>
            <w:r>
              <w:t xml:space="preserve">K</w:t>
            </w:r>
          </w:p>
        </w:tc>
        <w:tc>
          <w:tcPr>
            <w:tcW w:w="300" w:type="dxa"/>
            <w:tcBorders/>
            <w:vAlign w:val="center"/>
          </w:tcPr>
          <w:p>
            <w:pPr>
              <w:pStyle w:val="PPTableBody"/>
              <w:keepNext/>
              <w:spacing w:before="10" w:after="10"/>
              <w:jc w:val="center"/>
            </w:pPr>
            <w:r>
              <w:t xml:space="preserve">M</w:t>
            </w:r>
          </w:p>
        </w:tc>
        <w:tc>
          <w:tcPr>
            <w:tcW w:w="300" w:type="dxa"/>
            <w:tcBorders/>
            <w:vAlign w:val="center"/>
          </w:tcPr>
          <w:p>
            <w:pPr>
              <w:pStyle w:val="PPTableBody"/>
              <w:keepNext/>
              <w:spacing w:before="10" w:after="10"/>
              <w:jc w:val="center"/>
            </w:pPr>
            <w:r>
              <w:t xml:space="preserve">C</w:t>
            </w:r>
          </w:p>
        </w:tc>
        <w:tc>
          <w:tcPr>
            <w:tcW w:w="300" w:type="dxa"/>
            <w:tcBorders/>
            <w:vAlign w:val="center"/>
          </w:tcPr>
          <w:p>
            <w:pPr>
              <w:pStyle w:val="PPTableBody"/>
              <w:keepNext/>
              <w:spacing w:before="10" w:after="10"/>
              <w:jc w:val="center"/>
            </w:pPr>
            <w:r>
              <w:t xml:space="preserve">B</w:t>
            </w:r>
          </w:p>
        </w:tc>
        <w:tc>
          <w:tcPr>
            <w:tcW w:w="300" w:type="dxa"/>
            <w:tcBorders/>
            <w:vAlign w:val="center"/>
          </w:tcPr>
          <w:p>
            <w:pPr>
              <w:pStyle w:val="PPTableBody"/>
              <w:keepNext/>
              <w:spacing w:before="10" w:after="10"/>
              <w:jc w:val="center"/>
            </w:pPr>
            <w:r>
              <w:t xml:space="preserve">D</w:t>
            </w:r>
          </w:p>
        </w:tc>
        <w:tc>
          <w:tcPr>
            <w:tcW w:w="618" w:type="dxa"/>
            <w:tcBorders/>
            <w:vAlign w:val="center"/>
          </w:tcPr>
          <w:p>
            <w:pPr>
              <w:pStyle w:val="PPTableBody"/>
              <w:keepNext/>
              <w:spacing w:before="10" w:after="10"/>
              <w:jc w:val="left"/>
            </w:pPr>
            <w:r>
              <w:t xml:space="preserve">Top shifts</w:t>
            </w:r>
          </w:p>
        </w:tc>
        <w:tc>
          <w:tcPr>
            <w:tcW w:w="437" w:type="dxa"/>
            <w:tcBorders/>
            <w:vAlign w:val="center"/>
          </w:tcPr>
          <w:p>
            <w:pPr>
              <w:pStyle w:val="PPTableBody"/>
              <w:keepNext/>
              <w:spacing w:before="10" w:after="10"/>
              <w:jc w:val="left"/>
            </w:pPr>
            <w:r>
              <w:t xml:space="preserve">Type</w:t>
            </w:r>
          </w:p>
        </w:tc>
      </w:tr>
      <w:tr>
        <w:trPr>
          <w:cantSplit/>
        </w:trPr>
        <w:tc>
          <w:tcPr>
            <w:tcW w:w="728" w:type="dxa"/>
            <w:tcBorders>
              <w:top w:val="single" w:sz="4" w:space="0" w:color="auto"/>
            </w:tcBorders>
            <w:vAlign w:val="center"/>
          </w:tcPr>
          <w:p>
            <w:pPr>
              <w:pStyle w:val="PPTableBody"/>
              <w:keepNext/>
              <w:spacing w:before="10" w:after="10"/>
              <w:jc w:val="left"/>
            </w:pPr>
            <w:r>
              <w:t xml:space="preserve">Control</w:t>
            </w:r>
          </w:p>
        </w:tc>
        <w:tc>
          <w:tcPr>
            <w:tcW w:w="480" w:type="dxa"/>
            <w:tcBorders>
              <w:top w:val="single" w:sz="4" w:space="0" w:color="auto"/>
            </w:tcBorders>
            <w:vAlign w:val="center"/>
          </w:tcPr>
          <w:p>
            <w:pPr>
              <w:pStyle w:val="PPTableBody"/>
              <w:keepNext/>
              <w:spacing w:before="10" w:after="10"/>
              <w:jc w:val="right"/>
            </w:pPr>
            <w:r>
              <w:t xml:space="preserve">0.826</w:t>
            </w:r>
          </w:p>
        </w:tc>
        <w:tc>
          <w:tcPr>
            <w:tcW w:w="427" w:type="dxa"/>
            <w:tcBorders>
              <w:top w:val="single" w:sz="4" w:space="0" w:color="auto"/>
            </w:tcBorders>
            <w:vAlign w:val="center"/>
          </w:tcPr>
          <w:p>
            <w:pPr>
              <w:pStyle w:val="PPTableBody"/>
              <w:keepNext/>
              <w:spacing w:before="10" w:after="10"/>
              <w:jc w:val="right"/>
            </w:pPr>
            <w:r>
              <w:t xml:space="preserve">0.0</w:t>
            </w:r>
          </w:p>
        </w:tc>
        <w:tc>
          <w:tcPr>
            <w:tcW w:w="445" w:type="dxa"/>
            <w:tcBorders>
              <w:top w:val="single" w:sz="4" w:space="0" w:color="auto"/>
            </w:tcBorders>
            <w:vAlign w:val="center"/>
          </w:tcPr>
          <w:p>
            <w:pPr>
              <w:pStyle w:val="PPTableBody"/>
              <w:keepNext/>
              <w:spacing w:before="10" w:after="10"/>
              <w:jc w:val="right"/>
            </w:pPr>
            <w:r>
              <w:t xml:space="preserve">0.0</w:t>
            </w:r>
          </w:p>
        </w:tc>
        <w:tc>
          <w:tcPr>
            <w:tcW w:w="410" w:type="dxa"/>
            <w:tcBorders>
              <w:top w:val="single" w:sz="4" w:space="0" w:color="auto"/>
            </w:tcBorders>
            <w:vAlign w:val="center"/>
          </w:tcPr>
          <w:p>
            <w:pPr>
              <w:pStyle w:val="PPTableBody"/>
              <w:keepNext/>
              <w:spacing w:before="10" w:after="10"/>
              <w:jc w:val="right"/>
            </w:pPr>
            <w:r>
              <w:t xml:space="preserve">0.0</w:t>
            </w:r>
          </w:p>
        </w:tc>
        <w:tc>
          <w:tcPr>
            <w:tcW w:w="300" w:type="dxa"/>
            <w:tcBorders>
              <w:top w:val="single" w:sz="4" w:space="0" w:color="auto"/>
            </w:tcBorders>
            <w:vAlign w:val="center"/>
          </w:tcPr>
          <w:p>
            <w:pPr>
              <w:pStyle w:val="PPTableBody"/>
              <w:keepNext/>
              <w:spacing w:before="10" w:after="10"/>
              <w:jc w:val="center"/>
            </w:pPr>
            <w:r>
              <w:t xml:space="preserve">–</w:t>
            </w:r>
          </w:p>
        </w:tc>
        <w:tc>
          <w:tcPr>
            <w:tcW w:w="300" w:type="dxa"/>
            <w:tcBorders>
              <w:top w:val="single" w:sz="4" w:space="0" w:color="auto"/>
            </w:tcBorders>
            <w:vAlign w:val="center"/>
          </w:tcPr>
          <w:p>
            <w:pPr>
              <w:pStyle w:val="PPTableBody"/>
              <w:keepNext/>
              <w:spacing w:before="10" w:after="10"/>
              <w:jc w:val="center"/>
            </w:pPr>
            <w:r>
              <w:t xml:space="preserve">–</w:t>
            </w:r>
          </w:p>
        </w:tc>
        <w:tc>
          <w:tcPr>
            <w:tcW w:w="300" w:type="dxa"/>
            <w:tcBorders>
              <w:top w:val="single" w:sz="4" w:space="0" w:color="auto"/>
            </w:tcBorders>
            <w:vAlign w:val="center"/>
          </w:tcPr>
          <w:p>
            <w:pPr>
              <w:pStyle w:val="PPTableBody"/>
              <w:keepNext/>
              <w:spacing w:before="10" w:after="10"/>
              <w:jc w:val="center"/>
            </w:pPr>
            <w:r>
              <w:t xml:space="preserve">–</w:t>
            </w:r>
          </w:p>
        </w:tc>
        <w:tc>
          <w:tcPr>
            <w:tcW w:w="300" w:type="dxa"/>
            <w:tcBorders>
              <w:top w:val="single" w:sz="4" w:space="0" w:color="auto"/>
            </w:tcBorders>
            <w:vAlign w:val="center"/>
          </w:tcPr>
          <w:p>
            <w:pPr>
              <w:pStyle w:val="PPTableBody"/>
              <w:keepNext/>
              <w:spacing w:before="10" w:after="10"/>
              <w:jc w:val="center"/>
            </w:pPr>
            <w:r>
              <w:t xml:space="preserve">–</w:t>
            </w:r>
          </w:p>
        </w:tc>
        <w:tc>
          <w:tcPr>
            <w:tcW w:w="300" w:type="dxa"/>
            <w:tcBorders>
              <w:top w:val="single" w:sz="4" w:space="0" w:color="auto"/>
            </w:tcBorders>
            <w:vAlign w:val="center"/>
          </w:tcPr>
          <w:p>
            <w:pPr>
              <w:pStyle w:val="PPTableBody"/>
              <w:keepNext/>
              <w:spacing w:before="10" w:after="10"/>
              <w:jc w:val="center"/>
            </w:pPr>
            <w:r>
              <w:t xml:space="preserve">–</w:t>
            </w:r>
          </w:p>
        </w:tc>
        <w:tc>
          <w:tcPr>
            <w:tcW w:w="618" w:type="dxa"/>
            <w:tcBorders>
              <w:top w:val="single" w:sz="4" w:space="0" w:color="auto"/>
            </w:tcBorders>
            <w:vAlign w:val="center"/>
          </w:tcPr>
          <w:p>
            <w:pPr>
              <w:pStyle w:val="PPTableBody"/>
              <w:keepNext/>
              <w:spacing w:before="10" w:after="10"/>
              <w:jc w:val="left"/>
            </w:pPr>
            <w:r>
              <w:t xml:space="preserve">–</w:t>
            </w:r>
          </w:p>
        </w:tc>
        <w:tc>
          <w:tcPr>
            <w:tcW w:w="437" w:type="dxa"/>
            <w:tcBorders>
              <w:top w:val="single" w:sz="4" w:space="0" w:color="auto"/>
            </w:tcBorders>
            <w:vAlign w:val="center"/>
          </w:tcPr>
          <w:p>
            <w:pPr>
              <w:pStyle w:val="PPTableBody"/>
              <w:keepNext/>
              <w:spacing w:before="10" w:after="10"/>
              <w:jc w:val="left"/>
            </w:pPr>
            <w:r>
              <w:t xml:space="preserve">–</w:t>
            </w:r>
          </w:p>
        </w:tc>
      </w:tr>
      <w:tr>
        <w:trPr>
          <w:cantSplit/>
        </w:trPr>
        <w:tc>
          <w:tcPr>
            <w:tcW w:w="728" w:type="dxa"/>
            <w:tcBorders/>
            <w:vAlign w:val="center"/>
          </w:tcPr>
          <w:p>
            <w:pPr>
              <w:pStyle w:val="PPTableBody"/>
              <w:keepNext/>
              <w:spacing w:before="10" w:after="10"/>
              <w:jc w:val="left"/>
            </w:pPr>
            <w:r>
              <w:t xml:space="preserve">CA 2015</w:t>
            </w:r>
          </w:p>
        </w:tc>
        <w:tc>
          <w:tcPr>
            <w:tcW w:w="480" w:type="dxa"/>
            <w:tcBorders/>
            <w:vAlign w:val="center"/>
          </w:tcPr>
          <w:p>
            <w:pPr>
              <w:pStyle w:val="PPTableBody"/>
              <w:keepNext/>
              <w:spacing w:before="10" w:after="10"/>
              <w:jc w:val="right"/>
            </w:pPr>
            <w:r>
              <w:t xml:space="preserve">0.824</w:t>
            </w:r>
          </w:p>
        </w:tc>
        <w:tc>
          <w:tcPr>
            <w:tcW w:w="427" w:type="dxa"/>
            <w:tcBorders/>
            <w:vAlign w:val="center"/>
          </w:tcPr>
          <w:p>
            <w:pPr>
              <w:pStyle w:val="PPTableBody"/>
              <w:keepNext/>
              <w:spacing w:before="10" w:after="10"/>
              <w:jc w:val="right"/>
            </w:pPr>
            <w:r>
              <w:t xml:space="preserve">−0.2</w:t>
            </w:r>
          </w:p>
        </w:tc>
        <w:tc>
          <w:tcPr>
            <w:tcW w:w="445" w:type="dxa"/>
            <w:tcBorders/>
            <w:vAlign w:val="center"/>
          </w:tcPr>
          <w:p>
            <w:pPr>
              <w:pStyle w:val="PPTableBody"/>
              <w:keepNext/>
              <w:spacing w:before="10" w:after="10"/>
              <w:jc w:val="right"/>
            </w:pPr>
            <w:r>
              <w:t xml:space="preserve">−0.2</w:t>
            </w:r>
          </w:p>
        </w:tc>
        <w:tc>
          <w:tcPr>
            <w:tcW w:w="410" w:type="dxa"/>
            <w:tcBorders/>
            <w:vAlign w:val="center"/>
          </w:tcPr>
          <w:p>
            <w:pPr>
              <w:pStyle w:val="PPTableBody"/>
              <w:keepNext/>
              <w:spacing w:before="10" w:after="10"/>
              <w:jc w:val="right"/>
            </w:pPr>
            <w:r>
              <w:t xml:space="preserve">+0.3</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618" w:type="dxa"/>
            <w:tcBorders/>
            <w:vAlign w:val="center"/>
          </w:tcPr>
          <w:p>
            <w:pPr>
              <w:pStyle w:val="PPTableBody"/>
              <w:keepNext/>
              <w:spacing w:before="10" w:after="10"/>
              <w:jc w:val="left"/>
            </w:pPr>
            <w:r>
              <w:t xml:space="preserve">OCCP</w:t>
            </w:r>
          </w:p>
        </w:tc>
        <w:tc>
          <w:tcPr>
            <w:tcW w:w="437" w:type="dxa"/>
            <w:tcBorders/>
            <w:vAlign w:val="center"/>
          </w:tcPr>
          <w:p>
            <w:pPr>
              <w:pStyle w:val="PPTableBody"/>
              <w:keepNext/>
              <w:spacing w:before="10" w:after="10"/>
              <w:jc w:val="left"/>
            </w:pPr>
            <w:r>
              <w:t xml:space="preserve">–</w:t>
            </w:r>
          </w:p>
        </w:tc>
      </w:tr>
      <w:tr>
        <w:trPr>
          <w:cantSplit/>
        </w:trPr>
        <w:tc>
          <w:tcPr>
            <w:tcW w:w="728" w:type="dxa"/>
            <w:tcBorders/>
            <w:vAlign w:val="center"/>
          </w:tcPr>
          <w:p>
            <w:pPr>
              <w:pStyle w:val="PPTableBody"/>
              <w:keepNext/>
              <w:spacing w:before="10" w:after="10"/>
              <w:jc w:val="left"/>
            </w:pPr>
            <w:r>
              <w:t xml:space="preserve">CA 2016</w:t>
            </w:r>
          </w:p>
        </w:tc>
        <w:tc>
          <w:tcPr>
            <w:tcW w:w="480" w:type="dxa"/>
            <w:tcBorders/>
            <w:vAlign w:val="center"/>
          </w:tcPr>
          <w:p>
            <w:pPr>
              <w:pStyle w:val="PPTableBody"/>
              <w:keepNext/>
              <w:spacing w:before="10" w:after="10"/>
              <w:jc w:val="right"/>
            </w:pPr>
            <w:r>
              <w:t xml:space="preserve">0.821</w:t>
            </w:r>
          </w:p>
        </w:tc>
        <w:tc>
          <w:tcPr>
            <w:tcW w:w="427" w:type="dxa"/>
            <w:tcBorders/>
            <w:vAlign w:val="center"/>
          </w:tcPr>
          <w:p>
            <w:pPr>
              <w:pStyle w:val="PPTableBody"/>
              <w:keepNext/>
              <w:spacing w:before="10" w:after="10"/>
              <w:jc w:val="right"/>
            </w:pPr>
            <w:r>
              <w:t xml:space="preserve">−0.5</w:t>
            </w:r>
          </w:p>
        </w:tc>
        <w:tc>
          <w:tcPr>
            <w:tcW w:w="445" w:type="dxa"/>
            <w:tcBorders/>
            <w:vAlign w:val="center"/>
          </w:tcPr>
          <w:p>
            <w:pPr>
              <w:pStyle w:val="PPTableBody"/>
              <w:keepNext/>
              <w:spacing w:before="10" w:after="10"/>
              <w:jc w:val="right"/>
            </w:pPr>
            <w:r>
              <w:t xml:space="preserve">−0.5</w:t>
            </w:r>
          </w:p>
        </w:tc>
        <w:tc>
          <w:tcPr>
            <w:tcW w:w="410" w:type="dxa"/>
            <w:tcBorders/>
            <w:vAlign w:val="center"/>
          </w:tcPr>
          <w:p>
            <w:pPr>
              <w:pStyle w:val="PPTableBody"/>
              <w:keepNext/>
              <w:spacing w:before="10" w:after="10"/>
              <w:jc w:val="right"/>
            </w:pPr>
            <w:r>
              <w:t xml:space="preserve">+0.6</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618" w:type="dxa"/>
            <w:tcBorders/>
            <w:vAlign w:val="center"/>
          </w:tcPr>
          <w:p>
            <w:pPr>
              <w:pStyle w:val="PPTableBody"/>
              <w:keepNext/>
              <w:spacing w:before="10" w:after="10"/>
              <w:jc w:val="left"/>
            </w:pPr>
            <w:r>
              <w:t xml:space="preserve">OCCP, POBP</w:t>
            </w:r>
          </w:p>
        </w:tc>
        <w:tc>
          <w:tcPr>
            <w:tcW w:w="437" w:type="dxa"/>
            <w:tcBorders/>
            <w:vAlign w:val="center"/>
          </w:tcPr>
          <w:p>
            <w:pPr>
              <w:pStyle w:val="PPTableBody"/>
              <w:keepNext/>
              <w:spacing w:before="10" w:after="10"/>
              <w:jc w:val="left"/>
            </w:pPr>
            <w:r>
              <w:t xml:space="preserve">Cov.</w:t>
            </w:r>
          </w:p>
        </w:tc>
      </w:tr>
      <w:tr>
        <w:trPr>
          <w:cantSplit/>
        </w:trPr>
        <w:tc>
          <w:tcPr>
            <w:tcW w:w="728" w:type="dxa"/>
            <w:tcBorders/>
            <w:vAlign w:val="center"/>
          </w:tcPr>
          <w:p>
            <w:pPr>
              <w:pStyle w:val="PPTableBody"/>
              <w:keepNext/>
              <w:spacing w:before="10" w:after="10"/>
              <w:jc w:val="left"/>
            </w:pPr>
            <w:r>
              <w:t xml:space="preserve">CA 2017</w:t>
            </w:r>
          </w:p>
        </w:tc>
        <w:tc>
          <w:tcPr>
            <w:tcW w:w="480" w:type="dxa"/>
            <w:tcBorders/>
            <w:vAlign w:val="center"/>
          </w:tcPr>
          <w:p>
            <w:pPr>
              <w:pStyle w:val="PPTableBody"/>
              <w:keepNext/>
              <w:spacing w:before="10" w:after="10"/>
              <w:jc w:val="right"/>
            </w:pPr>
            <w:r>
              <w:t xml:space="preserve">0.817</w:t>
            </w:r>
          </w:p>
        </w:tc>
        <w:tc>
          <w:tcPr>
            <w:tcW w:w="427" w:type="dxa"/>
            <w:tcBorders/>
            <w:vAlign w:val="center"/>
          </w:tcPr>
          <w:p>
            <w:pPr>
              <w:pStyle w:val="PPTableBody"/>
              <w:keepNext/>
              <w:spacing w:before="10" w:after="10"/>
              <w:jc w:val="right"/>
            </w:pPr>
            <w:r>
              <w:t xml:space="preserve">−0.9</w:t>
            </w:r>
          </w:p>
        </w:tc>
        <w:tc>
          <w:tcPr>
            <w:tcW w:w="445" w:type="dxa"/>
            <w:tcBorders/>
            <w:vAlign w:val="center"/>
          </w:tcPr>
          <w:p>
            <w:pPr>
              <w:pStyle w:val="PPTableBody"/>
              <w:keepNext/>
              <w:spacing w:before="10" w:after="10"/>
              <w:jc w:val="right"/>
            </w:pPr>
            <w:r>
              <w:t xml:space="preserve">−0.9</w:t>
            </w:r>
          </w:p>
        </w:tc>
        <w:tc>
          <w:tcPr>
            <w:tcW w:w="410" w:type="dxa"/>
            <w:tcBorders/>
            <w:vAlign w:val="center"/>
          </w:tcPr>
          <w:p>
            <w:pPr>
              <w:pStyle w:val="PPTableBody"/>
              <w:keepNext/>
              <w:spacing w:before="10" w:after="10"/>
              <w:jc w:val="right"/>
            </w:pPr>
            <w:r>
              <w:t xml:space="preserve">+0.7</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618" w:type="dxa"/>
            <w:tcBorders/>
            <w:vAlign w:val="center"/>
          </w:tcPr>
          <w:p>
            <w:pPr>
              <w:pStyle w:val="PPTableBody"/>
              <w:keepNext/>
              <w:spacing w:before="10" w:after="10"/>
              <w:jc w:val="left"/>
            </w:pPr>
            <w:r>
              <w:t xml:space="preserve">OCCP, POBP</w:t>
            </w:r>
          </w:p>
        </w:tc>
        <w:tc>
          <w:tcPr>
            <w:tcW w:w="437" w:type="dxa"/>
            <w:tcBorders/>
            <w:vAlign w:val="center"/>
          </w:tcPr>
          <w:p>
            <w:pPr>
              <w:pStyle w:val="PPTableBody"/>
              <w:keepNext/>
              <w:spacing w:before="10" w:after="10"/>
              <w:jc w:val="left"/>
            </w:pPr>
            <w:r>
              <w:t xml:space="preserve">Cov.</w:t>
            </w:r>
          </w:p>
        </w:tc>
      </w:tr>
      <w:tr>
        <w:trPr>
          <w:cantSplit/>
        </w:trPr>
        <w:tc>
          <w:tcPr>
            <w:tcW w:w="728" w:type="dxa"/>
            <w:tcBorders/>
            <w:vAlign w:val="center"/>
          </w:tcPr>
          <w:p>
            <w:pPr>
              <w:pStyle w:val="PPTableBody"/>
              <w:keepNext/>
              <w:spacing w:before="10" w:after="10"/>
              <w:jc w:val="left"/>
            </w:pPr>
            <w:r>
              <w:t xml:space="preserve">CA 2018</w:t>
            </w:r>
          </w:p>
        </w:tc>
        <w:tc>
          <w:tcPr>
            <w:tcW w:w="480" w:type="dxa"/>
            <w:tcBorders/>
            <w:vAlign w:val="center"/>
          </w:tcPr>
          <w:p>
            <w:pPr>
              <w:pStyle w:val="PPTableBody"/>
              <w:keepNext/>
              <w:spacing w:before="10" w:after="10"/>
              <w:jc w:val="right"/>
            </w:pPr>
            <w:r>
              <w:t xml:space="preserve">0.795</w:t>
            </w:r>
          </w:p>
        </w:tc>
        <w:tc>
          <w:tcPr>
            <w:tcW w:w="427" w:type="dxa"/>
            <w:tcBorders/>
            <w:vAlign w:val="center"/>
          </w:tcPr>
          <w:p>
            <w:pPr>
              <w:pStyle w:val="PPTableBody"/>
              <w:keepNext/>
              <w:spacing w:before="10" w:after="10"/>
              <w:jc w:val="right"/>
            </w:pPr>
            <w:r>
              <w:t xml:space="preserve">−3.2</w:t>
            </w:r>
          </w:p>
        </w:tc>
        <w:tc>
          <w:tcPr>
            <w:tcW w:w="445" w:type="dxa"/>
            <w:tcBorders/>
            <w:vAlign w:val="center"/>
          </w:tcPr>
          <w:p>
            <w:pPr>
              <w:pStyle w:val="PPTableBody"/>
              <w:keepNext/>
              <w:spacing w:before="10" w:after="10"/>
              <w:jc w:val="right"/>
            </w:pPr>
            <w:r>
              <w:t xml:space="preserve">−2.2</w:t>
            </w:r>
          </w:p>
        </w:tc>
        <w:tc>
          <w:tcPr>
            <w:tcW w:w="410" w:type="dxa"/>
            <w:tcBorders/>
            <w:vAlign w:val="center"/>
          </w:tcPr>
          <w:p>
            <w:pPr>
              <w:pStyle w:val="PPTableBody"/>
              <w:keepNext/>
              <w:spacing w:before="10" w:after="10"/>
              <w:jc w:val="right"/>
            </w:pPr>
            <w:r>
              <w:t xml:space="preserve">+1.2</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618" w:type="dxa"/>
            <w:tcBorders/>
            <w:vAlign w:val="center"/>
          </w:tcPr>
          <w:p>
            <w:pPr>
              <w:pStyle w:val="PPTableBody"/>
              <w:keepNext/>
              <w:spacing w:before="10" w:after="10"/>
              <w:jc w:val="left"/>
            </w:pPr>
            <w:r>
              <w:t xml:space="preserve">OCCP, POBP</w:t>
            </w:r>
          </w:p>
        </w:tc>
        <w:tc>
          <w:tcPr>
            <w:tcW w:w="437" w:type="dxa"/>
            <w:tcBorders/>
            <w:vAlign w:val="center"/>
          </w:tcPr>
          <w:p>
            <w:pPr>
              <w:pStyle w:val="PPTableBody"/>
              <w:keepNext/>
              <w:spacing w:before="10" w:after="10"/>
              <w:jc w:val="left"/>
            </w:pPr>
            <w:r>
              <w:t xml:space="preserve">Cov.</w:t>
            </w:r>
          </w:p>
        </w:tc>
      </w:tr>
      <w:tr>
        <w:trPr>
          <w:cantSplit/>
        </w:trPr>
        <w:tc>
          <w:tcPr>
            <w:tcW w:w="728" w:type="dxa"/>
            <w:tcBorders/>
            <w:vAlign w:val="center"/>
          </w:tcPr>
          <w:p>
            <w:pPr>
              <w:pStyle w:val="PPTableBody"/>
              <w:keepNext/>
              <w:spacing w:before="10" w:after="10"/>
              <w:jc w:val="left"/>
            </w:pPr>
            <w:r>
              <w:t xml:space="preserve">CA 2019</w:t>
            </w:r>
          </w:p>
        </w:tc>
        <w:tc>
          <w:tcPr>
            <w:tcW w:w="480" w:type="dxa"/>
            <w:tcBorders/>
            <w:vAlign w:val="center"/>
          </w:tcPr>
          <w:p>
            <w:pPr>
              <w:pStyle w:val="PPTableBody"/>
              <w:keepNext/>
              <w:spacing w:before="10" w:after="10"/>
              <w:jc w:val="right"/>
            </w:pPr>
            <w:r>
              <w:t xml:space="preserve">0.784</w:t>
            </w:r>
          </w:p>
        </w:tc>
        <w:tc>
          <w:tcPr>
            <w:tcW w:w="427" w:type="dxa"/>
            <w:tcBorders/>
            <w:vAlign w:val="center"/>
          </w:tcPr>
          <w:p>
            <w:pPr>
              <w:pStyle w:val="PPTableBody"/>
              <w:keepNext/>
              <w:spacing w:before="10" w:after="10"/>
              <w:jc w:val="right"/>
            </w:pPr>
            <w:r>
              <w:t xml:space="preserve">−4.2</w:t>
            </w:r>
          </w:p>
        </w:tc>
        <w:tc>
          <w:tcPr>
            <w:tcW w:w="445" w:type="dxa"/>
            <w:tcBorders/>
            <w:vAlign w:val="center"/>
          </w:tcPr>
          <w:p>
            <w:pPr>
              <w:pStyle w:val="PPTableBody"/>
              <w:keepNext/>
              <w:spacing w:before="10" w:after="10"/>
              <w:jc w:val="right"/>
            </w:pPr>
            <w:r>
              <w:t xml:space="preserve">−3.0</w:t>
            </w:r>
          </w:p>
        </w:tc>
        <w:tc>
          <w:tcPr>
            <w:tcW w:w="410" w:type="dxa"/>
            <w:tcBorders/>
            <w:vAlign w:val="center"/>
          </w:tcPr>
          <w:p>
            <w:pPr>
              <w:pStyle w:val="PPTableBody"/>
              <w:keepNext/>
              <w:spacing w:before="10" w:after="10"/>
              <w:jc w:val="right"/>
            </w:pPr>
            <w:r>
              <w:t xml:space="preserve">+2.0</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618" w:type="dxa"/>
            <w:tcBorders/>
            <w:vAlign w:val="center"/>
          </w:tcPr>
          <w:p>
            <w:pPr>
              <w:pStyle w:val="PPTableBody"/>
              <w:keepNext/>
              <w:spacing w:before="10" w:after="10"/>
              <w:jc w:val="left"/>
            </w:pPr>
            <w:r>
              <w:t xml:space="preserve">OCCP, RELP</w:t>
            </w:r>
          </w:p>
        </w:tc>
        <w:tc>
          <w:tcPr>
            <w:tcW w:w="437" w:type="dxa"/>
            <w:tcBorders/>
            <w:vAlign w:val="center"/>
          </w:tcPr>
          <w:p>
            <w:pPr>
              <w:pStyle w:val="PPTableBody"/>
              <w:keepNext/>
              <w:spacing w:before="10" w:after="10"/>
              <w:jc w:val="left"/>
            </w:pPr>
            <w:r>
              <w:t xml:space="preserve">Cov.</w:t>
            </w:r>
          </w:p>
        </w:tc>
      </w:tr>
      <w:tr>
        <w:trPr>
          <w:cantSplit/>
        </w:trPr>
        <w:tc>
          <w:tcPr>
            <w:tcW w:w="728" w:type="dxa"/>
            <w:tcBorders/>
            <w:vAlign w:val="center"/>
          </w:tcPr>
          <w:p>
            <w:pPr>
              <w:pStyle w:val="PPTableBody"/>
              <w:keepNext/>
              <w:spacing w:before="10" w:after="10"/>
              <w:jc w:val="left"/>
            </w:pPr>
            <w:r>
              <w:t xml:space="preserve">CA 2021</w:t>
            </w:r>
          </w:p>
        </w:tc>
        <w:tc>
          <w:tcPr>
            <w:tcW w:w="480" w:type="dxa"/>
            <w:tcBorders/>
            <w:vAlign w:val="center"/>
          </w:tcPr>
          <w:p>
            <w:pPr>
              <w:pStyle w:val="PPTableBody"/>
              <w:keepNext/>
              <w:spacing w:before="10" w:after="10"/>
              <w:jc w:val="right"/>
            </w:pPr>
            <w:r>
              <w:t xml:space="preserve">0.770</w:t>
            </w:r>
          </w:p>
        </w:tc>
        <w:tc>
          <w:tcPr>
            <w:tcW w:w="427" w:type="dxa"/>
            <w:tcBorders/>
            <w:vAlign w:val="center"/>
          </w:tcPr>
          <w:p>
            <w:pPr>
              <w:pStyle w:val="PPTableBody"/>
              <w:keepNext/>
              <w:spacing w:before="10" w:after="10"/>
              <w:jc w:val="right"/>
            </w:pPr>
            <w:r>
              <w:t xml:space="preserve">−5.6</w:t>
            </w:r>
          </w:p>
        </w:tc>
        <w:tc>
          <w:tcPr>
            <w:tcW w:w="445" w:type="dxa"/>
            <w:tcBorders/>
            <w:vAlign w:val="center"/>
          </w:tcPr>
          <w:p>
            <w:pPr>
              <w:pStyle w:val="PPTableBody"/>
              <w:keepNext/>
              <w:spacing w:before="10" w:after="10"/>
              <w:jc w:val="right"/>
            </w:pPr>
            <w:r>
              <w:t xml:space="preserve">−4.4</w:t>
            </w:r>
          </w:p>
        </w:tc>
        <w:tc>
          <w:tcPr>
            <w:tcW w:w="410" w:type="dxa"/>
            <w:tcBorders/>
            <w:vAlign w:val="center"/>
          </w:tcPr>
          <w:p>
            <w:pPr>
              <w:pStyle w:val="PPTableBody"/>
              <w:keepNext/>
              <w:spacing w:before="10" w:after="10"/>
              <w:jc w:val="right"/>
            </w:pPr>
            <w:r>
              <w:t xml:space="preserve">+3.6</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618" w:type="dxa"/>
            <w:tcBorders/>
            <w:vAlign w:val="center"/>
          </w:tcPr>
          <w:p>
            <w:pPr>
              <w:pStyle w:val="PPTableBody"/>
              <w:keepNext/>
              <w:spacing w:before="10" w:after="10"/>
              <w:jc w:val="left"/>
            </w:pPr>
            <w:r>
              <w:t xml:space="preserve">OCCP, RAC1P</w:t>
            </w:r>
          </w:p>
        </w:tc>
        <w:tc>
          <w:tcPr>
            <w:tcW w:w="437" w:type="dxa"/>
            <w:tcBorders/>
            <w:vAlign w:val="center"/>
          </w:tcPr>
          <w:p>
            <w:pPr>
              <w:pStyle w:val="PPTableBody"/>
              <w:keepNext/>
              <w:spacing w:before="10" w:after="10"/>
              <w:jc w:val="left"/>
            </w:pPr>
            <w:r>
              <w:t xml:space="preserve">Cov.</w:t>
            </w:r>
          </w:p>
        </w:tc>
      </w:tr>
      <w:tr>
        <w:trPr>
          <w:cantSplit/>
        </w:trPr>
        <w:tc>
          <w:tcPr>
            <w:tcW w:w="728" w:type="dxa"/>
            <w:tcBorders/>
            <w:vAlign w:val="center"/>
          </w:tcPr>
          <w:p>
            <w:pPr>
              <w:pStyle w:val="PPTableBody"/>
              <w:keepNext/>
              <w:spacing w:before="10" w:after="10"/>
              <w:jc w:val="left"/>
            </w:pPr>
            <w:r>
              <w:t xml:space="preserve">CA 2022</w:t>
            </w:r>
          </w:p>
        </w:tc>
        <w:tc>
          <w:tcPr>
            <w:tcW w:w="480" w:type="dxa"/>
            <w:tcBorders/>
            <w:vAlign w:val="center"/>
          </w:tcPr>
          <w:p>
            <w:pPr>
              <w:pStyle w:val="PPTableBody"/>
              <w:keepNext/>
              <w:spacing w:before="10" w:after="10"/>
              <w:jc w:val="right"/>
            </w:pPr>
            <w:r>
              <w:t xml:space="preserve">0.760</w:t>
            </w:r>
          </w:p>
        </w:tc>
        <w:tc>
          <w:tcPr>
            <w:tcW w:w="427" w:type="dxa"/>
            <w:tcBorders/>
            <w:vAlign w:val="center"/>
          </w:tcPr>
          <w:p>
            <w:pPr>
              <w:pStyle w:val="PPTableBody"/>
              <w:keepNext/>
              <w:spacing w:before="10" w:after="10"/>
              <w:jc w:val="right"/>
            </w:pPr>
            <w:r>
              <w:t xml:space="preserve">−6.6</w:t>
            </w:r>
          </w:p>
        </w:tc>
        <w:tc>
          <w:tcPr>
            <w:tcW w:w="445" w:type="dxa"/>
            <w:tcBorders/>
            <w:vAlign w:val="center"/>
          </w:tcPr>
          <w:p>
            <w:pPr>
              <w:pStyle w:val="PPTableBody"/>
              <w:keepNext/>
              <w:spacing w:before="10" w:after="10"/>
              <w:jc w:val="right"/>
            </w:pPr>
            <w:r>
              <w:t xml:space="preserve">−5.1</w:t>
            </w:r>
          </w:p>
        </w:tc>
        <w:tc>
          <w:tcPr>
            <w:tcW w:w="410" w:type="dxa"/>
            <w:tcBorders/>
            <w:vAlign w:val="center"/>
          </w:tcPr>
          <w:p>
            <w:pPr>
              <w:pStyle w:val="PPTableBody"/>
              <w:keepNext/>
              <w:spacing w:before="10" w:after="10"/>
              <w:jc w:val="right"/>
            </w:pPr>
            <w:r>
              <w:t xml:space="preserve">+4.6</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618" w:type="dxa"/>
            <w:tcBorders/>
            <w:vAlign w:val="center"/>
          </w:tcPr>
          <w:p>
            <w:pPr>
              <w:pStyle w:val="PPTableBody"/>
              <w:keepNext/>
              <w:spacing w:before="10" w:after="10"/>
              <w:jc w:val="left"/>
            </w:pPr>
            <w:r>
              <w:t xml:space="preserve">OCCP, RAC1P</w:t>
            </w:r>
          </w:p>
        </w:tc>
        <w:tc>
          <w:tcPr>
            <w:tcW w:w="437" w:type="dxa"/>
            <w:tcBorders/>
            <w:vAlign w:val="center"/>
          </w:tcPr>
          <w:p>
            <w:pPr>
              <w:pStyle w:val="PPTableBody"/>
              <w:keepNext/>
              <w:spacing w:before="10" w:after="10"/>
              <w:jc w:val="left"/>
            </w:pPr>
            <w:r>
              <w:t xml:space="preserve">Cov.</w:t>
            </w:r>
          </w:p>
        </w:tc>
      </w:tr>
      <w:tr>
        <w:trPr>
          <w:cantSplit/>
        </w:trPr>
        <w:tc>
          <w:tcPr>
            <w:tcW w:w="728" w:type="dxa"/>
            <w:tcBorders/>
            <w:vAlign w:val="center"/>
          </w:tcPr>
          <w:p>
            <w:pPr>
              <w:pStyle w:val="PPTableBody"/>
              <w:keepNext/>
              <w:spacing w:before="10" w:after="10"/>
              <w:jc w:val="left"/>
            </w:pPr>
            <w:r>
              <w:t xml:space="preserve">CA 2023</w:t>
            </w:r>
          </w:p>
        </w:tc>
        <w:tc>
          <w:tcPr>
            <w:tcW w:w="480" w:type="dxa"/>
            <w:tcBorders/>
            <w:vAlign w:val="center"/>
          </w:tcPr>
          <w:p>
            <w:pPr>
              <w:pStyle w:val="PPTableBody"/>
              <w:keepNext/>
              <w:spacing w:before="10" w:after="10"/>
              <w:jc w:val="right"/>
            </w:pPr>
            <w:r>
              <w:t xml:space="preserve">0.749</w:t>
            </w:r>
          </w:p>
        </w:tc>
        <w:tc>
          <w:tcPr>
            <w:tcW w:w="427" w:type="dxa"/>
            <w:tcBorders/>
            <w:vAlign w:val="center"/>
          </w:tcPr>
          <w:p>
            <w:pPr>
              <w:pStyle w:val="PPTableBody"/>
              <w:keepNext/>
              <w:spacing w:before="10" w:after="10"/>
              <w:jc w:val="right"/>
            </w:pPr>
            <w:r>
              <w:t xml:space="preserve">−7.7</w:t>
            </w:r>
          </w:p>
        </w:tc>
        <w:tc>
          <w:tcPr>
            <w:tcW w:w="445" w:type="dxa"/>
            <w:tcBorders/>
            <w:vAlign w:val="center"/>
          </w:tcPr>
          <w:p>
            <w:pPr>
              <w:pStyle w:val="PPTableBody"/>
              <w:keepNext/>
              <w:spacing w:before="10" w:after="10"/>
              <w:jc w:val="right"/>
            </w:pPr>
            <w:r>
              <w:t xml:space="preserve">−6.1</w:t>
            </w:r>
          </w:p>
        </w:tc>
        <w:tc>
          <w:tcPr>
            <w:tcW w:w="410" w:type="dxa"/>
            <w:tcBorders/>
            <w:vAlign w:val="center"/>
          </w:tcPr>
          <w:p>
            <w:pPr>
              <w:pStyle w:val="PPTableBody"/>
              <w:keepNext/>
              <w:spacing w:before="10" w:after="10"/>
              <w:jc w:val="right"/>
            </w:pPr>
            <w:r>
              <w:t xml:space="preserve">+5.7</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618" w:type="dxa"/>
            <w:tcBorders/>
            <w:vAlign w:val="center"/>
          </w:tcPr>
          <w:p>
            <w:pPr>
              <w:pStyle w:val="PPTableBody"/>
              <w:keepNext/>
              <w:spacing w:before="10" w:after="10"/>
              <w:jc w:val="left"/>
            </w:pPr>
            <w:r>
              <w:t xml:space="preserve">OCCP, RAC1P</w:t>
            </w:r>
          </w:p>
        </w:tc>
        <w:tc>
          <w:tcPr>
            <w:tcW w:w="437" w:type="dxa"/>
            <w:tcBorders/>
            <w:vAlign w:val="center"/>
          </w:tcPr>
          <w:p>
            <w:pPr>
              <w:pStyle w:val="PPTableBody"/>
              <w:keepNext/>
              <w:spacing w:before="10" w:after="10"/>
              <w:jc w:val="left"/>
            </w:pPr>
            <w:r>
              <w:t xml:space="preserve">Cov.</w:t>
            </w:r>
          </w:p>
        </w:tc>
      </w:tr>
      <w:tr>
        <w:trPr>
          <w:cantSplit/>
        </w:trPr>
        <w:tc>
          <w:tcPr>
            <w:tcW w:w="728" w:type="dxa"/>
            <w:tcBorders/>
            <w:vAlign w:val="center"/>
          </w:tcPr>
          <w:p>
            <w:pPr>
              <w:pStyle w:val="PPTableBody"/>
              <w:keepNext/>
              <w:spacing w:before="10" w:after="10"/>
              <w:jc w:val="left"/>
            </w:pPr>
            <w:r>
              <w:t xml:space="preserve">TX 2014</w:t>
            </w:r>
          </w:p>
        </w:tc>
        <w:tc>
          <w:tcPr>
            <w:tcW w:w="480" w:type="dxa"/>
            <w:tcBorders/>
            <w:vAlign w:val="center"/>
          </w:tcPr>
          <w:p>
            <w:pPr>
              <w:pStyle w:val="PPTableBody"/>
              <w:keepNext/>
              <w:spacing w:before="10" w:after="10"/>
              <w:jc w:val="right"/>
            </w:pPr>
            <w:r>
              <w:t xml:space="preserve">0.802</w:t>
            </w:r>
          </w:p>
        </w:tc>
        <w:tc>
          <w:tcPr>
            <w:tcW w:w="427" w:type="dxa"/>
            <w:tcBorders/>
            <w:vAlign w:val="center"/>
          </w:tcPr>
          <w:p>
            <w:pPr>
              <w:pStyle w:val="PPTableBody"/>
              <w:keepNext/>
              <w:spacing w:before="10" w:after="10"/>
              <w:jc w:val="right"/>
            </w:pPr>
            <w:r>
              <w:t xml:space="preserve">−2.4</w:t>
            </w:r>
          </w:p>
        </w:tc>
        <w:tc>
          <w:tcPr>
            <w:tcW w:w="445" w:type="dxa"/>
            <w:tcBorders/>
            <w:vAlign w:val="center"/>
          </w:tcPr>
          <w:p>
            <w:pPr>
              <w:pStyle w:val="PPTableBody"/>
              <w:keepNext/>
              <w:spacing w:before="10" w:after="10"/>
              <w:jc w:val="right"/>
            </w:pPr>
            <w:r>
              <w:t xml:space="preserve">−2.7</w:t>
            </w:r>
          </w:p>
        </w:tc>
        <w:tc>
          <w:tcPr>
            <w:tcW w:w="410" w:type="dxa"/>
            <w:tcBorders/>
            <w:vAlign w:val="center"/>
          </w:tcPr>
          <w:p>
            <w:pPr>
              <w:pStyle w:val="PPTableBody"/>
              <w:keepNext/>
              <w:spacing w:before="10" w:after="10"/>
              <w:jc w:val="right"/>
            </w:pPr>
            <w:r>
              <w:t xml:space="preserve">+1.1</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618" w:type="dxa"/>
            <w:tcBorders/>
            <w:vAlign w:val="center"/>
          </w:tcPr>
          <w:p>
            <w:pPr>
              <w:pStyle w:val="PPTableBody"/>
              <w:keepNext/>
              <w:spacing w:before="10" w:after="10"/>
              <w:jc w:val="left"/>
            </w:pPr>
            <w:r>
              <w:t xml:space="preserve">POBP, RAC1P</w:t>
            </w:r>
          </w:p>
        </w:tc>
        <w:tc>
          <w:tcPr>
            <w:tcW w:w="437" w:type="dxa"/>
            <w:tcBorders/>
            <w:vAlign w:val="center"/>
          </w:tcPr>
          <w:p>
            <w:pPr>
              <w:pStyle w:val="PPTableBody"/>
              <w:keepNext/>
              <w:spacing w:before="10" w:after="10"/>
              <w:jc w:val="left"/>
            </w:pPr>
            <w:r>
              <w:t xml:space="preserve">Cov.</w:t>
            </w:r>
          </w:p>
        </w:tc>
      </w:tr>
      <w:tr>
        <w:trPr>
          <w:cantSplit/>
        </w:trPr>
        <w:tc>
          <w:tcPr>
            <w:tcW w:w="728" w:type="dxa"/>
            <w:tcBorders/>
            <w:vAlign w:val="center"/>
          </w:tcPr>
          <w:p>
            <w:pPr>
              <w:pStyle w:val="PPTableBody"/>
              <w:keepNext/>
              <w:spacing w:before="10" w:after="10"/>
              <w:jc w:val="left"/>
            </w:pPr>
            <w:r>
              <w:t xml:space="preserve">NY 2014</w:t>
            </w:r>
          </w:p>
        </w:tc>
        <w:tc>
          <w:tcPr>
            <w:tcW w:w="480" w:type="dxa"/>
            <w:tcBorders/>
            <w:vAlign w:val="center"/>
          </w:tcPr>
          <w:p>
            <w:pPr>
              <w:pStyle w:val="PPTableBody"/>
              <w:keepNext/>
              <w:spacing w:before="10" w:after="10"/>
              <w:jc w:val="right"/>
            </w:pPr>
            <w:r>
              <w:t xml:space="preserve">0.804</w:t>
            </w:r>
          </w:p>
        </w:tc>
        <w:tc>
          <w:tcPr>
            <w:tcW w:w="427" w:type="dxa"/>
            <w:tcBorders/>
            <w:vAlign w:val="center"/>
          </w:tcPr>
          <w:p>
            <w:pPr>
              <w:pStyle w:val="PPTableBody"/>
              <w:keepNext/>
              <w:spacing w:before="10" w:after="10"/>
              <w:jc w:val="right"/>
            </w:pPr>
            <w:r>
              <w:t xml:space="preserve">−2.2</w:t>
            </w:r>
          </w:p>
        </w:tc>
        <w:tc>
          <w:tcPr>
            <w:tcW w:w="445" w:type="dxa"/>
            <w:tcBorders/>
            <w:vAlign w:val="center"/>
          </w:tcPr>
          <w:p>
            <w:pPr>
              <w:pStyle w:val="PPTableBody"/>
              <w:keepNext/>
              <w:spacing w:before="10" w:after="10"/>
              <w:jc w:val="right"/>
            </w:pPr>
            <w:r>
              <w:t xml:space="preserve">−2.7</w:t>
            </w:r>
          </w:p>
        </w:tc>
        <w:tc>
          <w:tcPr>
            <w:tcW w:w="410" w:type="dxa"/>
            <w:tcBorders/>
            <w:vAlign w:val="center"/>
          </w:tcPr>
          <w:p>
            <w:pPr>
              <w:pStyle w:val="PPTableBody"/>
              <w:keepNext/>
              <w:spacing w:before="10" w:after="10"/>
              <w:jc w:val="right"/>
            </w:pPr>
            <w:r>
              <w:t xml:space="preserve">+0.8</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618" w:type="dxa"/>
            <w:tcBorders/>
            <w:vAlign w:val="center"/>
          </w:tcPr>
          <w:p>
            <w:pPr>
              <w:pStyle w:val="PPTableBody"/>
              <w:keepNext/>
              <w:spacing w:before="10" w:after="10"/>
              <w:jc w:val="left"/>
            </w:pPr>
            <w:r>
              <w:t xml:space="preserve">POBP, RAC1P</w:t>
            </w:r>
          </w:p>
        </w:tc>
        <w:tc>
          <w:tcPr>
            <w:tcW w:w="437" w:type="dxa"/>
            <w:tcBorders/>
            <w:vAlign w:val="center"/>
          </w:tcPr>
          <w:p>
            <w:pPr>
              <w:pStyle w:val="PPTableBody"/>
              <w:keepNext/>
              <w:spacing w:before="10" w:after="10"/>
              <w:jc w:val="left"/>
            </w:pPr>
            <w:r>
              <w:t xml:space="preserve">Cov.</w:t>
            </w:r>
          </w:p>
        </w:tc>
      </w:tr>
      <w:tr>
        <w:trPr>
          <w:cantSplit/>
        </w:trPr>
        <w:tc>
          <w:tcPr>
            <w:tcW w:w="728" w:type="dxa"/>
            <w:tcBorders/>
            <w:vAlign w:val="center"/>
          </w:tcPr>
          <w:p>
            <w:pPr>
              <w:pStyle w:val="PPTableBody"/>
              <w:keepNext/>
              <w:spacing w:before="10" w:after="10"/>
              <w:jc w:val="left"/>
            </w:pPr>
            <w:r>
              <w:t xml:space="preserve">FL 2014</w:t>
            </w:r>
          </w:p>
        </w:tc>
        <w:tc>
          <w:tcPr>
            <w:tcW w:w="480" w:type="dxa"/>
            <w:tcBorders/>
            <w:vAlign w:val="center"/>
          </w:tcPr>
          <w:p>
            <w:pPr>
              <w:pStyle w:val="PPTableBody"/>
              <w:keepNext/>
              <w:spacing w:before="10" w:after="10"/>
              <w:jc w:val="right"/>
            </w:pPr>
            <w:r>
              <w:t xml:space="preserve">0.786</w:t>
            </w:r>
          </w:p>
        </w:tc>
        <w:tc>
          <w:tcPr>
            <w:tcW w:w="427" w:type="dxa"/>
            <w:tcBorders/>
            <w:vAlign w:val="center"/>
          </w:tcPr>
          <w:p>
            <w:pPr>
              <w:pStyle w:val="PPTableBody"/>
              <w:keepNext/>
              <w:spacing w:before="10" w:after="10"/>
              <w:jc w:val="right"/>
            </w:pPr>
            <w:r>
              <w:t xml:space="preserve">−4.0</w:t>
            </w:r>
          </w:p>
        </w:tc>
        <w:tc>
          <w:tcPr>
            <w:tcW w:w="445" w:type="dxa"/>
            <w:tcBorders/>
            <w:vAlign w:val="center"/>
          </w:tcPr>
          <w:p>
            <w:pPr>
              <w:pStyle w:val="PPTableBody"/>
              <w:keepNext/>
              <w:spacing w:before="10" w:after="10"/>
              <w:jc w:val="right"/>
            </w:pPr>
            <w:r>
              <w:t xml:space="preserve">−4.3</w:t>
            </w:r>
          </w:p>
        </w:tc>
        <w:tc>
          <w:tcPr>
            <w:tcW w:w="410" w:type="dxa"/>
            <w:tcBorders/>
            <w:vAlign w:val="center"/>
          </w:tcPr>
          <w:p>
            <w:pPr>
              <w:pStyle w:val="PPTableBody"/>
              <w:keepNext/>
              <w:spacing w:before="10" w:after="10"/>
              <w:jc w:val="right"/>
            </w:pPr>
            <w:r>
              <w:t xml:space="preserve">+2.2</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300" w:type="dxa"/>
            <w:tcBorders/>
            <w:vAlign w:val="center"/>
          </w:tcPr>
          <w:p>
            <w:pPr>
              <w:pStyle w:val="PPTableBody"/>
              <w:keepNext/>
              <w:spacing w:before="10" w:after="10"/>
              <w:jc w:val="center"/>
            </w:pPr>
            <w:r>
              <w:t xml:space="preserve">✓</w:t>
            </w:r>
          </w:p>
        </w:tc>
        <w:tc>
          <w:tcPr>
            <w:tcW w:w="618" w:type="dxa"/>
            <w:tcBorders/>
            <w:vAlign w:val="center"/>
          </w:tcPr>
          <w:p>
            <w:pPr>
              <w:pStyle w:val="PPTableBody"/>
              <w:keepNext/>
              <w:spacing w:before="10" w:after="10"/>
              <w:jc w:val="left"/>
            </w:pPr>
            <w:r>
              <w:t xml:space="preserve">POBP, RAC1P</w:t>
            </w:r>
          </w:p>
        </w:tc>
        <w:tc>
          <w:tcPr>
            <w:tcW w:w="437" w:type="dxa"/>
            <w:tcBorders/>
            <w:vAlign w:val="center"/>
          </w:tcPr>
          <w:p>
            <w:pPr>
              <w:pStyle w:val="PPTableBody"/>
              <w:keepNext/>
              <w:spacing w:before="10" w:after="10"/>
              <w:jc w:val="left"/>
            </w:pPr>
            <w:r>
              <w:t xml:space="preserve">Cov.</w:t>
            </w:r>
          </w:p>
        </w:tc>
      </w:tr>
      <w:tr>
        <w:trPr>
          <w:cantSplit/>
        </w:trPr>
        <w:tc>
          <w:tcPr>
            <w:tcW w:w="728" w:type="dxa"/>
            <w:tcBorders>
              <w:bottom w:val="single" w:sz="8" w:space="0" w:color="auto"/>
            </w:tcBorders>
            <w:vAlign w:val="center"/>
          </w:tcPr>
          <w:p>
            <w:pPr>
              <w:pStyle w:val="PPTableBody"/>
              <w:spacing w:before="10" w:after="10"/>
              <w:jc w:val="left"/>
            </w:pPr>
            <w:r>
              <w:t xml:space="preserve">WA 2014</w:t>
            </w:r>
          </w:p>
        </w:tc>
        <w:tc>
          <w:tcPr>
            <w:tcW w:w="480" w:type="dxa"/>
            <w:tcBorders>
              <w:bottom w:val="single" w:sz="8" w:space="0" w:color="auto"/>
            </w:tcBorders>
            <w:vAlign w:val="center"/>
          </w:tcPr>
          <w:p>
            <w:pPr>
              <w:pStyle w:val="PPTableBody"/>
              <w:spacing w:before="10" w:after="10"/>
              <w:jc w:val="right"/>
            </w:pPr>
            <w:r>
              <w:t xml:space="preserve">0.801</w:t>
            </w:r>
          </w:p>
        </w:tc>
        <w:tc>
          <w:tcPr>
            <w:tcW w:w="427" w:type="dxa"/>
            <w:tcBorders>
              <w:bottom w:val="single" w:sz="8" w:space="0" w:color="auto"/>
            </w:tcBorders>
            <w:vAlign w:val="center"/>
          </w:tcPr>
          <w:p>
            <w:pPr>
              <w:pStyle w:val="PPTableBody"/>
              <w:spacing w:before="10" w:after="10"/>
              <w:jc w:val="right"/>
            </w:pPr>
            <w:r>
              <w:t xml:space="preserve">−2.5</w:t>
            </w:r>
          </w:p>
        </w:tc>
        <w:tc>
          <w:tcPr>
            <w:tcW w:w="445" w:type="dxa"/>
            <w:tcBorders>
              <w:bottom w:val="single" w:sz="8" w:space="0" w:color="auto"/>
            </w:tcBorders>
            <w:vAlign w:val="center"/>
          </w:tcPr>
          <w:p>
            <w:pPr>
              <w:pStyle w:val="PPTableBody"/>
              <w:spacing w:before="10" w:after="10"/>
              <w:jc w:val="right"/>
            </w:pPr>
            <w:r>
              <w:t xml:space="preserve">−2.5</w:t>
            </w:r>
          </w:p>
        </w:tc>
        <w:tc>
          <w:tcPr>
            <w:tcW w:w="410" w:type="dxa"/>
            <w:tcBorders>
              <w:bottom w:val="single" w:sz="8" w:space="0" w:color="auto"/>
            </w:tcBorders>
            <w:vAlign w:val="center"/>
          </w:tcPr>
          <w:p>
            <w:pPr>
              <w:pStyle w:val="PPTableBody"/>
              <w:spacing w:before="10" w:after="10"/>
              <w:jc w:val="right"/>
            </w:pPr>
            <w:r>
              <w:t xml:space="preserve">+0.9</w:t>
            </w:r>
          </w:p>
        </w:tc>
        <w:tc>
          <w:tcPr>
            <w:tcW w:w="300" w:type="dxa"/>
            <w:tcBorders>
              <w:bottom w:val="single" w:sz="8" w:space="0" w:color="auto"/>
            </w:tcBorders>
            <w:vAlign w:val="center"/>
          </w:tcPr>
          <w:p>
            <w:pPr>
              <w:pStyle w:val="PPTableBody"/>
              <w:spacing w:before="10" w:after="10"/>
              <w:jc w:val="center"/>
            </w:pPr>
            <w:r>
              <w:t xml:space="preserve">✓</w:t>
            </w:r>
          </w:p>
        </w:tc>
        <w:tc>
          <w:tcPr>
            <w:tcW w:w="300" w:type="dxa"/>
            <w:tcBorders>
              <w:bottom w:val="single" w:sz="8" w:space="0" w:color="auto"/>
            </w:tcBorders>
            <w:vAlign w:val="center"/>
          </w:tcPr>
          <w:p>
            <w:pPr>
              <w:pStyle w:val="PPTableBody"/>
              <w:spacing w:before="10" w:after="10"/>
              <w:jc w:val="center"/>
            </w:pPr>
            <w:r>
              <w:t xml:space="preserve">✓</w:t>
            </w:r>
          </w:p>
        </w:tc>
        <w:tc>
          <w:tcPr>
            <w:tcW w:w="300" w:type="dxa"/>
            <w:tcBorders>
              <w:bottom w:val="single" w:sz="8" w:space="0" w:color="auto"/>
            </w:tcBorders>
            <w:vAlign w:val="center"/>
          </w:tcPr>
          <w:p>
            <w:pPr>
              <w:pStyle w:val="PPTableBody"/>
              <w:spacing w:before="10" w:after="10"/>
              <w:jc w:val="center"/>
            </w:pPr>
            <w:r>
              <w:t xml:space="preserve">✓</w:t>
            </w:r>
          </w:p>
        </w:tc>
        <w:tc>
          <w:tcPr>
            <w:tcW w:w="300" w:type="dxa"/>
            <w:tcBorders>
              <w:bottom w:val="single" w:sz="8" w:space="0" w:color="auto"/>
            </w:tcBorders>
            <w:vAlign w:val="center"/>
          </w:tcPr>
          <w:p>
            <w:pPr>
              <w:pStyle w:val="PPTableBody"/>
              <w:spacing w:before="10" w:after="10"/>
              <w:jc w:val="center"/>
            </w:pPr>
            <w:r>
              <w:t xml:space="preserve">✓</w:t>
            </w:r>
          </w:p>
        </w:tc>
        <w:tc>
          <w:tcPr>
            <w:tcW w:w="300" w:type="dxa"/>
            <w:tcBorders>
              <w:bottom w:val="single" w:sz="8" w:space="0" w:color="auto"/>
            </w:tcBorders>
            <w:vAlign w:val="center"/>
          </w:tcPr>
          <w:p>
            <w:pPr>
              <w:pStyle w:val="PPTableBody"/>
              <w:spacing w:before="10" w:after="10"/>
              <w:jc w:val="center"/>
            </w:pPr>
            <w:r>
              <w:t xml:space="preserve">✓</w:t>
            </w:r>
          </w:p>
        </w:tc>
        <w:tc>
          <w:tcPr>
            <w:tcW w:w="618" w:type="dxa"/>
            <w:tcBorders>
              <w:bottom w:val="single" w:sz="8" w:space="0" w:color="auto"/>
            </w:tcBorders>
            <w:vAlign w:val="center"/>
          </w:tcPr>
          <w:p>
            <w:pPr>
              <w:pStyle w:val="PPTableBody"/>
              <w:spacing w:before="10" w:after="10"/>
              <w:jc w:val="left"/>
            </w:pPr>
            <w:r>
              <w:t xml:space="preserve">POBP, RAC1P</w:t>
            </w:r>
          </w:p>
        </w:tc>
        <w:tc>
          <w:tcPr>
            <w:tcW w:w="437" w:type="dxa"/>
            <w:tcBorders>
              <w:bottom w:val="single" w:sz="8" w:space="0" w:color="auto"/>
            </w:tcBorders>
            <w:vAlign w:val="center"/>
          </w:tcPr>
          <w:p>
            <w:pPr>
              <w:pStyle w:val="PPTableBody"/>
              <w:spacing w:before="10" w:after="10"/>
              <w:jc w:val="left"/>
            </w:pPr>
            <w:r>
              <w:t xml:space="preserve">Cov.</w:t>
            </w:r>
          </w:p>
        </w:tc>
      </w:tr>
    </w:tbl>
    <w:p>
      <w:pPr>
        <w:spacing w:after="0" w:line="160" w:lineRule="exact"/>
      </w:pPr>
    </w:p>
    <w:p>
      <w:pPr>
        <w:pStyle w:val="PPBodyMainText"/>
      </w:pPr>
      <w:r>
        <w:t xml:space="preserve">Δ is the accuracy change in points and Est. err. the error of the CBPE estimate. A tick marks an alarm. Type is the verdict of the diagnosis, which is the same for LR and GB in every window (Cov. denotes covariate shift). Top shifts lists the two features with the largest effect size: occupation (OCCP), place of birth (POBP), relationship (RELP) and race (RAC1P).</w:t>
      </w:r>
    </w:p>
    <w:p>
      <w:pPr>
        <w:pStyle w:val="PPBodyMainText"/>
      </w:pPr>
      <w:r>
        <w:t xml:space="preserve">The control window raises no alarm with either model. CA 2015, whose accuracy did not change significantly, is diagnosed as no drift by both models, while every other window is diagnosed as covariate shift. The documented events appear in the localization. When the occupation codes were revised in 2018, 26.6% of rows carried a code never seen in 2014. The model’s reliance on occupation then fell (SHAP change −0.032). After the relationship question was redesigned in 2019, relationship shifts with an effect size of 0.091. From 2021 onward race shifts with an effect size of 0.186, following the change in how the Census Bureau codes written race answers </w:t>
      </w:r>
      <w:r>
        <w:t xml:space="preserve">[34]</w:t>
      </w:r>
      <w:r>
        <w:t xml:space="preserve">. Wage growth against the fixed threshold shows up in the labels. The share of positive labels rises from 0.355 in the control window to 0.498 in 2023, while the model predicts only 0.338. Part of the 2023 loss is therefore a change in the labeling rule, which no label-free test can see.</w:t>
      </w:r>
    </w:p>
    <w:p>
      <w:pPr>
        <w:pStyle w:val="PPBodyMainText"/>
      </w:pPr>
      <w:r>
        <w:t xml:space="preserve">The other datasets differ in how much the drift costs. On ACS Employment every window is diagnosed as covariate shift, yet accuracy changes by at most 2.2 points with LR. The inputs do move, including relationship in 2019 and race from 2021, but the model is barely affected. A drift alarm alone would overstate the problem here, whereas the accuracy estimate and the audit put it in proportion. Every gas sensor batch is also diagnosed as covariate shift. With LR, accuracy changes by −65.2 points in batch 8. This matches the known cause: aging sensors change </w:t>
      </w:r>
      <m:oMath>
        <m:r>
          <m:t>P</m:t>
        </m:r>
        <m:r>
          <m:rPr>
            <m:sty m:val="p"/>
          </m:rPr>
          <m:t>(</m:t>
        </m:r>
        <m:r>
          <m:t>X</m:t>
        </m:r>
        <m:r>
          <m:rPr>
            <m:sty m:val="p"/>
          </m:rPr>
          <m:t>∣</m:t>
        </m:r>
        <m:r>
          <m:t>Y</m:t>
        </m:r>
        <m:r>
          <m:rPr>
            <m:sty m:val="p"/>
          </m:rPr>
          <m:t>)</m:t>
        </m:r>
      </m:oMath>
      <w:r>
        <w:t xml:space="preserve">. BBSE first labels every one of these batches as a prior shift because the predicted labels move as well, but the consistency test shows that they move because the sensors read differently, not because the mix of gases changed.</w:t>
      </w:r>
    </w:p>
    <w:p>
      <w:pPr>
        <w:pStyle w:val="PPBodyMainText"/>
      </w:pPr>
      <w:r>
        <w:t xml:space="preserve">On CLEAR-10 the change is subtle. Both models report no drift in buckets 2 and 3 and covariate shift in buckets 4, 5, 6, 7, 8, 9 and 10. In buckets 4, 5, 6 and 9 no single embedding dimension shifts significantly with LR. Only the MMD test detects the change, while the predicted labels stay put. These buckets show why the multivariate block is needed. The only detector alarm on a control window comes from the domain classifier baseline on CLEAR-10 (</w:t>
      </w:r>
      <m:oMath>
        <m:r>
          <m:t>p</m:t>
        </m:r>
        <m:r>
          <m:rPr>
            <m:sty m:val="p"/>
          </m:rPr>
          <m:t>=</m:t>
        </m:r>
        <m:r>
          <m:t>0.034</m:t>
        </m:r>
      </m:oMath>
      <w:r>
        <w:t xml:space="preserve">), a false alarm of the kind that </w:t>
      </w:r>
      <m:oMath>
        <m:r>
          <m:t>α</m:t>
        </m:r>
      </m:oMath>
      <w:r>
        <w:t xml:space="preserve"> allows.</w:t>
      </w:r>
    </w:p>
    <w:p>
      <w:pPr>
        <w:pStyle w:val="PPHeading"/>
        <w:keepNext/>
      </w:pPr>
      <w:r>
        <w:t xml:space="preserve">5.5 Reliability and triage</w:t>
      </w:r>
    </w:p>
    <w:p>
      <w:pPr>
        <w:pStyle w:val="PPBodyMainText"/>
        <w:ind w:firstLine="0"/>
      </w:pPr>
      <w:r>
        <w:t xml:space="preserve">The last two stages score individual predictions and advise on retraining. The fused risk score is judged by how well it ranks wrong predictions. Where the fusion is learned, on ACS and CLEAR-10, its area under the receiver operating characteristic curve (AUROC) differs from that of confidence alone by −0.012 to +0.001 over 72 windows and by −0.002 to +0.009 on the benchmark. On the gas sensor array the calibration part contains too few wrong predictions (4 with LR and 11 with GB), so the risk falls back to confidence. Confidence alone already carries most of the information about a single prediction.</w:t>
      </w:r>
    </w:p>
    <w:p>
      <w:pPr>
        <w:pStyle w:val="PPBodyMainText"/>
      </w:pPr>
      <w:r>
        <w:t xml:space="preserve">A retrain truly helps when retraining with importance weights or on the latest labeled window significantly raises holdout accuracy. Over 82 real settings (Table </w:t>
      </w:r>
      <w:r>
        <w:t xml:space="preserve">S1</w:t>
      </w:r>
      <w:r>
        <w:t xml:space="preserve"> in the Supplement), the triage is right in 54 of the 58 settings that have an earlier labeled window, because its recent-window probe is validated on real labels. Without one it relies on importance-weighted validation and is right in 23 of 24 settings, but mostly by advising against retraining, since one truly helped in only 2 of them. On the benchmark its recall is 6%, because importance-weighted validation cannot see gains outside the reference data.</w:t>
      </w:r>
    </w:p>
    <w:p>
      <w:pPr>
        <w:pStyle w:val="PPBodyMainText"/>
      </w:pPr>
      <w:r>
        <w:t xml:space="preserve">Every stage writes its results to one file, which an interactive dashboard presents to the monitoring team as a step-by-step report for each study. Fig. </w:t>
      </w:r>
      <w:r>
        <w:t xml:space="preserve">S2</w:t>
      </w:r>
      <w:r>
        <w:t xml:space="preserve"> in the Supplement shows its overview and the drift type step for ACS Income.</w:t>
      </w:r>
    </w:p>
    <w:p>
      <w:pPr>
        <w:pStyle w:val="PPHeading"/>
        <w:keepNext/>
      </w:pPr>
      <w:r>
        <w:t xml:space="preserve">6 Discussion</w:t>
      </w:r>
    </w:p>
    <w:p>
      <w:pPr>
        <w:pStyle w:val="PPBodyMainText"/>
        <w:ind w:firstLine="0"/>
      </w:pPr>
      <w:r>
        <w:t xml:space="preserve">The results support the central claim. A diagnosis built from tests of the type definitions transfers to drift it was not designed for, whereas a learned rule does not. The cost is a small label audit, needed only for concept drift and label noise.</w:t>
      </w:r>
    </w:p>
    <w:p>
      <w:pPr>
        <w:pStyle w:val="PPBodyMainText"/>
      </w:pPr>
      <w:r>
        <w:t xml:space="preserve">Several limitations qualify these findings. Each benchmark window contains a single type, while real windows such as ACS Income 2023 mix several. The four types are also an idealization: sensor aging changes </w:t>
      </w:r>
      <m:oMath>
        <m:r>
          <m:t>P</m:t>
        </m:r>
        <m:r>
          <m:rPr>
            <m:sty m:val="p"/>
          </m:rPr>
          <m:t>(</m:t>
        </m:r>
        <m:r>
          <m:t>X</m:t>
        </m:r>
        <m:r>
          <m:rPr>
            <m:sty m:val="p"/>
          </m:rPr>
          <m:t>∣</m:t>
        </m:r>
        <m:r>
          <m:t>Y</m:t>
        </m:r>
        <m:r>
          <m:rPr>
            <m:sty m:val="p"/>
          </m:rPr>
          <m:t>)</m:t>
        </m:r>
      </m:oMath>
      <w:r>
        <w:t xml:space="preserve"> and, through it, </w:t>
      </w:r>
      <m:oMath>
        <m:r>
          <m:t>P</m:t>
        </m:r>
        <m:r>
          <m:rPr>
            <m:sty m:val="p"/>
          </m:rPr>
          <m:t>(</m:t>
        </m:r>
        <m:r>
          <m:t>Y</m:t>
        </m:r>
        <m:r>
          <m:rPr>
            <m:sty m:val="p"/>
          </m:rPr>
          <m:t>∣</m:t>
        </m:r>
        <m:r>
          <m:t>X</m:t>
        </m:r>
        <m:r>
          <m:rPr>
            <m:sty m:val="p"/>
          </m:rPr>
          <m:t>)</m:t>
        </m:r>
      </m:oMath>
      <w:r>
        <w:t xml:space="preserve">, yet our procedure reports it as covariate shift. Design B reduces, but cannot eliminate, the risk that the benchmark favors the tests. The weighted residual tests also ignore the sampling error of the BBSE weights. With hundreds of thousands of rows even small shifts become significant, which is why effect sizes are reported next to every decision. Deep models trained end to end, text and streaming data are not covered.</w:t>
      </w:r>
    </w:p>
    <w:p>
      <w:pPr>
        <w:pStyle w:val="PPHeading"/>
        <w:keepNext/>
      </w:pPr>
      <w:r>
        <w:t xml:space="preserve">7 Conclusions</w:t>
      </w:r>
    </w:p>
    <w:p>
      <w:pPr>
        <w:pStyle w:val="PPBodyMainText"/>
        <w:ind w:firstLine="0"/>
      </w:pPr>
      <w:r>
        <w:t xml:space="preserve">We showed that the drift type, which determines the response, can be identified by hypothesis tests with a stated error rate from label-free tests and a few hundred late labels. On injected drift the procedure outperforms rules from monitoring practice and the label shift literature, works for both model families and, unlike a learned meta-classifier, transfers to held-out drift. On real drift it reported no drift on any control window and traced documented events, from new occupation codes to aging sensors.</w:t>
      </w:r>
    </w:p>
    <w:p>
      <w:pPr>
        <w:pStyle w:val="PPBodyMainText"/>
      </w:pPr>
      <w:r>
        <w:t xml:space="preserve">Drift that leaves accuracy intact passes the audit unnoticed, while class-conditional label noise is often read as concept drift. Future work will condition the audit on the full model output, model the sampling error of the BBSE weights and test mixed drift.</w:t>
      </w:r>
    </w:p>
    <w:p>
      <w:pPr>
        <w:pStyle w:val="PPHeading"/>
        <w:keepNext/>
      </w:pPr>
      <w:r>
        <w:t xml:space="preserve">References</w:t>
      </w:r>
    </w:p>
    <w:p>
      <w:pPr>
        <w:pStyle w:val="PPReferences"/>
      </w:pPr>
      <w:r>
        <w:t xml:space="preserve">Rabanser, S., Günnemann, S., Lipton, Z. C. "Failing Loudly: An Empirical Study of Methods for Detecting Dataset Shift", In: Advances in Neural Information Processing Systems 32, Vancouver, Canada, 2019, pp. 1394–1406. </w:t>
      </w:r>
      <w:r>
        <w:t xml:space="preserve">[online] Available at: </w:t>
      </w:r>
      <w:hyperlink r:id="rIdL6" w:history="1">
        <w:r>
          <w:rPr>
            <w:color w:val="275B9B"/>
          </w:rPr>
          <w:t xml:space="preserve">https://proceedings.neurips.cc/paper_files/paper/2019/hash/846c260d715e5b854ffad5f70a516c88-Abstract.html</w:t>
        </w:r>
      </w:hyperlink>
      <w:r>
        <w:t xml:space="preserve"> [Accessed: 21 October 2026]</w:t>
      </w:r>
    </w:p>
    <w:p>
      <w:pPr>
        <w:pStyle w:val="PPReferences"/>
      </w:pPr>
      <w:r>
        <w:t xml:space="preserve">Garg, S., Balakrishnan, S., Lipton, Z. C., Neyshabur, B., Sedghi, H. "Leveraging Unlabeled Data to Predict Out-of-Distribution Performance", In: The Tenth International Conference on Learning Representations, Virtual, 2022. </w:t>
      </w:r>
      <w:r>
        <w:t xml:space="preserve">[online] Available at: </w:t>
      </w:r>
      <w:hyperlink r:id="rIdL7" w:history="1">
        <w:r>
          <w:rPr>
            <w:color w:val="275B9B"/>
          </w:rPr>
          <w:t xml:space="preserve">https://arxiv.org/abs/2201.04234</w:t>
        </w:r>
      </w:hyperlink>
      <w:r>
        <w:t xml:space="preserve"> [Accessed: 21 October 2026]</w:t>
      </w:r>
    </w:p>
    <w:p>
      <w:pPr>
        <w:pStyle w:val="PPReferences"/>
      </w:pPr>
      <w:r>
        <w:t xml:space="preserve">Kivimäki, J., Białek, J., Kuberski, W., Nurminen, J. K. "Performance Estimation in Binary Classification Using Calibrated Confidence", Machine Learning, 115(3), 67, 2026. </w:t>
      </w:r>
      <w:hyperlink r:id="rIdL8" w:history="1">
        <w:r>
          <w:rPr>
            <w:color w:val="275B9B"/>
          </w:rPr>
          <w:t xml:space="preserve">https://doi.org/10.1007/s10994-025-06970-3</w:t>
        </w:r>
      </w:hyperlink>
    </w:p>
    <w:p>
      <w:pPr>
        <w:pStyle w:val="PPReferences"/>
      </w:pPr>
      <w:r>
        <w:t xml:space="preserve">Moreno-Torres, J. G., Raeder, T., Alaiz-Rodríguez, R., Chawla, N. V., Herrera, F. "A Unifying View on Dataset Shift in Classification", Pattern Recognition, 45(1), pp. 521–530, 2012. </w:t>
      </w:r>
      <w:hyperlink r:id="rIdL9" w:history="1">
        <w:r>
          <w:rPr>
            <w:color w:val="275B9B"/>
          </w:rPr>
          <w:t xml:space="preserve">https://doi.org/10.1016/j.patcog.2011.06.019</w:t>
        </w:r>
      </w:hyperlink>
    </w:p>
    <w:p>
      <w:pPr>
        <w:pStyle w:val="PPReferences"/>
      </w:pPr>
      <w:r>
        <w:t xml:space="preserve">Lipton, Z. C., Wang, Y.-X., Smola, A. J. "Detecting and Correcting for Label Shift with Black Box Predictors", In: Proceedings of the 35th International Conference on Machine Learning, Stockholm, Sweden, 2018, pp. 3122–3130. </w:t>
      </w:r>
      <w:r>
        <w:t xml:space="preserve">[online] Available at: </w:t>
      </w:r>
      <w:hyperlink r:id="rIdL10" w:history="1">
        <w:r>
          <w:rPr>
            <w:color w:val="275B9B"/>
          </w:rPr>
          <w:t xml:space="preserve">https://proceedings.mlr.press/v80/lipton18a.html</w:t>
        </w:r>
      </w:hyperlink>
      <w:r>
        <w:t xml:space="preserve"> [Accessed: 21 October 2026]</w:t>
      </w:r>
    </w:p>
    <w:p>
      <w:pPr>
        <w:pStyle w:val="PPReferences"/>
      </w:pPr>
      <w:r>
        <w:t xml:space="preserve">Roschewitz, M., Mehta, R., Jones, C., Glocker, B. "Automatic Dataset Shift Identification to Support Safe Deployment of Medical Imaging AI", In: Medical Image Computing and Computer Assisted Intervention – MICCAI 2025, Daejeon, South Korea, 2025, pp. 67–76. </w:t>
      </w:r>
      <w:hyperlink r:id="rIdL11" w:history="1">
        <w:r>
          <w:rPr>
            <w:color w:val="275B9B"/>
          </w:rPr>
          <w:t xml:space="preserve">https://doi.org/10.1007/978-3-032-04981-0_7</w:t>
        </w:r>
      </w:hyperlink>
    </w:p>
    <w:p>
      <w:pPr>
        <w:pStyle w:val="PPReferences"/>
      </w:pPr>
      <w:r>
        <w:t xml:space="preserve">Maia Polo, F., Izbicki, R., Lacerda, E. G., Ibieta-Jimenez, J. P., Vicente, R. "A Unified Framework for Dataset Shift Diagnostics", Information Sciences, 649, 119612, 2023. </w:t>
      </w:r>
      <w:hyperlink r:id="rIdL12" w:history="1">
        <w:r>
          <w:rPr>
            <w:color w:val="275B9B"/>
          </w:rPr>
          <w:t xml:space="preserve">https://doi.org/10.1016/j.ins.2023.119612</w:t>
        </w:r>
      </w:hyperlink>
    </w:p>
    <w:p>
      <w:pPr>
        <w:pStyle w:val="PPReferences"/>
      </w:pPr>
      <w:r>
        <w:t xml:space="preserve">Gama, J., Medas, P., Castillo, G., Rodrigues, P. "Learning with Drift Detection", In: Advances in Artificial Intelligence – SBIA 2004, São Luís, Brazil, 2004, pp. 286–295. </w:t>
      </w:r>
      <w:hyperlink r:id="rIdL13" w:history="1">
        <w:r>
          <w:rPr>
            <w:color w:val="275B9B"/>
          </w:rPr>
          <w:t xml:space="preserve">https://doi.org/10.1007/978-3-540-28645-5_29</w:t>
        </w:r>
      </w:hyperlink>
    </w:p>
    <w:p>
      <w:pPr>
        <w:pStyle w:val="PPReferences"/>
      </w:pPr>
      <w:r>
        <w:t xml:space="preserve">Gretton, A., Borgwardt, K. M., Rasch, M. J., Schölkopf, B., Smola, A. "A Kernel Two-Sample Test", Journal of Machine Learning Research, 13, pp. 723–773, 2012. </w:t>
      </w:r>
      <w:r>
        <w:t xml:space="preserve">[online] Available at: </w:t>
      </w:r>
      <w:hyperlink r:id="rIdL14" w:history="1">
        <w:r>
          <w:rPr>
            <w:color w:val="275B9B"/>
          </w:rPr>
          <w:t xml:space="preserve">https://jmlr.org/papers/v13/gretton12a.html</w:t>
        </w:r>
      </w:hyperlink>
      <w:r>
        <w:t xml:space="preserve"> [Accessed: 21 October 2026]</w:t>
      </w:r>
    </w:p>
    <w:p>
      <w:pPr>
        <w:pStyle w:val="PPReferences"/>
      </w:pPr>
      <w:r>
        <w:t xml:space="preserve">Lopez-Paz, D., Oquab, M. "Revisiting Classifier Two-Sample Tests", In: 5th International Conference on Learning Representations, Toulon, France, 2017. </w:t>
      </w:r>
      <w:r>
        <w:t xml:space="preserve">[online] Available at: </w:t>
      </w:r>
      <w:hyperlink r:id="rIdL15" w:history="1">
        <w:r>
          <w:rPr>
            <w:color w:val="275B9B"/>
          </w:rPr>
          <w:t xml:space="preserve">https://arxiv.org/abs/1610.06545</w:t>
        </w:r>
      </w:hyperlink>
      <w:r>
        <w:t xml:space="preserve"> [Accessed: 21 October 2026]</w:t>
      </w:r>
    </w:p>
    <w:p>
      <w:pPr>
        <w:pStyle w:val="PPReferences"/>
      </w:pPr>
      <w:r>
        <w:t xml:space="preserve">Hendrycks, D., Gimpel, K. "A Baseline for Detecting Misclassified and Out-of-Distribution Examples in Neural Networks", In: 5th International Conference on Learning Representations, Toulon, France, 2017. </w:t>
      </w:r>
      <w:r>
        <w:t xml:space="preserve">[online] Available at: </w:t>
      </w:r>
      <w:hyperlink r:id="rIdL16" w:history="1">
        <w:r>
          <w:rPr>
            <w:color w:val="275B9B"/>
          </w:rPr>
          <w:t xml:space="preserve">https://arxiv.org/abs/1610.02136</w:t>
        </w:r>
      </w:hyperlink>
      <w:r>
        <w:t xml:space="preserve"> [Accessed: 21 October 2026]</w:t>
      </w:r>
    </w:p>
    <w:p>
      <w:pPr>
        <w:pStyle w:val="PPReferences"/>
      </w:pPr>
      <w:r>
        <w:t xml:space="preserve">Guillory, D., Shankar, V., Ebrahimi, S., Darrell, T., Schmidt, L. "Predicting with Confidence on Unseen Distributions", In: 2021 IEEE/CVF International Conference on Computer Vision, Montreal, QC, Canada, 2021, pp. 1114–1124. </w:t>
      </w:r>
      <w:hyperlink r:id="rIdL17" w:history="1">
        <w:r>
          <w:rPr>
            <w:color w:val="275B9B"/>
          </w:rPr>
          <w:t xml:space="preserve">https://doi.org/10.1109/ICCV48922.2021.00117</w:t>
        </w:r>
      </w:hyperlink>
    </w:p>
    <w:p>
      <w:pPr>
        <w:pStyle w:val="PPReferences"/>
      </w:pPr>
      <w:r>
        <w:t xml:space="preserve">Ovadia, Y., Fertig, E., Ren, J., Nado, Z., Sculley, D., Nowozin, S., Dillon, J. V., Lakshminarayanan, B., Snoek, J. "Can You Trust Your Model's Uncertainty? Evaluating Predictive Uncertainty under Dataset Shift", In: Advances in Neural Information Processing Systems 32, Vancouver, Canada, 2019, pp. 13991–14002. </w:t>
      </w:r>
      <w:r>
        <w:t xml:space="preserve">[online] Available at: </w:t>
      </w:r>
      <w:hyperlink r:id="rIdL18" w:history="1">
        <w:r>
          <w:rPr>
            <w:color w:val="275B9B"/>
          </w:rPr>
          <w:t xml:space="preserve">https://proceedings.neurips.cc/paper_files/paper/2019/hash/8558cb408c1d76621371888657d2eb1d-Abstract.html</w:t>
        </w:r>
      </w:hyperlink>
      <w:r>
        <w:t xml:space="preserve"> [Accessed: 21 October 2026]</w:t>
      </w:r>
    </w:p>
    <w:p>
      <w:pPr>
        <w:pStyle w:val="PPReferences"/>
      </w:pPr>
      <w:r>
        <w:t xml:space="preserve">Lundberg, S. M., Lee, S.-I. "A Unified Approach to Interpreting Model Predictions", In: Advances in Neural Information Processing Systems 30, Long Beach, CA, USA, 2017, pp. 4765–4774. </w:t>
      </w:r>
      <w:r>
        <w:t xml:space="preserve">[online] Available at: </w:t>
      </w:r>
      <w:hyperlink r:id="rIdL19" w:history="1">
        <w:r>
          <w:rPr>
            <w:color w:val="275B9B"/>
          </w:rPr>
          <w:t xml:space="preserve">https://proceedings.neurips.cc/paper_files/paper/2017/hash/8a20a8621978632d76c43dfd28b67767-Abstract.html</w:t>
        </w:r>
      </w:hyperlink>
      <w:r>
        <w:t xml:space="preserve"> [Accessed: 21 October 2026]</w:t>
      </w:r>
    </w:p>
    <w:p>
      <w:pPr>
        <w:pStyle w:val="PPReferences"/>
      </w:pPr>
      <w:r>
        <w:t xml:space="preserve">Zhou, B., Khosla, A., Lapedriza, A., Oliva, A., Torralba, A. "Learning Deep Features for Discriminative Localization", In: 2016 IEEE Conference on Computer Vision and Pattern Recognition, Las Vegas, NV, USA, 2016, pp. 2921–2929. </w:t>
      </w:r>
      <w:hyperlink r:id="rIdL20" w:history="1">
        <w:r>
          <w:rPr>
            <w:color w:val="275B9B"/>
          </w:rPr>
          <w:t xml:space="preserve">https://doi.org/10.1109/CVPR.2016.319</w:t>
        </w:r>
      </w:hyperlink>
    </w:p>
    <w:p>
      <w:pPr>
        <w:pStyle w:val="PPReferences"/>
      </w:pPr>
      <w:r>
        <w:t xml:space="preserve">Liu, F. T., Ting, K. M., Zhou, Z.-H. "Isolation Forest", In: 2008 Eighth IEEE International Conference on Data Mining, Pisa, Italy, 2008, pp. 413–422. </w:t>
      </w:r>
      <w:hyperlink r:id="rIdL21" w:history="1">
        <w:r>
          <w:rPr>
            <w:color w:val="275B9B"/>
          </w:rPr>
          <w:t xml:space="preserve">https://doi.org/10.1109/ICDM.2008.17</w:t>
        </w:r>
      </w:hyperlink>
    </w:p>
    <w:p>
      <w:pPr>
        <w:pStyle w:val="PPReferences"/>
      </w:pPr>
      <w:r>
        <w:t xml:space="preserve">Shimodaira, H. "Improving Predictive Inference under Covariate Shift by Weighting the Log-Likelihood Function", Journal of Statistical Planning and Inference, 90(2), pp. 227–244, 2000. </w:t>
      </w:r>
      <w:hyperlink r:id="rIdL22" w:history="1">
        <w:r>
          <w:rPr>
            <w:color w:val="275B9B"/>
          </w:rPr>
          <w:t xml:space="preserve">https://doi.org/10.1016/S0378-3758(00)00115-4</w:t>
        </w:r>
      </w:hyperlink>
    </w:p>
    <w:p>
      <w:pPr>
        <w:pStyle w:val="PPReferences"/>
      </w:pPr>
      <w:r>
        <w:t xml:space="preserve">Sugiyama, M., Krauledat, M., Müller, K.-R. "Covariate Shift Adaptation by Importance Weighted Cross Validation", Journal of Machine Learning Research, 8, pp. 985–1005, 2007. </w:t>
      </w:r>
      <w:r>
        <w:t xml:space="preserve">[online] Available at: </w:t>
      </w:r>
      <w:hyperlink r:id="rIdL23" w:history="1">
        <w:r>
          <w:rPr>
            <w:color w:val="275B9B"/>
          </w:rPr>
          <w:t xml:space="preserve">https://jmlr.org/papers/v8/sugiyama07a.html</w:t>
        </w:r>
      </w:hyperlink>
      <w:r>
        <w:t xml:space="preserve"> [Accessed: 21 October 2026]</w:t>
      </w:r>
    </w:p>
    <w:p>
      <w:pPr>
        <w:pStyle w:val="PPReferences"/>
      </w:pPr>
      <w:r>
        <w:t xml:space="preserve">Cortes, C., Mansour, Y., Mohri, M. "Learning Bounds for Importance Weighting", In: Advances in Neural Information Processing Systems 23, Vancouver, Canada, 2010, pp. 442–450. </w:t>
      </w:r>
      <w:r>
        <w:t xml:space="preserve">[online] Available at: </w:t>
      </w:r>
      <w:hyperlink r:id="rIdL24" w:history="1">
        <w:r>
          <w:rPr>
            <w:color w:val="275B9B"/>
          </w:rPr>
          <w:t xml:space="preserve">https://proceedings.neurips.cc/paper_files/paper/2010/hash/59c33016884a62116be975a9bb8257e3-Abstract.html</w:t>
        </w:r>
      </w:hyperlink>
      <w:r>
        <w:t xml:space="preserve"> [Accessed: 21 October 2026]</w:t>
      </w:r>
    </w:p>
    <w:p>
      <w:pPr>
        <w:pStyle w:val="PPReferences"/>
      </w:pPr>
      <w:r>
        <w:t xml:space="preserve">Ding, F., Hardt, M., Miller, J., Schmidt, L. "Retiring Adult: New Datasets for Fair Machine Learning", In: Advances in Neural Information Processing Systems 34, Virtual, 2021, pp. 6478–6490. </w:t>
      </w:r>
      <w:r>
        <w:t xml:space="preserve">[online] Available at: </w:t>
      </w:r>
      <w:hyperlink r:id="rIdL25" w:history="1">
        <w:r>
          <w:rPr>
            <w:color w:val="275B9B"/>
          </w:rPr>
          <w:t xml:space="preserve">https://proceedings.neurips.cc/paper_files/paper/2021/hash/32e54441e6382a7fbacbbbaf3c450059-Abstract.html</w:t>
        </w:r>
      </w:hyperlink>
      <w:r>
        <w:t xml:space="preserve"> [Accessed: 21 October 2026]</w:t>
      </w:r>
    </w:p>
    <w:p>
      <w:pPr>
        <w:pStyle w:val="PPReferences"/>
      </w:pPr>
      <w:r>
        <w:t xml:space="preserve">Lin, Z., Shi, J., Pathak, D., Ramanan, D. "The CLEAR Benchmark: Continual LEArning on Real-World Imagery", In: Proceedings of the Neural Information Processing Systems Track on Datasets and Benchmarks 1, Virtual, 2021. </w:t>
      </w:r>
      <w:r>
        <w:t xml:space="preserve">[online] Available at: </w:t>
      </w:r>
      <w:hyperlink r:id="rIdL26" w:history="1">
        <w:r>
          <w:rPr>
            <w:color w:val="275B9B"/>
          </w:rPr>
          <w:t xml:space="preserve">https://datasets-benchmarks-proceedings.neurips.cc/paper/2021/hash/2838023a778dfaecdc212708f721b788-Abstract-round2.html</w:t>
        </w:r>
      </w:hyperlink>
      <w:r>
        <w:t xml:space="preserve"> [Accessed: 21 October 2026]</w:t>
      </w:r>
    </w:p>
    <w:p>
      <w:pPr>
        <w:pStyle w:val="PPReferences"/>
      </w:pPr>
      <w:r>
        <w:t xml:space="preserve">Holm, S. "A Simple Sequentially Rejective Multiple Test Procedure", Scandinavian Journal of Statistics, 6(2), pp. 65–70, 1979. </w:t>
      </w:r>
      <w:r>
        <w:t xml:space="preserve">[online] Available at: </w:t>
      </w:r>
      <w:hyperlink r:id="rIdL27" w:history="1">
        <w:r>
          <w:rPr>
            <w:color w:val="275B9B"/>
          </w:rPr>
          <w:t xml:space="preserve">https://www.jstor.org/stable/4615733</w:t>
        </w:r>
      </w:hyperlink>
      <w:r>
        <w:t xml:space="preserve"> [Accessed: 21 October 2026]</w:t>
      </w:r>
    </w:p>
    <w:p>
      <w:pPr>
        <w:pStyle w:val="PPReferences"/>
      </w:pPr>
      <w:r>
        <w:t xml:space="preserve">He, K., Zhang, X., Ren, S., Sun, J. "Deep Residual Learning for Image Recognition", In: 2016 IEEE Conference on Computer Vision and Pattern Recognition, Las Vegas, NV, USA, 2016, pp. 770–778. </w:t>
      </w:r>
      <w:hyperlink r:id="rIdL28" w:history="1">
        <w:r>
          <w:rPr>
            <w:color w:val="275B9B"/>
          </w:rPr>
          <w:t xml:space="preserve">https://doi.org/10.1109/CVPR.2016.90</w:t>
        </w:r>
      </w:hyperlink>
    </w:p>
    <w:p>
      <w:pPr>
        <w:pStyle w:val="PPReferences"/>
      </w:pPr>
      <w:r>
        <w:t xml:space="preserve">Siddiqi, N. "Credit Risk Scorecards: Developing and Implementing Intelligent Credit Scoring", Wiley, Hoboken, NJ, USA, 2006. ISBN 978-0-471-75451-0 </w:t>
      </w:r>
      <w:hyperlink r:id="rIdL29" w:history="1">
        <w:r>
          <w:rPr>
            <w:color w:val="275B9B"/>
          </w:rPr>
          <w:t xml:space="preserve">https://doi.org/10.1002/9781119201731</w:t>
        </w:r>
      </w:hyperlink>
    </w:p>
    <w:p>
      <w:pPr>
        <w:pStyle w:val="PPReferences"/>
      </w:pPr>
      <w:r>
        <w:t xml:space="preserve">Cochran, W. G. "Some Methods for Strengthening the Common χ² Tests", Biometrics, 10(4), pp. 417–451, 1954. </w:t>
      </w:r>
      <w:hyperlink r:id="rIdL30" w:history="1">
        <w:r>
          <w:rPr>
            <w:color w:val="275B9B"/>
          </w:rPr>
          <w:t xml:space="preserve">https://doi.org/10.2307/3001616</w:t>
        </w:r>
      </w:hyperlink>
    </w:p>
    <w:p>
      <w:pPr>
        <w:pStyle w:val="PPReferences"/>
      </w:pPr>
      <w:r>
        <w:t xml:space="preserve">Phipson, B., Smyth, G. K. "Permutation P-values Should Never Be Zero: Calculating Exact P-values When Permutations Are Randomly Drawn", Statistical Applications in Genetics and Molecular Biology, 9(1), 39, 2010. </w:t>
      </w:r>
      <w:hyperlink r:id="rIdL31" w:history="1">
        <w:r>
          <w:rPr>
            <w:color w:val="275B9B"/>
          </w:rPr>
          <w:t xml:space="preserve">https://doi.org/10.2202/1544-6115.1585</w:t>
        </w:r>
      </w:hyperlink>
    </w:p>
    <w:p>
      <w:pPr>
        <w:pStyle w:val="PPReferences"/>
      </w:pPr>
      <w:r>
        <w:t xml:space="preserve">Kish, L. "Survey Sampling", Wiley, New York, NY, USA, 1965. </w:t>
      </w:r>
    </w:p>
    <w:p>
      <w:pPr>
        <w:pStyle w:val="PPReferences"/>
      </w:pPr>
      <w:r>
        <w:t xml:space="preserve">Peduzzi, P., Concato, J., Kemper, E., Holford, T. R., Feinstein, A. R. "A Simulation Study of the Number of Events per Variable in Logistic Regression Analysis", Journal of Clinical Epidemiology, 49(12), pp. 1373–1379, 1996. </w:t>
      </w:r>
      <w:hyperlink r:id="rIdL32" w:history="1">
        <w:r>
          <w:rPr>
            <w:color w:val="275B9B"/>
          </w:rPr>
          <w:t xml:space="preserve">https://doi.org/10.1016/S0895-4356(96)00236-3</w:t>
        </w:r>
      </w:hyperlink>
    </w:p>
    <w:p>
      <w:pPr>
        <w:pStyle w:val="PPReferences"/>
      </w:pPr>
      <w:r>
        <w:t xml:space="preserve">Pedregosa, F., Varoquaux, G., Gramfort, A., Michel, V., Thirion, B., Grisel, O., Blondel, M., Prettenhofer, P., Weiss, R., Dubourg, V., Vanderplas, J., Passos, A., Cournapeau, D., Brucher, M., Perrot, M., Duchesnay, É. "Scikit-learn: Machine Learning in Python", Journal of Machine Learning Research, 12, pp. 2825–2830, 2011. </w:t>
      </w:r>
      <w:r>
        <w:t xml:space="preserve">[online] Available at: </w:t>
      </w:r>
      <w:hyperlink r:id="rIdL33" w:history="1">
        <w:r>
          <w:rPr>
            <w:color w:val="275B9B"/>
          </w:rPr>
          <w:t xml:space="preserve">https://jmlr.org/papers/v12/pedregosa11a.html</w:t>
        </w:r>
      </w:hyperlink>
      <w:r>
        <w:t xml:space="preserve"> [Accessed: 21 October 2026]</w:t>
      </w:r>
    </w:p>
    <w:p>
      <w:pPr>
        <w:pStyle w:val="PPReferences"/>
      </w:pPr>
      <w:r>
        <w:t xml:space="preserve">Ke, G., Meng, Q., Finley, T., Wang, T., Chen, W., Ma, W., Ye, Q., Liu, T.-Y. "LightGBM: A Highly Efficient Gradient Boosting Decision Tree", In: Advances in Neural Information Processing Systems 30, Long Beach, CA, USA, 2017, pp. 3146–3154. </w:t>
      </w:r>
      <w:r>
        <w:t xml:space="preserve">[online] Available at: </w:t>
      </w:r>
      <w:hyperlink r:id="rIdL34" w:history="1">
        <w:r>
          <w:rPr>
            <w:color w:val="275B9B"/>
          </w:rPr>
          <w:t xml:space="preserve">https://proceedings.neurips.cc/paper_files/paper/2017/hash/6449f44a102fde848669bdd9eb6b76fa-Abstract.html</w:t>
        </w:r>
      </w:hyperlink>
      <w:r>
        <w:t xml:space="preserve"> [Accessed: 21 October 2026]</w:t>
      </w:r>
    </w:p>
    <w:p>
      <w:pPr>
        <w:pStyle w:val="PPReferences"/>
      </w:pPr>
      <w:r>
        <w:t xml:space="preserve">U.S. Census Bureau "2020 ACS 1-Year Experimental Data Release", </w:t>
      </w:r>
      <w:r>
        <w:t xml:space="preserve">[online] Available at: </w:t>
      </w:r>
      <w:hyperlink r:id="rIdL35" w:history="1">
        <w:r>
          <w:rPr>
            <w:color w:val="275B9B"/>
          </w:rPr>
          <w:t xml:space="preserve">https://www.census.gov/programs-surveys/acs/data/experimental-data.html</w:t>
        </w:r>
      </w:hyperlink>
      <w:r>
        <w:t xml:space="preserve"> [Accessed: 21 October 2026]</w:t>
      </w:r>
    </w:p>
    <w:p>
      <w:pPr>
        <w:pStyle w:val="PPReferences"/>
      </w:pPr>
      <w:r>
        <w:t xml:space="preserve">U.S. Census Bureau "American Community Survey 2019 PUMS Data Dictionary", </w:t>
      </w:r>
      <w:r>
        <w:t xml:space="preserve">[online] Available at: </w:t>
      </w:r>
      <w:hyperlink r:id="rIdL36" w:history="1">
        <w:r>
          <w:rPr>
            <w:color w:val="275B9B"/>
          </w:rPr>
          <w:t xml:space="preserve">https://www2.census.gov/programs-surveys/acs/tech_docs/pums/data_dict/PUMS_Data_Dictionary_2019.csv</w:t>
        </w:r>
      </w:hyperlink>
      <w:r>
        <w:t xml:space="preserve"> [Accessed: 21 October 2026]</w:t>
      </w:r>
    </w:p>
    <w:p>
      <w:pPr>
        <w:pStyle w:val="PPReferences"/>
      </w:pPr>
      <w:r>
        <w:t xml:space="preserve">Beckhusen, J. B. "Recent Changes in the Census Industry and Occupation Classification Systems", U.S. Census Bureau, Suitland, MD, USA, Rep. ACS-TP78, 2020. </w:t>
      </w:r>
      <w:r>
        <w:t xml:space="preserve">[online] Available at: </w:t>
      </w:r>
      <w:hyperlink r:id="rIdL37" w:history="1">
        <w:r>
          <w:rPr>
            <w:color w:val="275B9B"/>
          </w:rPr>
          <w:t xml:space="preserve">https://www.census.gov/library/publications/2020/demo/acs-tp78.html</w:t>
        </w:r>
      </w:hyperlink>
      <w:r>
        <w:t xml:space="preserve"> [Accessed: 21 October 2026]</w:t>
      </w:r>
    </w:p>
    <w:p>
      <w:pPr>
        <w:pStyle w:val="PPReferences"/>
      </w:pPr>
      <w:r>
        <w:t xml:space="preserve">U.S. Census Bureau "Improvements to the Race Question (ACS User Note 2021-03)", </w:t>
      </w:r>
      <w:r>
        <w:t xml:space="preserve">[online] Available at: </w:t>
      </w:r>
      <w:hyperlink r:id="rIdL38" w:history="1">
        <w:r>
          <w:rPr>
            <w:color w:val="275B9B"/>
          </w:rPr>
          <w:t xml:space="preserve">https://www.census.gov/programs-surveys/acs/technical-documentation/user-notes/2021-03.html</w:t>
        </w:r>
      </w:hyperlink>
      <w:r>
        <w:t xml:space="preserve"> [Accessed: 21 October 2026]</w:t>
      </w:r>
    </w:p>
    <w:p>
      <w:pPr>
        <w:pStyle w:val="PPReferences"/>
      </w:pPr>
      <w:r>
        <w:t xml:space="preserve">Vergara, A., Vembu, S., Ayhan, T., Ryan, M. A., Homer, M. L., Huerta, R. "Chemical Gas Sensor Drift Compensation Using Classifier Ensembles", Sensors and Actuators B: Chemical, 166–167, pp. 320–329, 2012. </w:t>
      </w:r>
      <w:hyperlink r:id="rIdL39" w:history="1">
        <w:r>
          <w:rPr>
            <w:color w:val="275B9B"/>
          </w:rPr>
          <w:t xml:space="preserve">https://doi.org/10.1016/j.snb.2012.01.074</w:t>
        </w:r>
      </w:hyperlink>
    </w:p>
    <w:p>
      <w:pPr>
        <w:pStyle w:val="PPReferences"/>
      </w:pPr>
      <w:r>
        <w:t xml:space="preserve">Rodriguez-Lujan, I., Fonollosa, J., Vergara, A., Homer, M., Huerta, R. "On the Calibration of Sensor Arrays for Pattern Recognition Using the Minimal Number of Experiments", Chemometrics and Intelligent Laboratory Systems, 130, pp. 123–134, 2014. </w:t>
      </w:r>
      <w:hyperlink r:id="rIdL40" w:history="1">
        <w:r>
          <w:rPr>
            <w:color w:val="275B9B"/>
          </w:rPr>
          <w:t xml:space="preserve">https://doi.org/10.1016/j.chemolab.2013.10.012</w:t>
        </w:r>
      </w:hyperlink>
    </w:p>
    <w:p>
      <w:pPr>
        <w:pStyle w:val="PPReferences"/>
      </w:pPr>
      <w:r>
        <w:t xml:space="preserve">Wilson, E. B. "Probable Inference, the Law of Succession, and Statistical Inference", Journal of the American Statistical Association, 22(158), pp. 209–212, 1927. </w:t>
      </w:r>
      <w:hyperlink r:id="rIdL41" w:history="1">
        <w:r>
          <w:rPr>
            <w:color w:val="275B9B"/>
          </w:rPr>
          <w:t xml:space="preserve">https://doi.org/10.1080/01621459.1927.10502953</w:t>
        </w:r>
      </w:hyperlink>
    </w:p>
    <w:sectPr>
      <w:headerReference w:type="default" r:id="rId8"/>
      <w:type w:val="continuous"/>
      <w:pgSz w:w="11906" w:h="16838" w:code="9"/>
      <w:pgMar w:top="1956" w:right="907" w:bottom="1418" w:left="1134" w:header="709" w:footer="709"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927AF7" w14:textId="77777777" w:rsidR="009C6F69" w:rsidRDefault="009C6F69" w:rsidP="00CC16C3">
      <w:pPr>
        <w:spacing w:after="0" w:line="240" w:lineRule="auto"/>
      </w:pPr>
      <w:r>
        <w:separator/>
      </w:r>
    </w:p>
  </w:endnote>
  <w:endnote w:type="continuationSeparator" w:id="0">
    <w:p w14:paraId="3FBAF868" w14:textId="77777777" w:rsidR="009C6F69" w:rsidRDefault="009C6F69" w:rsidP="00CC1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Open Sans">
    <w:altName w:val="Verdana"/>
    <w:charset w:val="00"/>
    <w:family w:val="swiss"/>
    <w:pitch w:val="variable"/>
    <w:sig w:usb0="E00002EF" w:usb1="4000205B" w:usb2="00000028"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447153" w14:textId="77777777" w:rsidR="009C6F69" w:rsidRDefault="009C6F69" w:rsidP="00CC16C3">
      <w:pPr>
        <w:spacing w:after="0" w:line="240" w:lineRule="auto"/>
      </w:pPr>
      <w:r>
        <w:separator/>
      </w:r>
    </w:p>
  </w:footnote>
  <w:footnote w:type="continuationSeparator" w:id="0">
    <w:p w14:paraId="6BB75714" w14:textId="77777777" w:rsidR="009C6F69" w:rsidRDefault="009C6F69" w:rsidP="00CC16C3">
      <w:pPr>
        <w:spacing w:after="0" w:line="240" w:lineRule="auto"/>
      </w:pPr>
      <w:r>
        <w:continuationSeparator/>
      </w:r>
    </w:p>
  </w:footnote>
  <w:footnote w:id="1">
    <w:p w14:paraId="0BE88942" w14:textId="77777777" w:rsidR="006E7895" w:rsidRDefault="006E7895" w:rsidP="006E7895">
      <w:pPr>
        <w:pStyle w:val="PPFootnote"/>
      </w:pPr>
      <w:r>
        <w:rPr>
          <w:rStyle w:val="Lbjegyzet-hivatkozs"/>
        </w:rPr>
        <w:footnoteRef/>
      </w:r>
      <w:r>
        <w:t xml:space="preserve"> </w:t>
      </w:r>
      <w:r w:rsidRPr="006E7895">
        <w:t xml:space="preserve">This is the footnote </w:t>
      </w:r>
      <w:r w:rsidR="006E4C65">
        <w:t>style (Style name: PP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769F8" w14:textId="77777777" w:rsidR="00CC16C3" w:rsidRPr="00CC16C3" w:rsidRDefault="00CC16C3" w:rsidP="00CC16C3">
    <w:pPr>
      <w:jc w:val="right"/>
      <w:rPr>
        <w:sz w:val="28"/>
        <w:szCs w:val="28"/>
      </w:rPr>
    </w:pPr>
    <w:proofErr w:type="spellStart"/>
    <w:r w:rsidRPr="00CC16C3">
      <w:rPr>
        <w:sz w:val="28"/>
        <w:szCs w:val="28"/>
      </w:rPr>
      <w:t>Periodica</w:t>
    </w:r>
    <w:proofErr w:type="spellEnd"/>
    <w:r w:rsidRPr="00CC16C3">
      <w:rPr>
        <w:sz w:val="28"/>
        <w:szCs w:val="28"/>
      </w:rPr>
      <w:t xml:space="preserve"> </w:t>
    </w:r>
    <w:proofErr w:type="spellStart"/>
    <w:r w:rsidRPr="00CC16C3">
      <w:rPr>
        <w:sz w:val="28"/>
        <w:szCs w:val="28"/>
      </w:rPr>
      <w:t>Polytechnica</w:t>
    </w:r>
    <w:proofErr w:type="spellEnd"/>
    <w:r w:rsidRPr="00CC16C3">
      <w:rPr>
        <w:sz w:val="28"/>
        <w:szCs w:val="28"/>
      </w:rPr>
      <w:t xml:space="preserve"> </w:t>
    </w:r>
    <w:proofErr w:type="spellStart"/>
    <w:r w:rsidR="00620E07" w:rsidRPr="00620E07">
      <w:rPr>
        <w:sz w:val="28"/>
        <w:szCs w:val="28"/>
      </w:rPr>
      <w:t>Electrical</w:t>
    </w:r>
    <w:proofErr w:type="spellEnd"/>
    <w:r w:rsidR="00620E07" w:rsidRPr="00620E07">
      <w:rPr>
        <w:sz w:val="28"/>
        <w:szCs w:val="28"/>
      </w:rPr>
      <w:t xml:space="preserve"> </w:t>
    </w:r>
    <w:proofErr w:type="spellStart"/>
    <w:r w:rsidR="00620E07" w:rsidRPr="00620E07">
      <w:rPr>
        <w:sz w:val="28"/>
        <w:szCs w:val="28"/>
      </w:rPr>
      <w:t>Engineering</w:t>
    </w:r>
    <w:proofErr w:type="spellEnd"/>
    <w:r w:rsidR="00620E07" w:rsidRPr="00620E07">
      <w:rPr>
        <w:sz w:val="28"/>
        <w:szCs w:val="28"/>
      </w:rPr>
      <w:t xml:space="preserve"> and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F5EF1"/>
    <w:multiLevelType w:val="hybridMultilevel"/>
    <w:tmpl w:val="BF7688EE"/>
    <w:lvl w:ilvl="0" w:tplc="642A1B8A">
      <w:start w:val="1"/>
      <w:numFmt w:val="decimal"/>
      <w:lvlText w:val="[%1]"/>
      <w:lvlJc w:val="left"/>
      <w:pPr>
        <w:ind w:left="360" w:hanging="360"/>
      </w:pPr>
      <w:rPr>
        <w:rFonts w:hint="default"/>
        <w:b w:val="0"/>
        <w:bCs w:val="0"/>
        <w:i w:val="0"/>
        <w:iCs w:val="0"/>
        <w:color w:val="auto"/>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49A44EB"/>
    <w:multiLevelType w:val="hybridMultilevel"/>
    <w:tmpl w:val="0C74151A"/>
    <w:lvl w:ilvl="0" w:tplc="D30E3EB2">
      <w:start w:val="1"/>
      <w:numFmt w:val="decimal"/>
      <w:lvlText w:val="%1."/>
      <w:lvlJc w:val="left"/>
      <w:pPr>
        <w:ind w:left="947" w:hanging="360"/>
      </w:pPr>
      <w:rPr>
        <w:rFonts w:ascii="Times New Roman" w:hAnsi="Times New Roman" w:hint="default"/>
        <w:b w:val="0"/>
        <w:i w:val="0"/>
        <w:sz w:val="20"/>
        <w:szCs w:val="20"/>
      </w:rPr>
    </w:lvl>
    <w:lvl w:ilvl="1" w:tplc="040E0019" w:tentative="1">
      <w:start w:val="1"/>
      <w:numFmt w:val="lowerLetter"/>
      <w:lvlText w:val="%2."/>
      <w:lvlJc w:val="left"/>
      <w:pPr>
        <w:ind w:left="1667" w:hanging="360"/>
      </w:pPr>
    </w:lvl>
    <w:lvl w:ilvl="2" w:tplc="040E001B" w:tentative="1">
      <w:start w:val="1"/>
      <w:numFmt w:val="lowerRoman"/>
      <w:lvlText w:val="%3."/>
      <w:lvlJc w:val="right"/>
      <w:pPr>
        <w:ind w:left="2387" w:hanging="180"/>
      </w:pPr>
    </w:lvl>
    <w:lvl w:ilvl="3" w:tplc="040E000F" w:tentative="1">
      <w:start w:val="1"/>
      <w:numFmt w:val="decimal"/>
      <w:lvlText w:val="%4."/>
      <w:lvlJc w:val="left"/>
      <w:pPr>
        <w:ind w:left="3107" w:hanging="360"/>
      </w:pPr>
    </w:lvl>
    <w:lvl w:ilvl="4" w:tplc="040E0019" w:tentative="1">
      <w:start w:val="1"/>
      <w:numFmt w:val="lowerLetter"/>
      <w:lvlText w:val="%5."/>
      <w:lvlJc w:val="left"/>
      <w:pPr>
        <w:ind w:left="3827" w:hanging="360"/>
      </w:pPr>
    </w:lvl>
    <w:lvl w:ilvl="5" w:tplc="040E001B" w:tentative="1">
      <w:start w:val="1"/>
      <w:numFmt w:val="lowerRoman"/>
      <w:lvlText w:val="%6."/>
      <w:lvlJc w:val="right"/>
      <w:pPr>
        <w:ind w:left="4547" w:hanging="180"/>
      </w:pPr>
    </w:lvl>
    <w:lvl w:ilvl="6" w:tplc="040E000F" w:tentative="1">
      <w:start w:val="1"/>
      <w:numFmt w:val="decimal"/>
      <w:lvlText w:val="%7."/>
      <w:lvlJc w:val="left"/>
      <w:pPr>
        <w:ind w:left="5267" w:hanging="360"/>
      </w:pPr>
    </w:lvl>
    <w:lvl w:ilvl="7" w:tplc="040E0019" w:tentative="1">
      <w:start w:val="1"/>
      <w:numFmt w:val="lowerLetter"/>
      <w:lvlText w:val="%8."/>
      <w:lvlJc w:val="left"/>
      <w:pPr>
        <w:ind w:left="5987" w:hanging="360"/>
      </w:pPr>
    </w:lvl>
    <w:lvl w:ilvl="8" w:tplc="040E001B" w:tentative="1">
      <w:start w:val="1"/>
      <w:numFmt w:val="lowerRoman"/>
      <w:lvlText w:val="%9."/>
      <w:lvlJc w:val="right"/>
      <w:pPr>
        <w:ind w:left="6707" w:hanging="180"/>
      </w:pPr>
    </w:lvl>
  </w:abstractNum>
  <w:abstractNum w:abstractNumId="2" w15:restartNumberingAfterBreak="0">
    <w:nsid w:val="11774100"/>
    <w:multiLevelType w:val="hybridMultilevel"/>
    <w:tmpl w:val="D1FC3F9E"/>
    <w:lvl w:ilvl="0" w:tplc="120CB5C0">
      <w:start w:val="1"/>
      <w:numFmt w:val="decimal"/>
      <w:pStyle w:val="PPReferences"/>
      <w:lvlText w:val="[%1]"/>
      <w:lvlJc w:val="left"/>
      <w:pPr>
        <w:ind w:left="720" w:hanging="360"/>
      </w:pPr>
      <w:rPr>
        <w:rFonts w:hint="default"/>
        <w:b w:val="0"/>
        <w:bCs w:val="0"/>
        <w:i w:val="0"/>
        <w:iCs w:val="0"/>
        <w:color w:val="auto"/>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40CC17DA"/>
    <w:multiLevelType w:val="hybridMultilevel"/>
    <w:tmpl w:val="97A081BE"/>
    <w:lvl w:ilvl="0" w:tplc="15909BDA">
      <w:start w:val="1"/>
      <w:numFmt w:val="bullet"/>
      <w:pStyle w:val="PPListingDotted"/>
      <w:lvlText w:val=""/>
      <w:lvlJc w:val="left"/>
      <w:pPr>
        <w:ind w:left="947" w:hanging="360"/>
      </w:pPr>
      <w:rPr>
        <w:rFonts w:ascii="Symbol" w:hAnsi="Symbol" w:hint="default"/>
      </w:rPr>
    </w:lvl>
    <w:lvl w:ilvl="1" w:tplc="040E0003" w:tentative="1">
      <w:start w:val="1"/>
      <w:numFmt w:val="bullet"/>
      <w:lvlText w:val="o"/>
      <w:lvlJc w:val="left"/>
      <w:pPr>
        <w:ind w:left="1667" w:hanging="360"/>
      </w:pPr>
      <w:rPr>
        <w:rFonts w:ascii="Courier New" w:hAnsi="Courier New" w:cs="Courier New" w:hint="default"/>
      </w:rPr>
    </w:lvl>
    <w:lvl w:ilvl="2" w:tplc="040E0005" w:tentative="1">
      <w:start w:val="1"/>
      <w:numFmt w:val="bullet"/>
      <w:lvlText w:val=""/>
      <w:lvlJc w:val="left"/>
      <w:pPr>
        <w:ind w:left="2387" w:hanging="360"/>
      </w:pPr>
      <w:rPr>
        <w:rFonts w:ascii="Wingdings" w:hAnsi="Wingdings" w:hint="default"/>
      </w:rPr>
    </w:lvl>
    <w:lvl w:ilvl="3" w:tplc="040E0001" w:tentative="1">
      <w:start w:val="1"/>
      <w:numFmt w:val="bullet"/>
      <w:lvlText w:val=""/>
      <w:lvlJc w:val="left"/>
      <w:pPr>
        <w:ind w:left="3107" w:hanging="360"/>
      </w:pPr>
      <w:rPr>
        <w:rFonts w:ascii="Symbol" w:hAnsi="Symbol" w:hint="default"/>
      </w:rPr>
    </w:lvl>
    <w:lvl w:ilvl="4" w:tplc="040E0003" w:tentative="1">
      <w:start w:val="1"/>
      <w:numFmt w:val="bullet"/>
      <w:lvlText w:val="o"/>
      <w:lvlJc w:val="left"/>
      <w:pPr>
        <w:ind w:left="3827" w:hanging="360"/>
      </w:pPr>
      <w:rPr>
        <w:rFonts w:ascii="Courier New" w:hAnsi="Courier New" w:cs="Courier New" w:hint="default"/>
      </w:rPr>
    </w:lvl>
    <w:lvl w:ilvl="5" w:tplc="040E0005" w:tentative="1">
      <w:start w:val="1"/>
      <w:numFmt w:val="bullet"/>
      <w:lvlText w:val=""/>
      <w:lvlJc w:val="left"/>
      <w:pPr>
        <w:ind w:left="4547" w:hanging="360"/>
      </w:pPr>
      <w:rPr>
        <w:rFonts w:ascii="Wingdings" w:hAnsi="Wingdings" w:hint="default"/>
      </w:rPr>
    </w:lvl>
    <w:lvl w:ilvl="6" w:tplc="040E0001" w:tentative="1">
      <w:start w:val="1"/>
      <w:numFmt w:val="bullet"/>
      <w:lvlText w:val=""/>
      <w:lvlJc w:val="left"/>
      <w:pPr>
        <w:ind w:left="5267" w:hanging="360"/>
      </w:pPr>
      <w:rPr>
        <w:rFonts w:ascii="Symbol" w:hAnsi="Symbol" w:hint="default"/>
      </w:rPr>
    </w:lvl>
    <w:lvl w:ilvl="7" w:tplc="040E0003" w:tentative="1">
      <w:start w:val="1"/>
      <w:numFmt w:val="bullet"/>
      <w:lvlText w:val="o"/>
      <w:lvlJc w:val="left"/>
      <w:pPr>
        <w:ind w:left="5987" w:hanging="360"/>
      </w:pPr>
      <w:rPr>
        <w:rFonts w:ascii="Courier New" w:hAnsi="Courier New" w:cs="Courier New" w:hint="default"/>
      </w:rPr>
    </w:lvl>
    <w:lvl w:ilvl="8" w:tplc="040E0005" w:tentative="1">
      <w:start w:val="1"/>
      <w:numFmt w:val="bullet"/>
      <w:lvlText w:val=""/>
      <w:lvlJc w:val="left"/>
      <w:pPr>
        <w:ind w:left="6707" w:hanging="360"/>
      </w:pPr>
      <w:rPr>
        <w:rFonts w:ascii="Wingdings" w:hAnsi="Wingdings" w:hint="default"/>
      </w:rPr>
    </w:lvl>
  </w:abstractNum>
  <w:abstractNum w:abstractNumId="4" w15:restartNumberingAfterBreak="0">
    <w:nsid w:val="422845FA"/>
    <w:multiLevelType w:val="hybridMultilevel"/>
    <w:tmpl w:val="882A200A"/>
    <w:lvl w:ilvl="0" w:tplc="675A689E">
      <w:start w:val="1"/>
      <w:numFmt w:val="decimal"/>
      <w:pStyle w:val="PPListingNumbered"/>
      <w:lvlText w:val="%1"/>
      <w:lvlJc w:val="left"/>
      <w:pPr>
        <w:ind w:left="1174" w:hanging="360"/>
      </w:pPr>
      <w:rPr>
        <w:rFonts w:hint="default"/>
      </w:rPr>
    </w:lvl>
    <w:lvl w:ilvl="1" w:tplc="040E0019" w:tentative="1">
      <w:start w:val="1"/>
      <w:numFmt w:val="lowerLetter"/>
      <w:lvlText w:val="%2."/>
      <w:lvlJc w:val="left"/>
      <w:pPr>
        <w:ind w:left="1894" w:hanging="360"/>
      </w:pPr>
    </w:lvl>
    <w:lvl w:ilvl="2" w:tplc="040E001B" w:tentative="1">
      <w:start w:val="1"/>
      <w:numFmt w:val="lowerRoman"/>
      <w:lvlText w:val="%3."/>
      <w:lvlJc w:val="right"/>
      <w:pPr>
        <w:ind w:left="2614" w:hanging="180"/>
      </w:pPr>
    </w:lvl>
    <w:lvl w:ilvl="3" w:tplc="040E000F" w:tentative="1">
      <w:start w:val="1"/>
      <w:numFmt w:val="decimal"/>
      <w:lvlText w:val="%4."/>
      <w:lvlJc w:val="left"/>
      <w:pPr>
        <w:ind w:left="3334" w:hanging="360"/>
      </w:pPr>
    </w:lvl>
    <w:lvl w:ilvl="4" w:tplc="040E0019" w:tentative="1">
      <w:start w:val="1"/>
      <w:numFmt w:val="lowerLetter"/>
      <w:lvlText w:val="%5."/>
      <w:lvlJc w:val="left"/>
      <w:pPr>
        <w:ind w:left="4054" w:hanging="360"/>
      </w:pPr>
    </w:lvl>
    <w:lvl w:ilvl="5" w:tplc="040E001B" w:tentative="1">
      <w:start w:val="1"/>
      <w:numFmt w:val="lowerRoman"/>
      <w:lvlText w:val="%6."/>
      <w:lvlJc w:val="right"/>
      <w:pPr>
        <w:ind w:left="4774" w:hanging="180"/>
      </w:pPr>
    </w:lvl>
    <w:lvl w:ilvl="6" w:tplc="040E000F" w:tentative="1">
      <w:start w:val="1"/>
      <w:numFmt w:val="decimal"/>
      <w:lvlText w:val="%7."/>
      <w:lvlJc w:val="left"/>
      <w:pPr>
        <w:ind w:left="5494" w:hanging="360"/>
      </w:pPr>
    </w:lvl>
    <w:lvl w:ilvl="7" w:tplc="040E0019" w:tentative="1">
      <w:start w:val="1"/>
      <w:numFmt w:val="lowerLetter"/>
      <w:lvlText w:val="%8."/>
      <w:lvlJc w:val="left"/>
      <w:pPr>
        <w:ind w:left="6214" w:hanging="360"/>
      </w:pPr>
    </w:lvl>
    <w:lvl w:ilvl="8" w:tplc="040E001B" w:tentative="1">
      <w:start w:val="1"/>
      <w:numFmt w:val="lowerRoman"/>
      <w:lvlText w:val="%9."/>
      <w:lvlJc w:val="right"/>
      <w:pPr>
        <w:ind w:left="6934" w:hanging="180"/>
      </w:pPr>
    </w:lvl>
  </w:abstractNum>
  <w:abstractNum w:abstractNumId="5" w15:restartNumberingAfterBreak="0">
    <w:nsid w:val="76AB5547"/>
    <w:multiLevelType w:val="multilevel"/>
    <w:tmpl w:val="127A24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417170658">
    <w:abstractNumId w:val="5"/>
  </w:num>
  <w:num w:numId="2" w16cid:durableId="2016028366">
    <w:abstractNumId w:val="4"/>
  </w:num>
  <w:num w:numId="3" w16cid:durableId="410005714">
    <w:abstractNumId w:val="3"/>
  </w:num>
  <w:num w:numId="4" w16cid:durableId="1720081599">
    <w:abstractNumId w:val="0"/>
  </w:num>
  <w:num w:numId="5" w16cid:durableId="1072236665">
    <w:abstractNumId w:val="2"/>
  </w:num>
  <w:num w:numId="6" w16cid:durableId="90856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styleLockQFSet/>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5509"/>
    <w:rsid w:val="0000306D"/>
    <w:rsid w:val="00043987"/>
    <w:rsid w:val="00053A0A"/>
    <w:rsid w:val="00080C06"/>
    <w:rsid w:val="000F4E08"/>
    <w:rsid w:val="00160E25"/>
    <w:rsid w:val="001A45A3"/>
    <w:rsid w:val="00212967"/>
    <w:rsid w:val="002A74DB"/>
    <w:rsid w:val="0036355D"/>
    <w:rsid w:val="00385129"/>
    <w:rsid w:val="004B6B14"/>
    <w:rsid w:val="00620E07"/>
    <w:rsid w:val="006E4C65"/>
    <w:rsid w:val="006E7895"/>
    <w:rsid w:val="007D31DD"/>
    <w:rsid w:val="007D440E"/>
    <w:rsid w:val="00936492"/>
    <w:rsid w:val="00975A57"/>
    <w:rsid w:val="009978E5"/>
    <w:rsid w:val="009C6F69"/>
    <w:rsid w:val="00A012CA"/>
    <w:rsid w:val="00A67356"/>
    <w:rsid w:val="00AC0D1F"/>
    <w:rsid w:val="00AC537B"/>
    <w:rsid w:val="00B94D25"/>
    <w:rsid w:val="00CC16C3"/>
    <w:rsid w:val="00CE6C9B"/>
    <w:rsid w:val="00CF3F08"/>
    <w:rsid w:val="00D467FB"/>
    <w:rsid w:val="00D73A3A"/>
    <w:rsid w:val="00DB5509"/>
    <w:rsid w:val="00F671B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9FF6B09"/>
  <w15:docId w15:val="{36B2BDF4-2B6D-4CDD-BD4E-3554B424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HAns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semiHidden="1" w:uiPriority="9"/>
    <w:lsdException w:name="heading 2" w:semiHidden="1" w:uiPriority="9"/>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semiHidden/>
    <w:rsid w:val="00AC537B"/>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bjegyzetszveg">
    <w:name w:val="footnote text"/>
    <w:basedOn w:val="Norml"/>
    <w:link w:val="LbjegyzetszvegChar"/>
    <w:uiPriority w:val="99"/>
    <w:semiHidden/>
    <w:unhideWhenUsed/>
    <w:rsid w:val="006E7895"/>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6E7895"/>
    <w:rPr>
      <w:sz w:val="20"/>
      <w:szCs w:val="20"/>
    </w:rPr>
  </w:style>
  <w:style w:type="character" w:styleId="Lbjegyzet-hivatkozs">
    <w:name w:val="footnote reference"/>
    <w:basedOn w:val="Bekezdsalapbettpusa"/>
    <w:uiPriority w:val="99"/>
    <w:semiHidden/>
    <w:unhideWhenUsed/>
    <w:rsid w:val="006E7895"/>
    <w:rPr>
      <w:vertAlign w:val="superscript"/>
    </w:rPr>
  </w:style>
  <w:style w:type="paragraph" w:customStyle="1" w:styleId="PPFootnote">
    <w:name w:val="PP Footnote"/>
    <w:basedOn w:val="Norml"/>
    <w:qFormat/>
    <w:rsid w:val="006E7895"/>
    <w:pPr>
      <w:spacing w:after="0" w:line="240" w:lineRule="exact"/>
    </w:pPr>
    <w:rPr>
      <w:rFonts w:ascii="Times New Roman" w:hAnsi="Times New Roman"/>
      <w:sz w:val="16"/>
      <w:lang w:val="en-US"/>
    </w:rPr>
  </w:style>
  <w:style w:type="paragraph" w:customStyle="1" w:styleId="PPTitle">
    <w:name w:val="PP Title"/>
    <w:basedOn w:val="Norml"/>
    <w:qFormat/>
    <w:rsid w:val="00AC0D1F"/>
    <w:pPr>
      <w:spacing w:after="80" w:line="400" w:lineRule="exact"/>
    </w:pPr>
    <w:rPr>
      <w:rFonts w:ascii="Open Sans" w:hAnsi="Open Sans"/>
      <w:sz w:val="32"/>
      <w:lang w:val="en-US"/>
    </w:rPr>
  </w:style>
  <w:style w:type="paragraph" w:customStyle="1" w:styleId="PPAuthors">
    <w:name w:val="PP Authors"/>
    <w:basedOn w:val="Norml"/>
    <w:qFormat/>
    <w:rsid w:val="00AC0D1F"/>
    <w:pPr>
      <w:spacing w:after="120" w:line="280" w:lineRule="exact"/>
    </w:pPr>
    <w:rPr>
      <w:rFonts w:ascii="Open Sans" w:hAnsi="Open Sans"/>
      <w:lang w:val="en-US"/>
    </w:rPr>
  </w:style>
  <w:style w:type="paragraph" w:customStyle="1" w:styleId="PPAffiliation">
    <w:name w:val="PP Affiliation"/>
    <w:basedOn w:val="Norml"/>
    <w:qFormat/>
    <w:rsid w:val="00D467FB"/>
    <w:pPr>
      <w:spacing w:after="0" w:line="220" w:lineRule="exact"/>
      <w:ind w:left="113" w:hanging="113"/>
    </w:pPr>
    <w:rPr>
      <w:rFonts w:ascii="Open Sans" w:hAnsi="Open Sans"/>
      <w:sz w:val="16"/>
      <w:lang w:val="en-US"/>
    </w:rPr>
  </w:style>
  <w:style w:type="paragraph" w:customStyle="1" w:styleId="PPAbstractandKeywords">
    <w:name w:val="PP Abstract and Keywords"/>
    <w:basedOn w:val="Norml"/>
    <w:qFormat/>
    <w:rsid w:val="00043987"/>
    <w:pPr>
      <w:spacing w:after="0" w:line="280" w:lineRule="exact"/>
      <w:jc w:val="both"/>
    </w:pPr>
    <w:rPr>
      <w:rFonts w:ascii="Open Sans" w:hAnsi="Open Sans"/>
      <w:sz w:val="16"/>
      <w:lang w:val="en-US"/>
    </w:rPr>
  </w:style>
  <w:style w:type="paragraph" w:customStyle="1" w:styleId="PPHeading">
    <w:name w:val="PP Heading"/>
    <w:basedOn w:val="Norml"/>
    <w:qFormat/>
    <w:rsid w:val="00080C06"/>
    <w:pPr>
      <w:spacing w:before="80" w:after="0" w:line="280" w:lineRule="exact"/>
    </w:pPr>
    <w:rPr>
      <w:rFonts w:ascii="Times New Roman" w:hAnsi="Times New Roman"/>
      <w:b/>
      <w:sz w:val="20"/>
      <w:lang w:val="en-US"/>
    </w:rPr>
  </w:style>
  <w:style w:type="paragraph" w:customStyle="1" w:styleId="PPBodyMainText">
    <w:name w:val="PP Body: Main Text"/>
    <w:basedOn w:val="Norml"/>
    <w:qFormat/>
    <w:rsid w:val="00A67356"/>
    <w:pPr>
      <w:spacing w:after="0" w:line="280" w:lineRule="exact"/>
      <w:ind w:firstLine="227"/>
      <w:jc w:val="both"/>
    </w:pPr>
    <w:rPr>
      <w:rFonts w:ascii="Times New Roman" w:hAnsi="Times New Roman"/>
      <w:sz w:val="20"/>
      <w:lang w:val="en-US"/>
    </w:rPr>
  </w:style>
  <w:style w:type="paragraph" w:customStyle="1" w:styleId="PPFigureTableCaption">
    <w:name w:val="PP Figure/Table Caption"/>
    <w:basedOn w:val="Norml"/>
    <w:qFormat/>
    <w:rsid w:val="007D31DD"/>
    <w:pPr>
      <w:spacing w:after="0" w:line="240" w:lineRule="exact"/>
      <w:jc w:val="center"/>
    </w:pPr>
    <w:rPr>
      <w:rFonts w:ascii="Times New Roman" w:hAnsi="Times New Roman"/>
      <w:sz w:val="16"/>
      <w:lang w:val="en-US"/>
    </w:rPr>
  </w:style>
  <w:style w:type="paragraph" w:customStyle="1" w:styleId="PPTableBody">
    <w:name w:val="PP Table Body"/>
    <w:basedOn w:val="Norml"/>
    <w:qFormat/>
    <w:rsid w:val="00080C06"/>
    <w:pPr>
      <w:spacing w:after="0" w:line="200" w:lineRule="exact"/>
    </w:pPr>
    <w:rPr>
      <w:rFonts w:ascii="Times New Roman" w:eastAsia="Calibri" w:hAnsi="Times New Roman" w:cs="Times New Roman"/>
      <w:sz w:val="16"/>
      <w:lang w:val="en-US"/>
    </w:rPr>
  </w:style>
  <w:style w:type="paragraph" w:customStyle="1" w:styleId="PPReferences">
    <w:name w:val="PP References"/>
    <w:basedOn w:val="Norml"/>
    <w:qFormat/>
    <w:rsid w:val="0036355D"/>
    <w:pPr>
      <w:numPr>
        <w:numId w:val="5"/>
      </w:numPr>
      <w:spacing w:after="0" w:line="240" w:lineRule="exact"/>
      <w:ind w:left="397" w:hanging="397"/>
      <w:jc w:val="both"/>
    </w:pPr>
    <w:rPr>
      <w:rFonts w:ascii="Times New Roman" w:hAnsi="Times New Roman"/>
      <w:sz w:val="16"/>
      <w:lang w:val="en-US"/>
    </w:rPr>
  </w:style>
  <w:style w:type="paragraph" w:customStyle="1" w:styleId="PPEquation">
    <w:name w:val="PP Equation"/>
    <w:basedOn w:val="Norml"/>
    <w:qFormat/>
    <w:rsid w:val="00212967"/>
    <w:pPr>
      <w:spacing w:before="40" w:after="40" w:line="280" w:lineRule="exact"/>
    </w:pPr>
    <w:rPr>
      <w:rFonts w:ascii="Times New Roman" w:hAnsi="Times New Roman"/>
      <w:sz w:val="20"/>
      <w:lang w:val="en-US"/>
    </w:rPr>
  </w:style>
  <w:style w:type="paragraph" w:styleId="Buborkszveg">
    <w:name w:val="Balloon Text"/>
    <w:basedOn w:val="Norml"/>
    <w:link w:val="BuborkszvegChar"/>
    <w:uiPriority w:val="99"/>
    <w:semiHidden/>
    <w:unhideWhenUsed/>
    <w:rsid w:val="00212967"/>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212967"/>
    <w:rPr>
      <w:rFonts w:ascii="Tahoma" w:hAnsi="Tahoma" w:cs="Tahoma"/>
      <w:sz w:val="16"/>
      <w:szCs w:val="16"/>
    </w:rPr>
  </w:style>
  <w:style w:type="paragraph" w:customStyle="1" w:styleId="PPListingNumbered">
    <w:name w:val="PP Listing: Numbered"/>
    <w:basedOn w:val="Norml"/>
    <w:qFormat/>
    <w:rsid w:val="00936492"/>
    <w:pPr>
      <w:numPr>
        <w:numId w:val="2"/>
      </w:numPr>
      <w:spacing w:after="0" w:line="240" w:lineRule="exact"/>
      <w:ind w:left="681" w:hanging="454"/>
    </w:pPr>
    <w:rPr>
      <w:rFonts w:ascii="Times New Roman" w:hAnsi="Times New Roman"/>
      <w:sz w:val="20"/>
      <w:lang w:val="en-US"/>
    </w:rPr>
  </w:style>
  <w:style w:type="paragraph" w:customStyle="1" w:styleId="PPListingDotted">
    <w:name w:val="PP Listing: Dotted"/>
    <w:basedOn w:val="PPListingNumbered"/>
    <w:qFormat/>
    <w:rsid w:val="00936492"/>
    <w:pPr>
      <w:numPr>
        <w:numId w:val="3"/>
      </w:numPr>
      <w:ind w:left="681" w:hanging="454"/>
    </w:pPr>
  </w:style>
  <w:style w:type="character" w:styleId="Hiperhivatkozs">
    <w:name w:val="Hyperlink"/>
    <w:basedOn w:val="Bekezdsalapbettpusa"/>
    <w:uiPriority w:val="99"/>
    <w:unhideWhenUsed/>
    <w:rsid w:val="002A74DB"/>
    <w:rPr>
      <w:color w:val="0000FF" w:themeColor="hyperlink"/>
      <w:u w:val="single"/>
    </w:rPr>
  </w:style>
  <w:style w:type="character" w:styleId="Feloldatlanmegemlts">
    <w:name w:val="Unresolved Mention"/>
    <w:basedOn w:val="Bekezdsalapbettpusa"/>
    <w:uiPriority w:val="99"/>
    <w:semiHidden/>
    <w:unhideWhenUsed/>
    <w:rsid w:val="002A7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L1" Type="http://schemas.openxmlformats.org/officeDocument/2006/relationships/hyperlink" Target="mailto:sanjay.mirchandani@ves.ac.in" TargetMode="External"/><Relationship Id="rIdI1" Type="http://schemas.openxmlformats.org/officeDocument/2006/relationships/image" Target="media/image1.png"/><Relationship Id="rIdI2" Type="http://schemas.openxmlformats.org/officeDocument/2006/relationships/image" Target="media/image2.png"/><Relationship Id="rIdI3" Type="http://schemas.openxmlformats.org/officeDocument/2006/relationships/image" Target="media/image3.png"/><Relationship Id="rIdI4" Type="http://schemas.openxmlformats.org/officeDocument/2006/relationships/image" Target="media/image4.png"/><Relationship Id="rIdL6" Type="http://schemas.openxmlformats.org/officeDocument/2006/relationships/hyperlink" Target="https://proceedings.neurips.cc/paper_files/paper/2019/hash/846c260d715e5b854ffad5f70a516c88-Abstract.html" TargetMode="External"/><Relationship Id="rIdL7" Type="http://schemas.openxmlformats.org/officeDocument/2006/relationships/hyperlink" Target="https://arxiv.org/abs/2201.04234" TargetMode="External"/><Relationship Id="rIdL8" Type="http://schemas.openxmlformats.org/officeDocument/2006/relationships/hyperlink" Target="https://doi.org/10.1007/s10994-025-06970-3" TargetMode="External"/><Relationship Id="rIdL9" Type="http://schemas.openxmlformats.org/officeDocument/2006/relationships/hyperlink" Target="https://doi.org/10.1016/j.patcog.2011.06.019" TargetMode="External"/><Relationship Id="rIdL10" Type="http://schemas.openxmlformats.org/officeDocument/2006/relationships/hyperlink" Target="https://proceedings.mlr.press/v80/lipton18a.html" TargetMode="External"/><Relationship Id="rIdL11" Type="http://schemas.openxmlformats.org/officeDocument/2006/relationships/hyperlink" Target="https://doi.org/10.1007/978-3-032-04981-0_7" TargetMode="External"/><Relationship Id="rIdL12" Type="http://schemas.openxmlformats.org/officeDocument/2006/relationships/hyperlink" Target="https://doi.org/10.1016/j.ins.2023.119612" TargetMode="External"/><Relationship Id="rIdL13" Type="http://schemas.openxmlformats.org/officeDocument/2006/relationships/hyperlink" Target="https://doi.org/10.1007/978-3-540-28645-5_29" TargetMode="External"/><Relationship Id="rIdL14" Type="http://schemas.openxmlformats.org/officeDocument/2006/relationships/hyperlink" Target="https://jmlr.org/papers/v13/gretton12a.html" TargetMode="External"/><Relationship Id="rIdL15" Type="http://schemas.openxmlformats.org/officeDocument/2006/relationships/hyperlink" Target="https://arxiv.org/abs/1610.06545" TargetMode="External"/><Relationship Id="rIdL16" Type="http://schemas.openxmlformats.org/officeDocument/2006/relationships/hyperlink" Target="https://arxiv.org/abs/1610.02136" TargetMode="External"/><Relationship Id="rIdL17" Type="http://schemas.openxmlformats.org/officeDocument/2006/relationships/hyperlink" Target="https://doi.org/10.1109/ICCV48922.2021.00117" TargetMode="External"/><Relationship Id="rIdL18" Type="http://schemas.openxmlformats.org/officeDocument/2006/relationships/hyperlink" Target="https://proceedings.neurips.cc/paper_files/paper/2019/hash/8558cb408c1d76621371888657d2eb1d-Abstract.html" TargetMode="External"/><Relationship Id="rIdL19" Type="http://schemas.openxmlformats.org/officeDocument/2006/relationships/hyperlink" Target="https://proceedings.neurips.cc/paper_files/paper/2017/hash/8a20a8621978632d76c43dfd28b67767-Abstract.html" TargetMode="External"/><Relationship Id="rIdL20" Type="http://schemas.openxmlformats.org/officeDocument/2006/relationships/hyperlink" Target="https://doi.org/10.1109/CVPR.2016.319" TargetMode="External"/><Relationship Id="rIdL21" Type="http://schemas.openxmlformats.org/officeDocument/2006/relationships/hyperlink" Target="https://doi.org/10.1109/ICDM.2008.17" TargetMode="External"/><Relationship Id="rIdL22" Type="http://schemas.openxmlformats.org/officeDocument/2006/relationships/hyperlink" Target="https://doi.org/10.1016/S0378-3758(00)00115-4" TargetMode="External"/><Relationship Id="rIdL23" Type="http://schemas.openxmlformats.org/officeDocument/2006/relationships/hyperlink" Target="https://jmlr.org/papers/v8/sugiyama07a.html" TargetMode="External"/><Relationship Id="rIdL24" Type="http://schemas.openxmlformats.org/officeDocument/2006/relationships/hyperlink" Target="https://proceedings.neurips.cc/paper_files/paper/2010/hash/59c33016884a62116be975a9bb8257e3-Abstract.html" TargetMode="External"/><Relationship Id="rIdL25" Type="http://schemas.openxmlformats.org/officeDocument/2006/relationships/hyperlink" Target="https://proceedings.neurips.cc/paper_files/paper/2021/hash/32e54441e6382a7fbacbbbaf3c450059-Abstract.html" TargetMode="External"/><Relationship Id="rIdL26" Type="http://schemas.openxmlformats.org/officeDocument/2006/relationships/hyperlink" Target="https://datasets-benchmarks-proceedings.neurips.cc/paper/2021/hash/2838023a778dfaecdc212708f721b788-Abstract-round2.html" TargetMode="External"/><Relationship Id="rIdL27" Type="http://schemas.openxmlformats.org/officeDocument/2006/relationships/hyperlink" Target="https://www.jstor.org/stable/4615733" TargetMode="External"/><Relationship Id="rIdL28" Type="http://schemas.openxmlformats.org/officeDocument/2006/relationships/hyperlink" Target="https://doi.org/10.1109/CVPR.2016.90" TargetMode="External"/><Relationship Id="rIdL29" Type="http://schemas.openxmlformats.org/officeDocument/2006/relationships/hyperlink" Target="https://doi.org/10.1002/9781119201731" TargetMode="External"/><Relationship Id="rIdL30" Type="http://schemas.openxmlformats.org/officeDocument/2006/relationships/hyperlink" Target="https://doi.org/10.2307/3001616" TargetMode="External"/><Relationship Id="rIdL31" Type="http://schemas.openxmlformats.org/officeDocument/2006/relationships/hyperlink" Target="https://doi.org/10.2202/1544-6115.1585" TargetMode="External"/><Relationship Id="rIdL32" Type="http://schemas.openxmlformats.org/officeDocument/2006/relationships/hyperlink" Target="https://doi.org/10.1016/S0895-4356(96)00236-3" TargetMode="External"/><Relationship Id="rIdL33" Type="http://schemas.openxmlformats.org/officeDocument/2006/relationships/hyperlink" Target="https://jmlr.org/papers/v12/pedregosa11a.html" TargetMode="External"/><Relationship Id="rIdL34" Type="http://schemas.openxmlformats.org/officeDocument/2006/relationships/hyperlink" Target="https://proceedings.neurips.cc/paper_files/paper/2017/hash/6449f44a102fde848669bdd9eb6b76fa-Abstract.html" TargetMode="External"/><Relationship Id="rIdL35" Type="http://schemas.openxmlformats.org/officeDocument/2006/relationships/hyperlink" Target="https://www.census.gov/programs-surveys/acs/data/experimental-data.html" TargetMode="External"/><Relationship Id="rIdL36" Type="http://schemas.openxmlformats.org/officeDocument/2006/relationships/hyperlink" Target="https://www2.census.gov/programs-surveys/acs/tech_docs/pums/data_dict/PUMS_Data_Dictionary_2019.csv" TargetMode="External"/><Relationship Id="rIdL37" Type="http://schemas.openxmlformats.org/officeDocument/2006/relationships/hyperlink" Target="https://www.census.gov/library/publications/2020/demo/acs-tp78.html" TargetMode="External"/><Relationship Id="rIdL38" Type="http://schemas.openxmlformats.org/officeDocument/2006/relationships/hyperlink" Target="https://www.census.gov/programs-surveys/acs/technical-documentation/user-notes/2021-03.html" TargetMode="External"/><Relationship Id="rIdL39" Type="http://schemas.openxmlformats.org/officeDocument/2006/relationships/hyperlink" Target="https://doi.org/10.1016/j.snb.2012.01.074" TargetMode="External"/><Relationship Id="rIdL40" Type="http://schemas.openxmlformats.org/officeDocument/2006/relationships/hyperlink" Target="https://doi.org/10.1016/j.chemolab.2013.10.012" TargetMode="External"/><Relationship Id="rIdL41" Type="http://schemas.openxmlformats.org/officeDocument/2006/relationships/hyperlink" Target="https://doi.org/10.1080/01621459.1927.10502953"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8A36AF-2285-4B07-982E-8A3BC7C03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208</Words>
  <Characters>1439</Characters>
  <Application>Microsoft Office Word</Application>
  <DocSecurity>0</DocSecurity>
  <Lines>11</Lines>
  <Paragraphs>3</Paragraphs>
  <ScaleCrop>false</ScaleCrop>
  <HeadingPairs>
    <vt:vector size="2" baseType="variant">
      <vt:variant>
        <vt:lpstr>Cím</vt:lpstr>
      </vt:variant>
      <vt:variant>
        <vt:i4>1</vt:i4>
      </vt:variant>
    </vt:vector>
  </HeadingPairs>
  <TitlesOfParts>
    <vt:vector size="1" baseType="lpstr">
      <vt:lpstr/>
    </vt:vector>
  </TitlesOfParts>
  <Company>BME OMIKK</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 Detection, Diagnosis and Reliability Analysis for Deployed Machine Learning Models</dc:title>
  <dc:creator>Sanjay Mirchandani; Nathan Cherian; Rahul Guhagarkar; Alok Pal; Akul Patre</dc:creator>
  <cp:lastModifiedBy>Sanjay Mirchandani</cp:lastModifiedBy>
  <cp:revision>1</cp:revision>
  <dcterms:created xsi:type="dcterms:W3CDTF">2026-10-21T14:42:27Z</dcterms:created>
  <dcterms:modified xsi:type="dcterms:W3CDTF">2026-10-21T14:42:27Z</dcterms:modified>
</cp:coreProperties>
</file>