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open monitoring pipeline that detects drift, estimates the lost accuracy without labels, locates the shifted features, names the drift type, scores the trust due to each prediction and advises whether a cheap retrain will help. Its core is a diagnosis built from hypothesis tests that share one family-wise error rate. A label-free stage separates covariate shift from prior shift. A new audit test on a few hundred late labels then separates concept drift from label noise by checking whether the errors changed beyond what the model’s own confidence explains. On drift injected into two census tasks with two model families, the diagnosis names the type in 85.7 to 94.3% of windows and beats the rules used in monitoring practice. A learned meta-classifier wins on the drift it was trained on but falls to 31.1 to 51.2% on held-out drift mechanisms, where our tests keep 62.4 to 81.5%. On four real datasets with documented changes, the pipeline reported no drift on any control window and traced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A classifier that works well on the day it is deployed can lose accuracy quietly over the following months. The data it sees in production move away from the data it was trained on. Reliable labels that would reveal the loss often arrive much later </w:t>
      </w:r>
      <w:r>
        <w:t xml:space="preserve">[1]</w:t>
      </w:r>
      <w:r>
        <w:t xml:space="preserve">. Monitoring therefore has to notice the change and judge what it means while the labels are still missing.</w:t>
      </w:r>
    </w:p>
    <w:p>
      <w:pPr>
        <w:pStyle w:val="PPBodyMainText"/>
      </w:pPr>
      <w:r>
        <w:t xml:space="preserve">Current monitors handle the first half of this task well. They can tell that a distribution has changed </w:t>
      </w:r>
      <w:r>
        <w:t xml:space="preserve">[1]</w:t>
      </w:r>
      <w:r>
        <w:t xml:space="preserve"> and estimate how much accuracy has been lost </w:t>
      </w:r>
      <w:r>
        <w:t xml:space="preserve">[2, 3]</w:t>
      </w:r>
      <w:r>
        <w:t xml:space="preserve">. What they rarely report is the kind of change. This matters because each kind calls for a different fix. The literature names three types of dataset shift </w:t>
      </w:r>
      <w:r>
        <w:t xml:space="preserve">[4]</w:t>
      </w:r>
      <w:r>
        <w:t xml:space="preserve">. In covariate shift the inputs move but the rule that maps inputs to labels stays the same, so reweighting the training data can help. In prior shift only the class balance changes. Recalibrating the model is then usually enough. Concept drift changes the rule itself and can only be repaired with fresh labels. We treat label noise as a fourth type, since it corrupts the very labels used to judge the model and points to a problem in the labeling process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open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It is a short sequence of hypothesis tests run at one significance level, with the family-wise error rate controlled across all of them. The first stage needs no labels and builds on known methods. It tests the inputs and the predictions for a shift, estimates the new class balance with black-box shift estimation (BBSE) </w:t>
      </w:r>
      <w:r>
        <w:t xml:space="preserve">[5]</w:t>
      </w:r>
      <w:r>
        <w:t xml:space="preserve"> and then, following Roschewitz et al. </w:t>
      </w:r>
      <w:r>
        <w:t xml:space="preserve">[6]</w:t>
      </w:r>
      <w:r>
        <w:t xml:space="preserve">, asks whether this new balance alone explains the shift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open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State of the art</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The tests in the following stages need an exact statement of what each type of drift changes, so we fix the notation first. The reference data come from a distribution </w:t>
      </w:r>
      <m:oMath>
        <m:r>
          <m:t>P</m:t>
        </m:r>
        <m:r>
          <m:rPr>
            <m:sty m:val="p"/>
          </m:rPr>
          <m:t>(</m:t>
        </m:r>
        <m:r>
          <m:t>X</m:t>
        </m:r>
        <m:r>
          <m:rPr>
            <m:sty m:val="p"/>
          </m:rPr>
          <m:t>,</m:t>
        </m:r>
        <m:r>
          <m:t>Y</m:t>
        </m:r>
        <m:r>
          <m:rPr>
            <m:sty m:val="p"/>
          </m:rPr>
          <m:t>)</m:t>
        </m:r>
      </m:oMath>
      <w:r>
        <w:t xml:space="preserve"> over inputs </w:t>
      </w:r>
      <m:oMath>
        <m:r>
          <m:t>X</m:t>
        </m:r>
      </m:oMath>
      <w:r>
        <w:t xml:space="preserve"> and labels </w:t>
      </w:r>
      <m:oMath>
        <m:r>
          <m:t>Y</m:t>
        </m:r>
      </m:oMath>
      <w:r>
        <w:t xml:space="preserve">. A production window is a batch of rows from a later period or another region, drawn from </w:t>
      </w:r>
      <m:oMath>
        <m:r>
          <m:t>Q</m:t>
        </m:r>
        <m:r>
          <m:rPr>
            <m:sty m:val="p"/>
          </m:rPr>
          <m:t>(</m:t>
        </m:r>
        <m:r>
          <m:t>X</m:t>
        </m:r>
        <m:r>
          <m:rPr>
            <m:sty m:val="p"/>
          </m:rPr>
          <m:t>,</m:t>
        </m:r>
        <m:r>
          <m:t>Y</m:t>
        </m:r>
        <m:r>
          <m:rPr>
            <m:sty m:val="p"/>
          </m:rPr>
          <m:t>)</m:t>
        </m:r>
      </m:oMath>
      <w:r>
        <w:t xml:space="preserve">. For each row the model returns a predicted label </w:t>
      </w:r>
      <m:oMath>
        <m:acc>
          <m:accPr>
            <m:chr m:val="̂"/>
          </m:accPr>
          <m:e>
            <m:r>
              <m:t>y</m:t>
            </m:r>
          </m:e>
        </m:acc>
      </m:oMath>
      <w:r>
        <w:t xml:space="preserve"> and a confidence </w:t>
      </w:r>
      <m:oMath>
        <m:r>
          <m:t>c</m:t>
        </m:r>
      </m:oMath>
      <w:r>
        <w:t xml:space="preserve">,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Under label noise the true distribution stays the same, but every observed label differs from the true one with some probability. An audit is a random sample of </w:t>
      </w:r>
      <m:oMath>
        <m:r>
          <m:t>m</m:t>
        </m:r>
      </m:oMath>
      <w:r>
        <w:t xml:space="preserve"> production rows whose labels arrive late. A control window is drawn from the reference distribution itself, so it should raise no alarm. Real drift can mix several types, a point Section </w:t>
      </w:r>
      <w:r>
        <w:t xml:space="preserve">6</w:t>
      </w:r>
      <w:r>
        <w:t xml:space="preserve"> returns to.</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Each block gets an equal share of the weight. The feature block splits its share equally among the features. When a test rejects, its weight passes to the tests still open, so the family-wise error rate holds over every label-free decision. The first step of this procedure is the ordinary Holm procedure over the three blocks, with the features of a block pooled by their Bonferroni p value. Without this pooling, the MMD test, whose smallest possible p value is </w:t>
      </w:r>
      <m:oMath>
        <m:r>
          <m:t>1</m:t>
        </m:r>
        <m:r>
          <m:rPr>
            <m:sty m:val="p"/>
          </m:rPr>
          <m:t>/</m:t>
        </m:r>
        <m:r>
          <m:rPr>
            <m:sty m:val="p"/>
          </m:rPr>
          <m:t>(</m:t>
        </m:r>
        <m:r>
          <m:t>B</m:t>
        </m:r>
        <m:r>
          <m:rPr>
            <m:sty m:val="p"/>
          </m:rPr>
          <m:t>+</m:t>
        </m:r>
        <m:r>
          <m:t>1</m:t>
        </m:r>
        <m:r>
          <m:rPr>
            <m:sty m:val="p"/>
          </m:rPr>
          <m:t>)</m:t>
        </m:r>
      </m:oMath>
      <w:r>
        <w:t xml:space="preserve">, could not compete with many feature tests. If no test rejects, this stage reports no shift.</w:t>
      </w:r>
    </w:p>
    <w:p>
      <w:pPr>
        <w:pStyle w:val="PPBodyMainText"/>
      </w:pPr>
      <w:r>
        <w:t xml:space="preserve">When a block does reject, the diagnosis asks whether a change in the class balance alone would explain the shift. BBSE estimates the new class prior for this purpose.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Under a pure prior shift the inputs keep their distribution inside each class. Weighting each reference row by the weight </w:t>
      </w:r>
      <m:oMath>
        <m:sSub>
          <m:e>
            <m:r>
              <m:t>w</m:t>
            </m:r>
          </m:e>
          <m:sub>
            <m:r>
              <m:t>y</m:t>
            </m:r>
          </m:sub>
        </m:sSub>
      </m:oMath>
      <w:r>
        <w:t xml:space="preserve"> of its class from Eq. (</w:t>
      </w:r>
      <w:r>
        <w:t xml:space="preserve">2</w:t>
      </w:r>
      <w:r>
        <w:t xml:space="preserve">) should then reproduce the production inputs. This label shift consistency test follows the prevalence adjustment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Knowing the type tells a team what to do. Root cause analysis tells it where to look. This step asks which inputs the model now relies on differently. It narrows the search for a cause but cannot prove one. For tabular models we compute SHAP values </w:t>
      </w:r>
      <w:r>
        <w:t xml:space="preserve">[14]</w:t>
      </w:r>
      <w:r>
        <w:t xml:space="preserve"> of the deployed model with its preprocessing and compare the mean absolute attribution of each feature between reference and production rows. Each change comes with a percentile bootstrap interval whose level is Bonferroni adjusted over the features. For images, CAM shows which regions of an image support the prediction of the linear head </w:t>
      </w:r>
      <w:r>
        <w:t xml:space="preserve">[15]</w:t>
      </w:r>
      <w:r>
        <w:t xml:space="preserve">.</w:t>
      </w:r>
    </w:p>
    <w:p>
      <w:pPr>
        <w:pStyle w:val="PPHeading"/>
        <w:keepNext/>
      </w:pPr>
      <w:r>
        <w:t xml:space="preserve">3.5 Reliability and remediation triage</w:t>
      </w:r>
    </w:p>
    <w:p>
      <w:pPr>
        <w:pStyle w:val="PPBodyMainText"/>
        <w:ind w:firstLine="0"/>
      </w:pPr>
      <w:r>
        <w:t xml:space="preserve">Up to this point the pipeline describes a window as a whole. A team usually has two further questions. Which single predictions deserve less trust? Would a cheap retrain win back the lost accuracy? For the first, every prediction gets three signals between 0 and 1. They are the confidence risk </w:t>
      </w:r>
      <m:oMath>
        <m:r>
          <m:t>1</m:t>
        </m:r>
        <m:r>
          <m:rPr>
            <m:sty m:val="p"/>
          </m:rPr>
          <m:t>−</m:t>
        </m:r>
        <m:r>
          <m:t>c</m:t>
        </m:r>
      </m:oMath>
      <w:r>
        <w:t xml:space="preserve">, an OOD score and the instability of the prediction under small perturbations of the input. The OOD score combines an Isolation Forest </w:t>
      </w:r>
      <w:r>
        <w:t xml:space="preserve">[16]</w:t>
      </w:r>
      <w:r>
        <w:t xml:space="preserve"> with a standardized distance. A logistic regression fitted on the calibration part turns the three signals into a probability of error. It is fitted only when the calibration part holds at least ten wrong predictions per signal </w:t>
      </w:r>
      <w:r>
        <w:t xml:space="preserve">[28]</w:t>
      </w:r>
      <w:r>
        <w:t xml:space="preserve">; otherwise the risk is simply </w:t>
      </w:r>
      <m:oMath>
        <m:r>
          <m:t>1</m:t>
        </m:r>
        <m:r>
          <m:rPr>
            <m:sty m:val="p"/>
          </m:rPr>
          <m:t>−</m:t>
        </m:r>
        <m:r>
          <m:t>c</m:t>
        </m:r>
      </m:oMath>
      <w:r>
        <w:t xml:space="preserve">.</w:t>
      </w:r>
    </w:p>
    <w:p>
      <w:pPr>
        <w:pStyle w:val="PPBodyMainText"/>
      </w:pPr>
      <w:r>
        <w:t xml:space="preserve">For the second, the triage predicts without production labels whether a cheap retrain will help. A classifier that tells reference rows from production rows supplies density ratio weights. They are fitted on separate folds and capped at 20 times their mean </w:t>
      </w:r>
      <w:r>
        <w:t xml:space="preserve">[19]</w:t>
      </w:r>
      <w:r>
        <w:t xml:space="preserve">. A model trained with these weights is compared with an unweighted one on a held-out 30% of the reference, which is itself weighted by the density ratio </w:t>
      </w:r>
      <w:r>
        <w:t xml:space="preserve">[17, 18]</w:t>
      </w:r>
      <w:r>
        <w:t xml:space="preserve">. When late labels from an earlier window exist, a second probe retrains on them and is validated on a held-out part of that window. The triage recommends a retrain when the predicted gain of a probe is significant after Holm correction across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is found in 95%, although no single feature defines the region.</w:t>
      </w:r>
    </w:p>
    <w:p>
      <w:pPr>
        <w:pStyle w:val="PPBodyMainText"/>
      </w:pPr>
      <w:r>
        <w:t xml:space="preserve">The other two do not. Raising the income threshold relabels some rows in every window but hardly changes accuracy (mean drop −0.3 points). Because the audit first asks whether accuracy fell, it reports no drift in 132 of the 150 windows. The procedure looks for drift that harms the model. This drift does not. Class-conditional label noise is named correctly in only 21% of ACS Income windows. At low rates the drop in accuracy is too small to detect with 600 labels. At high rates the errors follow the true class, which is correlated with the features, so the error structure test reads the pattern as concept drift. This is a real limitation of a null model that conditions on confidence alone. Both failures come from the audit, not from the label-free stage.</w:t>
      </w:r>
    </w:p>
    <w:p>
      <w:pPr>
        <w:pStyle w:val="PPBodyMainText"/>
      </w:pPr>
      <w:r>
        <w:t xml:space="preserve">The same patterns appear for ACS Employment and for GB. On design A our procedure reaches 85.7% on ACS Employment with LR and, with GB, 94.2% on ACS Income and 90.5% on ACS Employment. Label noise is the hardest type on ACS Employment, named in 50.0% of windows. The methods rank the same for both model families. The tests read only the outputs and errors of the model, so a nonlinear model needs no changes to them.</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show up in the localization: when the occupation codes were revised in 2018, 26.6% of rows carried a code never seen in 2014. The model’s reliance on occupation then fell (SHAP change −0.032). After the relationship question was redesigned in 2019, relationship shifts with an effect size of 0.091. From 2021 on, race shifts with an effect size of 0.186, in line with the change in how the Census Bureau codes written race answers </w:t>
      </w:r>
      <w:r>
        <w:t xml:space="preserve">[34]</w:t>
      </w:r>
      <w:r>
        <w:t xml:space="preserve">. Wage growth against the fixed threshold appears in the labels. The share of positive labels rises from 0.355 in the control window to 0.498 in 2023, while the model predicts only 0.338. Part of the 2023 loss is therefore a change in the labeling rule, which no label-free test can see.</w:t>
      </w:r>
    </w:p>
    <w:p>
      <w:pPr>
        <w:pStyle w:val="PPBodyMainText"/>
      </w:pPr>
      <w:r>
        <w:t xml:space="preserve">The other datasets differ in how much the drift costs. On ACS Employment every window is diagnosed as covariate shift, yet accuracy moves by at most 2.2 points with LR: the inputs change, including relationship in 2019 and race from 2021, but the model hardly notices. A drift alarm alone would overstate the problem here, while the accuracy estimate and the audit put it in proportion. Every gas sensor batch is also diagnosed as covariate shift, which matches the known cause: aging sensors change </w:t>
      </w:r>
      <m:oMath>
        <m:r>
          <m:t>P</m:t>
        </m:r>
        <m:r>
          <m:rPr>
            <m:sty m:val="p"/>
          </m:rPr>
          <m:t>(</m:t>
        </m:r>
        <m:r>
          <m:t>X</m:t>
        </m:r>
        <m:r>
          <m:rPr>
            <m:sty m:val="p"/>
          </m:rPr>
          <m:t>∣</m:t>
        </m:r>
        <m:r>
          <m:t>Y</m:t>
        </m:r>
        <m:r>
          <m:rPr>
            <m:sty m:val="p"/>
          </m:rPr>
          <m:t>)</m:t>
        </m:r>
      </m:oMath>
      <w:r>
        <w:t xml:space="preserve">. With LR, accuracy changes by −65.2 points in batch 8. BBSE first calls all of these batches prior shift because the predicted labels move too. The consistency test shows that they move because the sensors read differently, not because the mix of gases changed.</w:t>
      </w:r>
    </w:p>
    <w:p>
      <w:pPr>
        <w:pStyle w:val="PPBodyMainText"/>
      </w:pPr>
      <w:r>
        <w:t xml:space="preserve">On CLEAR-10 the change is subtle. Both models report no drift in buckets 2 and 3 and covariate shift in buckets 4, 5, 6, 7, 8, 9 and 10.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With hundreds of thousands of rows even tiny shifts are significant, so an effect size accompanies every decision. Drift that leaves accuracy intact passes the audit unnoticed, while class-conditional label noise is often read as concept drift. Deep models trained end to end, text and streaming data are not covered. Future work will condition the audit on the full model output, model the sampling error of the BBSE weights and test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2026-10-21T15:17:25Z</dcterms:created>
  <dcterms:modified xsi:type="dcterms:W3CDTF">2026-10-21T15:17:25Z</dcterms:modified>
</cp:coreProperties>
</file>