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94B2" w14:textId="77777777" w:rsidR="00ED5989" w:rsidRDefault="007F5FD3" w:rsidP="007F5FD3">
      <w:pPr>
        <w:jc w:val="center"/>
        <w:rPr>
          <w:rFonts w:ascii="Arial" w:hAnsi="Arial" w:cs="Arial"/>
          <w:b/>
          <w:bCs/>
          <w:sz w:val="24"/>
          <w:szCs w:val="24"/>
        </w:rPr>
      </w:pPr>
      <w:r>
        <w:rPr>
          <w:rFonts w:ascii="Arial" w:hAnsi="Arial" w:cs="Arial"/>
          <w:b/>
          <w:bCs/>
          <w:sz w:val="24"/>
          <w:szCs w:val="24"/>
        </w:rPr>
        <w:t>FICHAMENTO DE ARTIGO CIENTÍFICO</w:t>
      </w:r>
    </w:p>
    <w:p w14:paraId="51CD3081" w14:textId="77777777" w:rsidR="007F5FD3" w:rsidRDefault="007F5FD3">
      <w:pPr>
        <w:rPr>
          <w:rFonts w:ascii="Arial" w:hAnsi="Arial" w:cs="Arial"/>
          <w:b/>
          <w:bCs/>
          <w:sz w:val="24"/>
          <w:szCs w:val="24"/>
        </w:rPr>
      </w:pPr>
    </w:p>
    <w:p w14:paraId="47CA9569" w14:textId="77777777" w:rsidR="007F5FD3" w:rsidRDefault="007F5FD3" w:rsidP="007F5FD3">
      <w:pPr>
        <w:jc w:val="both"/>
        <w:rPr>
          <w:rFonts w:ascii="Arial" w:hAnsi="Arial" w:cs="Arial"/>
          <w:sz w:val="24"/>
          <w:szCs w:val="24"/>
        </w:rPr>
      </w:pPr>
      <w:r>
        <w:rPr>
          <w:rFonts w:ascii="Arial" w:hAnsi="Arial" w:cs="Arial"/>
          <w:sz w:val="24"/>
          <w:szCs w:val="24"/>
        </w:rPr>
        <w:t>Referência:</w:t>
      </w:r>
    </w:p>
    <w:p w14:paraId="3B7B2C32" w14:textId="77777777" w:rsidR="008074C3" w:rsidRDefault="008074C3" w:rsidP="007F5FD3">
      <w:pPr>
        <w:jc w:val="both"/>
        <w:rPr>
          <w:rFonts w:ascii="Arial" w:hAnsi="Arial" w:cs="Arial"/>
          <w:sz w:val="24"/>
          <w:szCs w:val="24"/>
        </w:rPr>
      </w:pPr>
    </w:p>
    <w:p w14:paraId="39ECB1F2" w14:textId="3D83294B" w:rsidR="008074C3" w:rsidRDefault="008074C3" w:rsidP="007F5FD3">
      <w:pPr>
        <w:jc w:val="both"/>
        <w:rPr>
          <w:rFonts w:ascii="Arial" w:hAnsi="Arial" w:cs="Arial"/>
          <w:sz w:val="24"/>
          <w:szCs w:val="24"/>
        </w:rPr>
      </w:pPr>
      <w:r w:rsidRPr="008074C3">
        <w:rPr>
          <w:rFonts w:ascii="Arial" w:hAnsi="Arial" w:cs="Arial"/>
          <w:sz w:val="24"/>
          <w:szCs w:val="24"/>
        </w:rPr>
        <w:t xml:space="preserve">ANDRADE, Júnia Amorim et al. Estudo comparativo entre os métodos de estimativa visual e </w:t>
      </w:r>
      <w:proofErr w:type="spellStart"/>
      <w:r w:rsidRPr="008074C3">
        <w:rPr>
          <w:rFonts w:ascii="Arial" w:hAnsi="Arial" w:cs="Arial"/>
          <w:sz w:val="24"/>
          <w:szCs w:val="24"/>
        </w:rPr>
        <w:t>goniometria</w:t>
      </w:r>
      <w:proofErr w:type="spellEnd"/>
      <w:r w:rsidRPr="008074C3">
        <w:rPr>
          <w:rFonts w:ascii="Arial" w:hAnsi="Arial" w:cs="Arial"/>
          <w:sz w:val="24"/>
          <w:szCs w:val="24"/>
        </w:rPr>
        <w:t xml:space="preserve"> para avaliação das amplitudes de movimento da articulação do ombro. Acta fisiátrica, v. 10, n. 1, p. 12-16, 2003.</w:t>
      </w:r>
    </w:p>
    <w:p w14:paraId="2E841BF9" w14:textId="738E6CB1" w:rsidR="007F5FD3" w:rsidRDefault="007F5FD3" w:rsidP="007F5FD3">
      <w:pPr>
        <w:jc w:val="both"/>
        <w:rPr>
          <w:rFonts w:ascii="Arial" w:hAnsi="Arial" w:cs="Arial"/>
          <w:sz w:val="24"/>
          <w:szCs w:val="24"/>
        </w:rPr>
      </w:pPr>
      <w:r>
        <w:rPr>
          <w:rFonts w:ascii="Arial" w:hAnsi="Arial" w:cs="Arial"/>
          <w:sz w:val="24"/>
          <w:szCs w:val="24"/>
        </w:rPr>
        <w:t xml:space="preserve">DOI: </w:t>
      </w:r>
      <w:hyperlink r:id="rId4" w:history="1">
        <w:r w:rsidR="008074C3" w:rsidRPr="008074C3">
          <w:rPr>
            <w:rFonts w:ascii="Arial" w:hAnsi="Arial" w:cs="Arial"/>
            <w:sz w:val="24"/>
            <w:szCs w:val="24"/>
          </w:rPr>
          <w:t>https://doi.org/10.11606/issn.2317-0190.v10i1a102409</w:t>
        </w:r>
      </w:hyperlink>
    </w:p>
    <w:p w14:paraId="6BCF91C2" w14:textId="77777777" w:rsidR="008074C3" w:rsidRDefault="008074C3" w:rsidP="007F5FD3">
      <w:pPr>
        <w:jc w:val="both"/>
        <w:rPr>
          <w:rFonts w:ascii="Arial" w:hAnsi="Arial" w:cs="Arial"/>
          <w:sz w:val="24"/>
          <w:szCs w:val="24"/>
        </w:rPr>
      </w:pPr>
    </w:p>
    <w:p w14:paraId="1D31F9E6" w14:textId="77777777" w:rsidR="00C90609" w:rsidRDefault="00C90609" w:rsidP="007F5FD3">
      <w:pPr>
        <w:jc w:val="both"/>
        <w:rPr>
          <w:rFonts w:ascii="Arial" w:hAnsi="Arial" w:cs="Arial"/>
          <w:sz w:val="24"/>
          <w:szCs w:val="24"/>
        </w:rPr>
      </w:pPr>
      <w:r>
        <w:rPr>
          <w:rFonts w:ascii="Arial" w:hAnsi="Arial" w:cs="Arial"/>
          <w:sz w:val="24"/>
          <w:szCs w:val="24"/>
        </w:rPr>
        <w:t>Resumo:</w:t>
      </w:r>
    </w:p>
    <w:p w14:paraId="214CA940" w14:textId="77777777" w:rsidR="004605A7" w:rsidRDefault="004605A7" w:rsidP="007F5FD3">
      <w:pPr>
        <w:jc w:val="both"/>
        <w:rPr>
          <w:rFonts w:ascii="Arial" w:hAnsi="Arial" w:cs="Arial"/>
          <w:sz w:val="24"/>
          <w:szCs w:val="24"/>
        </w:rPr>
      </w:pPr>
    </w:p>
    <w:p w14:paraId="1505B4AD" w14:textId="44C22E4D" w:rsidR="007F5FD3" w:rsidRDefault="00AA6F87" w:rsidP="001D7EA6">
      <w:pPr>
        <w:jc w:val="both"/>
        <w:rPr>
          <w:rFonts w:ascii="Arial" w:hAnsi="Arial" w:cs="Arial"/>
          <w:sz w:val="24"/>
          <w:szCs w:val="24"/>
        </w:rPr>
      </w:pPr>
      <w:r w:rsidRPr="00AA6F87">
        <w:rPr>
          <w:rFonts w:ascii="Arial" w:hAnsi="Arial" w:cs="Arial"/>
          <w:sz w:val="24"/>
          <w:szCs w:val="24"/>
        </w:rPr>
        <w:t>O artigo apresenta o delineamento da pesquisa, cujo objetivo é comparar os métodos de medida utilizados pelos fisioterapeutas</w:t>
      </w:r>
      <w:r w:rsidR="009379A3">
        <w:rPr>
          <w:rFonts w:ascii="Arial" w:hAnsi="Arial" w:cs="Arial"/>
          <w:sz w:val="24"/>
          <w:szCs w:val="24"/>
        </w:rPr>
        <w:t xml:space="preserve">, são eles o manual da AAOS (American </w:t>
      </w:r>
      <w:proofErr w:type="spellStart"/>
      <w:r w:rsidR="009379A3">
        <w:rPr>
          <w:rFonts w:ascii="Arial" w:hAnsi="Arial" w:cs="Arial"/>
          <w:sz w:val="24"/>
          <w:szCs w:val="24"/>
        </w:rPr>
        <w:t>Academy</w:t>
      </w:r>
      <w:proofErr w:type="spellEnd"/>
      <w:r w:rsidR="009379A3">
        <w:rPr>
          <w:rFonts w:ascii="Arial" w:hAnsi="Arial" w:cs="Arial"/>
          <w:sz w:val="24"/>
          <w:szCs w:val="24"/>
        </w:rPr>
        <w:t xml:space="preserve"> </w:t>
      </w:r>
      <w:proofErr w:type="spellStart"/>
      <w:r w:rsidR="009379A3">
        <w:rPr>
          <w:rFonts w:ascii="Arial" w:hAnsi="Arial" w:cs="Arial"/>
          <w:sz w:val="24"/>
          <w:szCs w:val="24"/>
        </w:rPr>
        <w:t>of</w:t>
      </w:r>
      <w:proofErr w:type="spellEnd"/>
      <w:r w:rsidR="009379A3">
        <w:rPr>
          <w:rFonts w:ascii="Arial" w:hAnsi="Arial" w:cs="Arial"/>
          <w:sz w:val="24"/>
          <w:szCs w:val="24"/>
        </w:rPr>
        <w:t xml:space="preserve"> </w:t>
      </w:r>
      <w:proofErr w:type="spellStart"/>
      <w:r w:rsidR="009379A3">
        <w:rPr>
          <w:rFonts w:ascii="Arial" w:hAnsi="Arial" w:cs="Arial"/>
          <w:sz w:val="24"/>
          <w:szCs w:val="24"/>
        </w:rPr>
        <w:t>Orthopaedic</w:t>
      </w:r>
      <w:proofErr w:type="spellEnd"/>
      <w:r w:rsidR="009379A3">
        <w:rPr>
          <w:rFonts w:ascii="Arial" w:hAnsi="Arial" w:cs="Arial"/>
          <w:sz w:val="24"/>
          <w:szCs w:val="24"/>
        </w:rPr>
        <w:t xml:space="preserve"> </w:t>
      </w:r>
      <w:proofErr w:type="spellStart"/>
      <w:r w:rsidR="009379A3">
        <w:rPr>
          <w:rFonts w:ascii="Arial" w:hAnsi="Arial" w:cs="Arial"/>
          <w:sz w:val="24"/>
          <w:szCs w:val="24"/>
        </w:rPr>
        <w:t>Surgeons</w:t>
      </w:r>
      <w:proofErr w:type="spellEnd"/>
      <w:r w:rsidR="009379A3">
        <w:rPr>
          <w:rFonts w:ascii="Arial" w:hAnsi="Arial" w:cs="Arial"/>
          <w:sz w:val="24"/>
          <w:szCs w:val="24"/>
        </w:rPr>
        <w:t xml:space="preserve">) e o da </w:t>
      </w:r>
      <w:proofErr w:type="spellStart"/>
      <w:r w:rsidR="009379A3">
        <w:rPr>
          <w:rFonts w:ascii="Arial" w:hAnsi="Arial" w:cs="Arial"/>
          <w:sz w:val="24"/>
          <w:szCs w:val="24"/>
        </w:rPr>
        <w:t>Norkin</w:t>
      </w:r>
      <w:proofErr w:type="spellEnd"/>
      <w:r w:rsidR="009379A3">
        <w:rPr>
          <w:rFonts w:ascii="Arial" w:hAnsi="Arial" w:cs="Arial"/>
          <w:sz w:val="24"/>
          <w:szCs w:val="24"/>
        </w:rPr>
        <w:t xml:space="preserve"> e White. O método da AAOS </w:t>
      </w:r>
      <w:r>
        <w:rPr>
          <w:rFonts w:ascii="Arial" w:hAnsi="Arial" w:cs="Arial"/>
          <w:sz w:val="24"/>
          <w:szCs w:val="24"/>
        </w:rPr>
        <w:t>admite a utilização de</w:t>
      </w:r>
      <w:r w:rsidR="009379A3">
        <w:rPr>
          <w:rFonts w:ascii="Arial" w:hAnsi="Arial" w:cs="Arial"/>
          <w:sz w:val="24"/>
          <w:szCs w:val="24"/>
        </w:rPr>
        <w:t xml:space="preserve"> análises visuais por parte do especialista, podendo ou não se fazer uso do goniômetro, além de que não há uma padronização dos movimentos para averiguar os dados, ou seja, há variações de paciente para paciente. Já o método da </w:t>
      </w:r>
      <w:proofErr w:type="spellStart"/>
      <w:r w:rsidR="009379A3">
        <w:rPr>
          <w:rFonts w:ascii="Arial" w:hAnsi="Arial" w:cs="Arial"/>
          <w:sz w:val="24"/>
          <w:szCs w:val="24"/>
        </w:rPr>
        <w:t>Norkin</w:t>
      </w:r>
      <w:proofErr w:type="spellEnd"/>
      <w:r w:rsidR="009379A3">
        <w:rPr>
          <w:rFonts w:ascii="Arial" w:hAnsi="Arial" w:cs="Arial"/>
          <w:sz w:val="24"/>
          <w:szCs w:val="24"/>
        </w:rPr>
        <w:t xml:space="preserve"> e White, que padroniza sistematicamente a posição do indivíduo a ser testado e do goniômetro, detalhando inclusive a colocação do eixo e braços fi</w:t>
      </w:r>
      <w:r>
        <w:rPr>
          <w:rFonts w:ascii="Arial" w:hAnsi="Arial" w:cs="Arial"/>
          <w:sz w:val="24"/>
          <w:szCs w:val="24"/>
        </w:rPr>
        <w:t>x</w:t>
      </w:r>
      <w:r w:rsidR="009379A3">
        <w:rPr>
          <w:rFonts w:ascii="Arial" w:hAnsi="Arial" w:cs="Arial"/>
          <w:sz w:val="24"/>
          <w:szCs w:val="24"/>
        </w:rPr>
        <w:t xml:space="preserve">o e móvel do mesmo, o qual não é visto no método AAOS. Os resultados se mostraram muito favoráveis ao manual da </w:t>
      </w:r>
      <w:proofErr w:type="spellStart"/>
      <w:r w:rsidR="009379A3">
        <w:rPr>
          <w:rFonts w:ascii="Arial" w:hAnsi="Arial" w:cs="Arial"/>
          <w:sz w:val="24"/>
          <w:szCs w:val="24"/>
        </w:rPr>
        <w:t>Norkin</w:t>
      </w:r>
      <w:proofErr w:type="spellEnd"/>
      <w:r w:rsidR="009379A3">
        <w:rPr>
          <w:rFonts w:ascii="Arial" w:hAnsi="Arial" w:cs="Arial"/>
          <w:sz w:val="24"/>
          <w:szCs w:val="24"/>
        </w:rPr>
        <w:t xml:space="preserve"> e White.</w:t>
      </w:r>
    </w:p>
    <w:p w14:paraId="16F0FBB6" w14:textId="77777777" w:rsidR="00C90609" w:rsidRDefault="00C90609" w:rsidP="007F5FD3">
      <w:pPr>
        <w:jc w:val="both"/>
        <w:rPr>
          <w:rFonts w:ascii="Arial" w:hAnsi="Arial" w:cs="Arial"/>
          <w:sz w:val="24"/>
          <w:szCs w:val="24"/>
        </w:rPr>
      </w:pPr>
    </w:p>
    <w:p w14:paraId="35F524B3" w14:textId="77777777" w:rsidR="00C90609" w:rsidRDefault="00C90609" w:rsidP="007F5FD3">
      <w:pPr>
        <w:jc w:val="both"/>
        <w:rPr>
          <w:rFonts w:ascii="Arial" w:hAnsi="Arial" w:cs="Arial"/>
          <w:sz w:val="24"/>
          <w:szCs w:val="24"/>
        </w:rPr>
      </w:pPr>
      <w:r>
        <w:rPr>
          <w:rFonts w:ascii="Arial" w:hAnsi="Arial" w:cs="Arial"/>
          <w:sz w:val="24"/>
          <w:szCs w:val="24"/>
        </w:rPr>
        <w:t>Citações:</w:t>
      </w:r>
    </w:p>
    <w:p w14:paraId="188DA79E" w14:textId="77777777" w:rsidR="004A07B4" w:rsidRDefault="004A07B4" w:rsidP="007F5FD3">
      <w:pPr>
        <w:jc w:val="both"/>
        <w:rPr>
          <w:rFonts w:ascii="Arial" w:hAnsi="Arial" w:cs="Arial"/>
          <w:sz w:val="24"/>
          <w:szCs w:val="24"/>
        </w:rPr>
      </w:pPr>
    </w:p>
    <w:p w14:paraId="7F8B24DB" w14:textId="36FC4DB8" w:rsidR="00E64C07" w:rsidRDefault="009379A3" w:rsidP="007F5FD3">
      <w:pPr>
        <w:jc w:val="both"/>
        <w:rPr>
          <w:rFonts w:ascii="Arial" w:hAnsi="Arial" w:cs="Arial"/>
          <w:sz w:val="24"/>
          <w:szCs w:val="24"/>
        </w:rPr>
      </w:pPr>
      <w:r w:rsidRPr="009379A3">
        <w:rPr>
          <w:rFonts w:ascii="Arial" w:hAnsi="Arial" w:cs="Arial"/>
          <w:sz w:val="24"/>
          <w:szCs w:val="24"/>
        </w:rPr>
        <w:t>“As medidas de amplitude de movimento (ADM) são muito utilizadas e necessitam ser precisas.” (ANDRADE et al., 2003, p. 13)</w:t>
      </w:r>
    </w:p>
    <w:p w14:paraId="79CD763E" w14:textId="3C610EEE" w:rsidR="009379A3" w:rsidRDefault="009379A3" w:rsidP="007F5FD3">
      <w:pPr>
        <w:jc w:val="both"/>
        <w:rPr>
          <w:rFonts w:ascii="Arial" w:hAnsi="Arial" w:cs="Arial"/>
          <w:sz w:val="24"/>
          <w:szCs w:val="24"/>
        </w:rPr>
      </w:pPr>
      <w:r>
        <w:rPr>
          <w:rFonts w:ascii="Arial" w:hAnsi="Arial" w:cs="Arial"/>
          <w:sz w:val="24"/>
          <w:szCs w:val="24"/>
        </w:rPr>
        <w:t xml:space="preserve">Comentário: Desse trecho, depreende-se que as medidas </w:t>
      </w:r>
      <w:proofErr w:type="gramStart"/>
      <w:r>
        <w:rPr>
          <w:rFonts w:ascii="Arial" w:hAnsi="Arial" w:cs="Arial"/>
          <w:sz w:val="24"/>
          <w:szCs w:val="24"/>
        </w:rPr>
        <w:t>tem</w:t>
      </w:r>
      <w:proofErr w:type="gramEnd"/>
      <w:r>
        <w:rPr>
          <w:rFonts w:ascii="Arial" w:hAnsi="Arial" w:cs="Arial"/>
          <w:sz w:val="24"/>
          <w:szCs w:val="24"/>
        </w:rPr>
        <w:t xml:space="preserve"> de ser precisas, logo é necessário se fazer uso de métodos que garantem essa precisão, então entre as duas opções, manual da AAOS e da </w:t>
      </w:r>
      <w:proofErr w:type="spellStart"/>
      <w:r>
        <w:rPr>
          <w:rFonts w:ascii="Arial" w:hAnsi="Arial" w:cs="Arial"/>
          <w:sz w:val="24"/>
          <w:szCs w:val="24"/>
        </w:rPr>
        <w:t>Norkin</w:t>
      </w:r>
      <w:proofErr w:type="spellEnd"/>
      <w:r>
        <w:rPr>
          <w:rFonts w:ascii="Arial" w:hAnsi="Arial" w:cs="Arial"/>
          <w:sz w:val="24"/>
          <w:szCs w:val="24"/>
        </w:rPr>
        <w:t xml:space="preserve"> e White, </w:t>
      </w:r>
      <w:r w:rsidR="002853BD" w:rsidRPr="002853BD">
        <w:rPr>
          <w:rFonts w:ascii="Arial" w:hAnsi="Arial" w:cs="Arial"/>
          <w:sz w:val="24"/>
          <w:szCs w:val="24"/>
        </w:rPr>
        <w:t xml:space="preserve">os resultados do estudo indicam maior confiabilidade no método de </w:t>
      </w:r>
      <w:proofErr w:type="spellStart"/>
      <w:r w:rsidR="002853BD" w:rsidRPr="002853BD">
        <w:rPr>
          <w:rFonts w:ascii="Arial" w:hAnsi="Arial" w:cs="Arial"/>
          <w:sz w:val="24"/>
          <w:szCs w:val="24"/>
        </w:rPr>
        <w:t>Norkin</w:t>
      </w:r>
      <w:proofErr w:type="spellEnd"/>
      <w:r w:rsidR="002853BD" w:rsidRPr="002853BD">
        <w:rPr>
          <w:rFonts w:ascii="Arial" w:hAnsi="Arial" w:cs="Arial"/>
          <w:sz w:val="24"/>
          <w:szCs w:val="24"/>
        </w:rPr>
        <w:t xml:space="preserve"> e White, devido à padronização das medidas.</w:t>
      </w:r>
    </w:p>
    <w:p w14:paraId="335C5B92" w14:textId="77777777" w:rsidR="00AA6F87" w:rsidRDefault="00AA6F87" w:rsidP="007F5FD3">
      <w:pPr>
        <w:jc w:val="both"/>
        <w:rPr>
          <w:rFonts w:ascii="Arial" w:hAnsi="Arial" w:cs="Arial"/>
          <w:sz w:val="24"/>
          <w:szCs w:val="24"/>
        </w:rPr>
      </w:pPr>
    </w:p>
    <w:p w14:paraId="612B7855" w14:textId="5BB4335D" w:rsidR="00AA6F87" w:rsidRDefault="00AA6F87" w:rsidP="007F5FD3">
      <w:pPr>
        <w:jc w:val="both"/>
        <w:rPr>
          <w:rFonts w:ascii="Arial" w:hAnsi="Arial" w:cs="Arial"/>
          <w:sz w:val="24"/>
          <w:szCs w:val="24"/>
        </w:rPr>
      </w:pPr>
      <w:r w:rsidRPr="00AA6F87">
        <w:rPr>
          <w:rFonts w:ascii="Arial" w:hAnsi="Arial" w:cs="Arial"/>
          <w:sz w:val="24"/>
          <w:szCs w:val="24"/>
        </w:rPr>
        <w:t>“Pouca informação pode ser encontrada na literatura comparando a acuidade das medidas articulares com e sem o uso do goniômetro.” (ANDRADE et al., 2003, p. 13)</w:t>
      </w:r>
    </w:p>
    <w:p w14:paraId="0520B891" w14:textId="5F1DBD07" w:rsidR="00AA6F87" w:rsidRDefault="00AA6F87" w:rsidP="007F5FD3">
      <w:pPr>
        <w:jc w:val="both"/>
        <w:rPr>
          <w:rFonts w:ascii="Arial" w:hAnsi="Arial" w:cs="Arial"/>
          <w:sz w:val="24"/>
          <w:szCs w:val="24"/>
        </w:rPr>
      </w:pPr>
      <w:r>
        <w:rPr>
          <w:rFonts w:ascii="Arial" w:hAnsi="Arial" w:cs="Arial"/>
          <w:sz w:val="24"/>
          <w:szCs w:val="24"/>
        </w:rPr>
        <w:lastRenderedPageBreak/>
        <w:t>Comentário: A citação demonstra que existe uma lacuna no quanto se sabe da diferença da precisão de se realizar medidas goniométricas com ou sem o goniômetro, logo o artigo faz-se necessário quando vem propor, por meio de dados as vantagens de se utilizar do goniômetro.</w:t>
      </w:r>
    </w:p>
    <w:p w14:paraId="28C92AC3" w14:textId="77777777" w:rsidR="00AA6F87" w:rsidRDefault="00AA6F87" w:rsidP="007F5FD3">
      <w:pPr>
        <w:jc w:val="both"/>
        <w:rPr>
          <w:rFonts w:ascii="Arial" w:hAnsi="Arial" w:cs="Arial"/>
          <w:sz w:val="24"/>
          <w:szCs w:val="24"/>
        </w:rPr>
      </w:pPr>
    </w:p>
    <w:p w14:paraId="1538299B" w14:textId="05FDFE29" w:rsidR="00AA6F87" w:rsidRDefault="00AA6F87" w:rsidP="007F5FD3">
      <w:pPr>
        <w:jc w:val="both"/>
        <w:rPr>
          <w:rFonts w:ascii="Arial" w:hAnsi="Arial" w:cs="Arial"/>
          <w:sz w:val="24"/>
          <w:szCs w:val="24"/>
        </w:rPr>
      </w:pPr>
      <w:r w:rsidRPr="00AA6F87">
        <w:rPr>
          <w:rFonts w:ascii="Arial" w:hAnsi="Arial" w:cs="Arial"/>
          <w:sz w:val="24"/>
          <w:szCs w:val="24"/>
        </w:rPr>
        <w:t>“Comparações entre os métodos apresentaram diferenças significativas para todos os movimentos.” (ANDRADE et al., 2003, p. 14)</w:t>
      </w:r>
    </w:p>
    <w:p w14:paraId="5AB801E5" w14:textId="4F43DB82" w:rsidR="00AA6F87" w:rsidRDefault="00AA6F87" w:rsidP="007F5FD3">
      <w:pPr>
        <w:jc w:val="both"/>
        <w:rPr>
          <w:rFonts w:ascii="Arial" w:hAnsi="Arial" w:cs="Arial"/>
          <w:sz w:val="24"/>
          <w:szCs w:val="24"/>
        </w:rPr>
      </w:pPr>
      <w:r>
        <w:rPr>
          <w:rFonts w:ascii="Arial" w:hAnsi="Arial" w:cs="Arial"/>
          <w:sz w:val="24"/>
          <w:szCs w:val="24"/>
        </w:rPr>
        <w:t>Comentário: Nesse fragmento, o autor demonstra que há uma grande diferença entre se basear em estimativas visuais e usar goniômetro, além de se ter ou não ter posições padronizadas para a medida. Deixando a deduzir que é função do terapeuta avaliar qual o mais recomendado, tendo em vista os dados.</w:t>
      </w:r>
    </w:p>
    <w:p w14:paraId="7B487E85" w14:textId="77777777" w:rsidR="00AA6F87" w:rsidRDefault="00AA6F87" w:rsidP="007F5FD3">
      <w:pPr>
        <w:jc w:val="both"/>
        <w:rPr>
          <w:rFonts w:ascii="Arial" w:hAnsi="Arial" w:cs="Arial"/>
          <w:sz w:val="24"/>
          <w:szCs w:val="24"/>
        </w:rPr>
      </w:pPr>
    </w:p>
    <w:p w14:paraId="29934423" w14:textId="39BEDD82" w:rsidR="00AA6F87" w:rsidRDefault="00AA6F87" w:rsidP="007F5FD3">
      <w:pPr>
        <w:jc w:val="both"/>
        <w:rPr>
          <w:rFonts w:ascii="Arial" w:hAnsi="Arial" w:cs="Arial"/>
          <w:sz w:val="24"/>
          <w:szCs w:val="24"/>
        </w:rPr>
      </w:pPr>
      <w:r w:rsidRPr="00AA6F87">
        <w:rPr>
          <w:rFonts w:ascii="Arial" w:hAnsi="Arial" w:cs="Arial"/>
          <w:sz w:val="24"/>
          <w:szCs w:val="24"/>
        </w:rPr>
        <w:t xml:space="preserve">“A </w:t>
      </w:r>
      <w:proofErr w:type="spellStart"/>
      <w:r w:rsidRPr="00AA6F87">
        <w:rPr>
          <w:rFonts w:ascii="Arial" w:hAnsi="Arial" w:cs="Arial"/>
          <w:sz w:val="24"/>
          <w:szCs w:val="24"/>
        </w:rPr>
        <w:t>goniometria</w:t>
      </w:r>
      <w:proofErr w:type="spellEnd"/>
      <w:r w:rsidRPr="00AA6F87">
        <w:rPr>
          <w:rFonts w:ascii="Arial" w:hAnsi="Arial" w:cs="Arial"/>
          <w:sz w:val="24"/>
          <w:szCs w:val="24"/>
        </w:rPr>
        <w:t xml:space="preserve"> é até o momento, o melhor método para avaliar diferenças discretas entre as medidas.” (ANDRADE et al., 2003, p. 16)</w:t>
      </w:r>
    </w:p>
    <w:p w14:paraId="16568E51" w14:textId="53CE602A" w:rsidR="00AA6F87" w:rsidRPr="007F5FD3" w:rsidRDefault="00AA6F87" w:rsidP="007F5FD3">
      <w:pPr>
        <w:jc w:val="both"/>
        <w:rPr>
          <w:rFonts w:ascii="Arial" w:hAnsi="Arial" w:cs="Arial"/>
          <w:sz w:val="24"/>
          <w:szCs w:val="24"/>
        </w:rPr>
      </w:pPr>
      <w:r>
        <w:rPr>
          <w:rFonts w:ascii="Arial" w:hAnsi="Arial" w:cs="Arial"/>
          <w:sz w:val="24"/>
          <w:szCs w:val="24"/>
        </w:rPr>
        <w:t xml:space="preserve">Comentário: Deste excerto, vê-se a necessidade de se fazer uso da </w:t>
      </w:r>
      <w:proofErr w:type="spellStart"/>
      <w:r>
        <w:rPr>
          <w:rFonts w:ascii="Arial" w:hAnsi="Arial" w:cs="Arial"/>
          <w:sz w:val="24"/>
          <w:szCs w:val="24"/>
        </w:rPr>
        <w:t>goniometria</w:t>
      </w:r>
      <w:proofErr w:type="spellEnd"/>
      <w:r>
        <w:rPr>
          <w:rFonts w:ascii="Arial" w:hAnsi="Arial" w:cs="Arial"/>
          <w:sz w:val="24"/>
          <w:szCs w:val="24"/>
        </w:rPr>
        <w:t xml:space="preserve"> para realizar medidas goniométricas precisas e que garantam uma acurácia tolerável. Assim </w:t>
      </w:r>
      <w:r w:rsidR="002853BD">
        <w:rPr>
          <w:rFonts w:ascii="Arial" w:hAnsi="Arial" w:cs="Arial"/>
          <w:sz w:val="24"/>
          <w:szCs w:val="24"/>
        </w:rPr>
        <w:t>o</w:t>
      </w:r>
      <w:r w:rsidR="002853BD" w:rsidRPr="002853BD">
        <w:rPr>
          <w:rFonts w:ascii="Arial" w:hAnsi="Arial" w:cs="Arial"/>
          <w:sz w:val="24"/>
          <w:szCs w:val="24"/>
        </w:rPr>
        <w:t xml:space="preserve">s achados do estudo indicam a relevância da </w:t>
      </w:r>
      <w:proofErr w:type="spellStart"/>
      <w:r w:rsidR="002853BD" w:rsidRPr="002853BD">
        <w:rPr>
          <w:rFonts w:ascii="Arial" w:hAnsi="Arial" w:cs="Arial"/>
          <w:sz w:val="24"/>
          <w:szCs w:val="24"/>
        </w:rPr>
        <w:t>goniometria</w:t>
      </w:r>
      <w:proofErr w:type="spellEnd"/>
      <w:r w:rsidR="002853BD" w:rsidRPr="002853BD">
        <w:rPr>
          <w:rFonts w:ascii="Arial" w:hAnsi="Arial" w:cs="Arial"/>
          <w:sz w:val="24"/>
          <w:szCs w:val="24"/>
        </w:rPr>
        <w:t>, abrindo possibilidade para pesquisas futuras voltadas à automatização e ao armazenamento digital dessas medidas, com vistas ao aumento da precisão e eficiência na prática clínica.</w:t>
      </w:r>
    </w:p>
    <w:sectPr w:rsidR="00AA6F87" w:rsidRPr="007F5F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FD3"/>
    <w:rsid w:val="000A1EE1"/>
    <w:rsid w:val="001D7EA6"/>
    <w:rsid w:val="002853BD"/>
    <w:rsid w:val="00332846"/>
    <w:rsid w:val="003D20B7"/>
    <w:rsid w:val="004605A7"/>
    <w:rsid w:val="004A07B4"/>
    <w:rsid w:val="00713D9C"/>
    <w:rsid w:val="00723DD8"/>
    <w:rsid w:val="00792453"/>
    <w:rsid w:val="007A289C"/>
    <w:rsid w:val="007F5FD3"/>
    <w:rsid w:val="008074C3"/>
    <w:rsid w:val="00820D7E"/>
    <w:rsid w:val="00903125"/>
    <w:rsid w:val="009379A3"/>
    <w:rsid w:val="009406D9"/>
    <w:rsid w:val="00A2015B"/>
    <w:rsid w:val="00A23E8D"/>
    <w:rsid w:val="00A26230"/>
    <w:rsid w:val="00A768F7"/>
    <w:rsid w:val="00AA6F87"/>
    <w:rsid w:val="00AE76B6"/>
    <w:rsid w:val="00AF58C0"/>
    <w:rsid w:val="00B22458"/>
    <w:rsid w:val="00C43157"/>
    <w:rsid w:val="00C90609"/>
    <w:rsid w:val="00D6479A"/>
    <w:rsid w:val="00E64C07"/>
    <w:rsid w:val="00ED5989"/>
    <w:rsid w:val="00F378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092A"/>
  <w15:chartTrackingRefBased/>
  <w15:docId w15:val="{71699396-23DD-4883-B854-94821D1B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F5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F5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F5F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F5F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F5F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F5F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F5F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F5F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F5FD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5FD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F5FD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F5FD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F5FD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F5FD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F5FD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5FD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5FD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5FD3"/>
    <w:rPr>
      <w:rFonts w:eastAsiaTheme="majorEastAsia" w:cstheme="majorBidi"/>
      <w:color w:val="272727" w:themeColor="text1" w:themeTint="D8"/>
    </w:rPr>
  </w:style>
  <w:style w:type="paragraph" w:styleId="Ttulo">
    <w:name w:val="Title"/>
    <w:basedOn w:val="Normal"/>
    <w:next w:val="Normal"/>
    <w:link w:val="TtuloChar"/>
    <w:uiPriority w:val="10"/>
    <w:qFormat/>
    <w:rsid w:val="007F5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F5F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5FD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F5FD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5FD3"/>
    <w:pPr>
      <w:spacing w:before="160"/>
      <w:jc w:val="center"/>
    </w:pPr>
    <w:rPr>
      <w:i/>
      <w:iCs/>
      <w:color w:val="404040" w:themeColor="text1" w:themeTint="BF"/>
    </w:rPr>
  </w:style>
  <w:style w:type="character" w:customStyle="1" w:styleId="CitaoChar">
    <w:name w:val="Citação Char"/>
    <w:basedOn w:val="Fontepargpadro"/>
    <w:link w:val="Citao"/>
    <w:uiPriority w:val="29"/>
    <w:rsid w:val="007F5FD3"/>
    <w:rPr>
      <w:i/>
      <w:iCs/>
      <w:color w:val="404040" w:themeColor="text1" w:themeTint="BF"/>
    </w:rPr>
  </w:style>
  <w:style w:type="paragraph" w:styleId="PargrafodaLista">
    <w:name w:val="List Paragraph"/>
    <w:basedOn w:val="Normal"/>
    <w:uiPriority w:val="34"/>
    <w:qFormat/>
    <w:rsid w:val="007F5FD3"/>
    <w:pPr>
      <w:ind w:left="720"/>
      <w:contextualSpacing/>
    </w:pPr>
  </w:style>
  <w:style w:type="character" w:styleId="nfaseIntensa">
    <w:name w:val="Intense Emphasis"/>
    <w:basedOn w:val="Fontepargpadro"/>
    <w:uiPriority w:val="21"/>
    <w:qFormat/>
    <w:rsid w:val="007F5FD3"/>
    <w:rPr>
      <w:i/>
      <w:iCs/>
      <w:color w:val="0F4761" w:themeColor="accent1" w:themeShade="BF"/>
    </w:rPr>
  </w:style>
  <w:style w:type="paragraph" w:styleId="CitaoIntensa">
    <w:name w:val="Intense Quote"/>
    <w:basedOn w:val="Normal"/>
    <w:next w:val="Normal"/>
    <w:link w:val="CitaoIntensaChar"/>
    <w:uiPriority w:val="30"/>
    <w:qFormat/>
    <w:rsid w:val="007F5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F5FD3"/>
    <w:rPr>
      <w:i/>
      <w:iCs/>
      <w:color w:val="0F4761" w:themeColor="accent1" w:themeShade="BF"/>
    </w:rPr>
  </w:style>
  <w:style w:type="character" w:styleId="RefernciaIntensa">
    <w:name w:val="Intense Reference"/>
    <w:basedOn w:val="Fontepargpadro"/>
    <w:uiPriority w:val="32"/>
    <w:qFormat/>
    <w:rsid w:val="007F5FD3"/>
    <w:rPr>
      <w:b/>
      <w:bCs/>
      <w:smallCaps/>
      <w:color w:val="0F4761" w:themeColor="accent1" w:themeShade="BF"/>
      <w:spacing w:val="5"/>
    </w:rPr>
  </w:style>
  <w:style w:type="character" w:styleId="Hyperlink">
    <w:name w:val="Hyperlink"/>
    <w:basedOn w:val="Fontepargpadro"/>
    <w:uiPriority w:val="99"/>
    <w:unhideWhenUsed/>
    <w:rsid w:val="007F5FD3"/>
    <w:rPr>
      <w:color w:val="467886" w:themeColor="hyperlink"/>
      <w:u w:val="single"/>
    </w:rPr>
  </w:style>
  <w:style w:type="character" w:styleId="MenoPendente">
    <w:name w:val="Unresolved Mention"/>
    <w:basedOn w:val="Fontepargpadro"/>
    <w:uiPriority w:val="99"/>
    <w:semiHidden/>
    <w:unhideWhenUsed/>
    <w:rsid w:val="007F5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606/issn.2317-0190.v10i1a10240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2549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dc:creator>
  <cp:keywords/>
  <dc:description/>
  <cp:lastModifiedBy>matheus014x@gmail.com</cp:lastModifiedBy>
  <cp:revision>2</cp:revision>
  <dcterms:created xsi:type="dcterms:W3CDTF">2026-03-17T20:29:00Z</dcterms:created>
  <dcterms:modified xsi:type="dcterms:W3CDTF">2026-03-17T20:29:00Z</dcterms:modified>
</cp:coreProperties>
</file>