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6EA6" w14:textId="3B9D44FD" w:rsidR="00ED5989" w:rsidRDefault="007F5FD3" w:rsidP="007F5FD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FICHAMENTO DE ARTIGO CIENTÍFICO</w:t>
      </w:r>
    </w:p>
    <w:p w14:paraId="29FBC0C7" w14:textId="77777777" w:rsidR="007F5FD3" w:rsidRDefault="007F5FD3">
      <w:pPr>
        <w:rPr>
          <w:rFonts w:ascii="Arial" w:hAnsi="Arial" w:cs="Arial"/>
          <w:b/>
          <w:bCs/>
          <w:sz w:val="24"/>
          <w:szCs w:val="24"/>
        </w:rPr>
      </w:pPr>
    </w:p>
    <w:p w14:paraId="6202CBD7" w14:textId="163CEE5A" w:rsidR="007F5FD3" w:rsidRDefault="007F5FD3" w:rsidP="007F5F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Referência:</w:t>
      </w:r>
    </w:p>
    <w:p w14:paraId="5B68EA77" w14:textId="67A04341" w:rsidR="007F5FD3" w:rsidRDefault="007F5FD3" w:rsidP="007F5FD3">
      <w:pPr>
        <w:jc w:val="both"/>
        <w:rPr>
          <w:rFonts w:ascii="Arial" w:hAnsi="Arial" w:cs="Arial"/>
          <w:sz w:val="24"/>
          <w:szCs w:val="24"/>
        </w:rPr>
      </w:pPr>
      <w:r w:rsidRPr="007F5FD3">
        <w:rPr>
          <w:rFonts w:ascii="Arial" w:hAnsi="Arial" w:cs="Arial"/>
          <w:sz w:val="24"/>
          <w:szCs w:val="24"/>
        </w:rPr>
        <w:t xml:space="preserve">TEDESCHI, Marcos </w:t>
      </w:r>
      <w:proofErr w:type="spellStart"/>
      <w:r w:rsidRPr="007F5FD3">
        <w:rPr>
          <w:rFonts w:ascii="Arial" w:hAnsi="Arial" w:cs="Arial"/>
          <w:sz w:val="24"/>
          <w:szCs w:val="24"/>
        </w:rPr>
        <w:t>Antonio</w:t>
      </w:r>
      <w:proofErr w:type="spellEnd"/>
      <w:r w:rsidRPr="007F5FD3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F5FD3">
        <w:rPr>
          <w:rFonts w:ascii="Arial" w:hAnsi="Arial" w:cs="Arial"/>
          <w:sz w:val="24"/>
          <w:szCs w:val="24"/>
        </w:rPr>
        <w:t>Goniometria</w:t>
      </w:r>
      <w:proofErr w:type="spellEnd"/>
      <w:r w:rsidRPr="007F5FD3">
        <w:rPr>
          <w:rFonts w:ascii="Arial" w:hAnsi="Arial" w:cs="Arial"/>
          <w:sz w:val="24"/>
          <w:szCs w:val="24"/>
        </w:rPr>
        <w:t xml:space="preserve">: sua prática e controvérsias. Fisioterapia Brasil, v. 3, n. 1, p. 36-41, </w:t>
      </w:r>
      <w:r w:rsidR="00A23E8D">
        <w:rPr>
          <w:rFonts w:ascii="Arial" w:hAnsi="Arial" w:cs="Arial"/>
          <w:sz w:val="24"/>
          <w:szCs w:val="24"/>
        </w:rPr>
        <w:t xml:space="preserve">jan./fev. </w:t>
      </w:r>
      <w:r w:rsidRPr="007F5FD3">
        <w:rPr>
          <w:rFonts w:ascii="Arial" w:hAnsi="Arial" w:cs="Arial"/>
          <w:sz w:val="24"/>
          <w:szCs w:val="24"/>
        </w:rPr>
        <w:t>2002.</w:t>
      </w:r>
    </w:p>
    <w:p w14:paraId="3B354212" w14:textId="73C9A5C2" w:rsidR="007F5FD3" w:rsidRDefault="007F5FD3" w:rsidP="007F5F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DOI: </w:t>
      </w:r>
      <w:hyperlink r:id="rId5" w:history="1">
        <w:r w:rsidRPr="007F5FD3">
          <w:t>https://doi.org/10.33233/fb.v3i1.2939</w:t>
        </w:r>
      </w:hyperlink>
    </w:p>
    <w:p w14:paraId="7C628296" w14:textId="77777777" w:rsidR="007F5FD3" w:rsidRDefault="007F5FD3" w:rsidP="007F5FD3">
      <w:pPr>
        <w:jc w:val="both"/>
        <w:rPr>
          <w:rFonts w:ascii="Arial" w:hAnsi="Arial" w:cs="Arial"/>
          <w:sz w:val="24"/>
          <w:szCs w:val="24"/>
        </w:rPr>
      </w:pPr>
    </w:p>
    <w:p w14:paraId="788DB91B" w14:textId="69D15B69" w:rsidR="00C90609" w:rsidRDefault="00C90609" w:rsidP="007F5F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Resumo:</w:t>
      </w:r>
    </w:p>
    <w:p w14:paraId="3CD1516C" w14:textId="77777777" w:rsidR="004605A7" w:rsidRDefault="004605A7" w:rsidP="007F5FD3">
      <w:pPr>
        <w:jc w:val="both"/>
        <w:rPr>
          <w:rFonts w:ascii="Arial" w:hAnsi="Arial" w:cs="Arial"/>
          <w:sz w:val="24"/>
          <w:szCs w:val="24"/>
        </w:rPr>
      </w:pPr>
    </w:p>
    <w:p w14:paraId="1D05BC00" w14:textId="22D313F8" w:rsidR="007F5FD3" w:rsidRDefault="004605A7" w:rsidP="001D7EA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autor apresenta um contexto histórico do motivo pela grande utilização do grau como unidade de medida, destacando que ele existe a muito mais tempo que a unidade radiano.</w:t>
      </w:r>
      <w:r>
        <w:rPr>
          <w:rFonts w:ascii="Arial" w:hAnsi="Arial" w:cs="Arial"/>
          <w:sz w:val="24"/>
          <w:szCs w:val="24"/>
        </w:rPr>
        <w:t xml:space="preserve"> Após isso, </w:t>
      </w:r>
      <w:r w:rsidR="001D7EA6">
        <w:rPr>
          <w:rFonts w:ascii="Arial" w:hAnsi="Arial" w:cs="Arial"/>
          <w:sz w:val="24"/>
          <w:szCs w:val="24"/>
        </w:rPr>
        <w:t>o</w:t>
      </w:r>
      <w:r w:rsidR="00C90609">
        <w:rPr>
          <w:rFonts w:ascii="Arial" w:hAnsi="Arial" w:cs="Arial"/>
          <w:sz w:val="24"/>
          <w:szCs w:val="24"/>
        </w:rPr>
        <w:t xml:space="preserve"> artigo inicia </w:t>
      </w:r>
      <w:r w:rsidR="00A23E8D">
        <w:rPr>
          <w:rFonts w:ascii="Arial" w:hAnsi="Arial" w:cs="Arial"/>
          <w:sz w:val="24"/>
          <w:szCs w:val="24"/>
        </w:rPr>
        <w:t>abordando</w:t>
      </w:r>
      <w:r w:rsidR="00C90609">
        <w:rPr>
          <w:rFonts w:ascii="Arial" w:hAnsi="Arial" w:cs="Arial"/>
          <w:sz w:val="24"/>
          <w:szCs w:val="24"/>
        </w:rPr>
        <w:t xml:space="preserve"> sobre a </w:t>
      </w:r>
      <w:proofErr w:type="spellStart"/>
      <w:r w:rsidR="00C90609">
        <w:rPr>
          <w:rFonts w:ascii="Arial" w:hAnsi="Arial" w:cs="Arial"/>
          <w:sz w:val="24"/>
          <w:szCs w:val="24"/>
        </w:rPr>
        <w:t>goniometria</w:t>
      </w:r>
      <w:proofErr w:type="spellEnd"/>
      <w:r w:rsidR="00C90609">
        <w:rPr>
          <w:rFonts w:ascii="Arial" w:hAnsi="Arial" w:cs="Arial"/>
          <w:sz w:val="24"/>
          <w:szCs w:val="24"/>
        </w:rPr>
        <w:t xml:space="preserve"> em geral, destacando que existem vários instrumentos que podem realizar essa tarefa, no entanto, a mais utilizada é o goniômetro, pois tem algumas vantagens como fácil manuseio e acessibilidade, </w:t>
      </w:r>
      <w:r w:rsidR="001D7EA6">
        <w:rPr>
          <w:rFonts w:ascii="Arial" w:hAnsi="Arial" w:cs="Arial"/>
          <w:sz w:val="24"/>
          <w:szCs w:val="24"/>
        </w:rPr>
        <w:t>terminando tal argumentação,</w:t>
      </w:r>
      <w:r w:rsidR="00C90609">
        <w:rPr>
          <w:rFonts w:ascii="Arial" w:hAnsi="Arial" w:cs="Arial"/>
          <w:sz w:val="24"/>
          <w:szCs w:val="24"/>
        </w:rPr>
        <w:t xml:space="preserve"> ele discute</w:t>
      </w:r>
      <w:r w:rsidR="007F5FD3">
        <w:rPr>
          <w:rFonts w:ascii="Arial" w:hAnsi="Arial" w:cs="Arial"/>
          <w:sz w:val="24"/>
          <w:szCs w:val="24"/>
        </w:rPr>
        <w:t xml:space="preserve"> a ideia de adotar a unidade de medida de ângulo radiano para medições de </w:t>
      </w:r>
      <w:proofErr w:type="spellStart"/>
      <w:r w:rsidR="007F5FD3">
        <w:rPr>
          <w:rFonts w:ascii="Arial" w:hAnsi="Arial" w:cs="Arial"/>
          <w:sz w:val="24"/>
          <w:szCs w:val="24"/>
        </w:rPr>
        <w:t>goniometria</w:t>
      </w:r>
      <w:proofErr w:type="spellEnd"/>
      <w:r w:rsidR="007F5FD3">
        <w:rPr>
          <w:rFonts w:ascii="Arial" w:hAnsi="Arial" w:cs="Arial"/>
          <w:sz w:val="24"/>
          <w:szCs w:val="24"/>
        </w:rPr>
        <w:t xml:space="preserve">, além de </w:t>
      </w:r>
      <w:r w:rsidR="00A768F7">
        <w:rPr>
          <w:rFonts w:ascii="Arial" w:hAnsi="Arial" w:cs="Arial"/>
          <w:sz w:val="24"/>
          <w:szCs w:val="24"/>
        </w:rPr>
        <w:t>propor uma padronização</w:t>
      </w:r>
      <w:r w:rsidR="000A1EE1">
        <w:rPr>
          <w:rFonts w:ascii="Arial" w:hAnsi="Arial" w:cs="Arial"/>
          <w:sz w:val="24"/>
          <w:szCs w:val="24"/>
        </w:rPr>
        <w:t xml:space="preserve"> da</w:t>
      </w:r>
      <w:r w:rsidR="007F5FD3">
        <w:rPr>
          <w:rFonts w:ascii="Arial" w:hAnsi="Arial" w:cs="Arial"/>
          <w:sz w:val="24"/>
          <w:szCs w:val="24"/>
        </w:rPr>
        <w:t xml:space="preserve"> nomenclatura aos arcos dos movimentos voluntários do corpo humano</w:t>
      </w:r>
      <w:r w:rsidR="00C90609">
        <w:rPr>
          <w:rFonts w:ascii="Arial" w:hAnsi="Arial" w:cs="Arial"/>
          <w:sz w:val="24"/>
          <w:szCs w:val="24"/>
        </w:rPr>
        <w:t xml:space="preserve">. </w:t>
      </w:r>
    </w:p>
    <w:p w14:paraId="4A1E45FB" w14:textId="77777777" w:rsidR="00C90609" w:rsidRDefault="00C90609" w:rsidP="007F5FD3">
      <w:pPr>
        <w:jc w:val="both"/>
        <w:rPr>
          <w:rFonts w:ascii="Arial" w:hAnsi="Arial" w:cs="Arial"/>
          <w:sz w:val="24"/>
          <w:szCs w:val="24"/>
        </w:rPr>
      </w:pPr>
    </w:p>
    <w:p w14:paraId="010F90DB" w14:textId="3EBAF3A4" w:rsidR="00C90609" w:rsidRDefault="00C90609" w:rsidP="007F5F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Citações:</w:t>
      </w:r>
    </w:p>
    <w:p w14:paraId="763B1768" w14:textId="77777777" w:rsidR="004A07B4" w:rsidRDefault="004A07B4" w:rsidP="007F5FD3">
      <w:pPr>
        <w:jc w:val="both"/>
        <w:rPr>
          <w:rFonts w:ascii="Arial" w:hAnsi="Arial" w:cs="Arial"/>
          <w:sz w:val="24"/>
          <w:szCs w:val="24"/>
        </w:rPr>
      </w:pPr>
    </w:p>
    <w:p w14:paraId="78E5DB47" w14:textId="5AAE1D9B" w:rsidR="00C90609" w:rsidRDefault="00C90609" w:rsidP="007F5FD3">
      <w:pPr>
        <w:jc w:val="both"/>
        <w:rPr>
          <w:rFonts w:ascii="Arial" w:hAnsi="Arial" w:cs="Arial"/>
          <w:sz w:val="24"/>
          <w:szCs w:val="24"/>
        </w:rPr>
      </w:pPr>
      <w:r w:rsidRPr="00C90609">
        <w:rPr>
          <w:rFonts w:ascii="Arial" w:hAnsi="Arial" w:cs="Arial"/>
          <w:sz w:val="24"/>
          <w:szCs w:val="24"/>
        </w:rPr>
        <w:t xml:space="preserve">“A compreensão e mensuração dos movimentos normais e anormais [...] constitui o fundamento para o estudo da cinesiologia e da biomecânica.” (TEDESCHI, </w:t>
      </w:r>
      <w:r w:rsidR="00A23E8D">
        <w:rPr>
          <w:rFonts w:ascii="Arial" w:hAnsi="Arial" w:cs="Arial"/>
          <w:sz w:val="24"/>
          <w:szCs w:val="24"/>
        </w:rPr>
        <w:t xml:space="preserve">jan./fev. </w:t>
      </w:r>
      <w:r w:rsidRPr="00C90609">
        <w:rPr>
          <w:rFonts w:ascii="Arial" w:hAnsi="Arial" w:cs="Arial"/>
          <w:sz w:val="24"/>
          <w:szCs w:val="24"/>
        </w:rPr>
        <w:t>2002, p. 37)</w:t>
      </w:r>
    </w:p>
    <w:p w14:paraId="09DBDB8D" w14:textId="565B4391" w:rsidR="00C90609" w:rsidRDefault="00C90609" w:rsidP="007F5F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Comentário: A partir desse trecho, entende-se que conhecer os movimentos normais e anormais é de suma importância para a construção de uma bagagem teórica substancial</w:t>
      </w:r>
      <w:r w:rsidR="00E64C07">
        <w:rPr>
          <w:rFonts w:ascii="Arial" w:hAnsi="Arial" w:cs="Arial"/>
          <w:sz w:val="24"/>
          <w:szCs w:val="24"/>
        </w:rPr>
        <w:t>, de modo a melhorar e aprimorar tanto as práticas quanto a atual nomenclatura.</w:t>
      </w:r>
    </w:p>
    <w:p w14:paraId="42FAE1CF" w14:textId="77777777" w:rsidR="00E64C07" w:rsidRDefault="00E64C07" w:rsidP="007F5FD3">
      <w:pPr>
        <w:jc w:val="both"/>
        <w:rPr>
          <w:rFonts w:ascii="Arial" w:hAnsi="Arial" w:cs="Arial"/>
          <w:sz w:val="24"/>
          <w:szCs w:val="24"/>
        </w:rPr>
      </w:pPr>
    </w:p>
    <w:p w14:paraId="27255FDA" w14:textId="65266BE2" w:rsidR="00E64C07" w:rsidRDefault="00E64C07" w:rsidP="007F5FD3">
      <w:pPr>
        <w:jc w:val="both"/>
        <w:rPr>
          <w:rFonts w:ascii="Arial" w:hAnsi="Arial" w:cs="Arial"/>
          <w:sz w:val="24"/>
          <w:szCs w:val="24"/>
        </w:rPr>
      </w:pPr>
      <w:r w:rsidRPr="00E64C07">
        <w:rPr>
          <w:rFonts w:ascii="Arial" w:hAnsi="Arial" w:cs="Arial"/>
          <w:sz w:val="24"/>
          <w:szCs w:val="24"/>
        </w:rPr>
        <w:t xml:space="preserve">“O instrumento mais utilizado para medir os ângulos dos arcos de movimentos humanos na área da saúde é o goniômetro.” (TEDESCHI, </w:t>
      </w:r>
      <w:r w:rsidR="00A23E8D">
        <w:rPr>
          <w:rFonts w:ascii="Arial" w:hAnsi="Arial" w:cs="Arial"/>
          <w:sz w:val="24"/>
          <w:szCs w:val="24"/>
        </w:rPr>
        <w:t xml:space="preserve">jan./fev. </w:t>
      </w:r>
      <w:r w:rsidRPr="00E64C07">
        <w:rPr>
          <w:rFonts w:ascii="Arial" w:hAnsi="Arial" w:cs="Arial"/>
          <w:sz w:val="24"/>
          <w:szCs w:val="24"/>
        </w:rPr>
        <w:t>2002, p. 37)</w:t>
      </w:r>
    </w:p>
    <w:p w14:paraId="4E861724" w14:textId="0F8FEE9F" w:rsidR="004A07B4" w:rsidRDefault="00723DD8" w:rsidP="007F5FD3">
      <w:pPr>
        <w:jc w:val="both"/>
        <w:rPr>
          <w:rFonts w:ascii="Arial" w:hAnsi="Arial" w:cs="Arial"/>
          <w:sz w:val="24"/>
          <w:szCs w:val="24"/>
        </w:rPr>
      </w:pPr>
      <w:r w:rsidRPr="00723DD8">
        <w:rPr>
          <w:rFonts w:ascii="Arial" w:hAnsi="Arial" w:cs="Arial"/>
          <w:sz w:val="24"/>
          <w:szCs w:val="24"/>
        </w:rPr>
        <w:t xml:space="preserve">“O goniômetro [...] apresenta vantagens como fácil manuseio, baixo custo e eficiência.” (TEDESCHI, </w:t>
      </w:r>
      <w:r w:rsidR="00A23E8D">
        <w:rPr>
          <w:rFonts w:ascii="Arial" w:hAnsi="Arial" w:cs="Arial"/>
          <w:sz w:val="24"/>
          <w:szCs w:val="24"/>
        </w:rPr>
        <w:t xml:space="preserve">jan./fev. </w:t>
      </w:r>
      <w:r w:rsidRPr="00723DD8">
        <w:rPr>
          <w:rFonts w:ascii="Arial" w:hAnsi="Arial" w:cs="Arial"/>
          <w:sz w:val="24"/>
          <w:szCs w:val="24"/>
        </w:rPr>
        <w:t>2002, p. 37)</w:t>
      </w:r>
    </w:p>
    <w:p w14:paraId="3F0558B8" w14:textId="75228E46" w:rsidR="00E64C07" w:rsidRDefault="00E64C07" w:rsidP="007F5F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Comentário: Esse trecho comprova a larga utilização do goniômetro, um </w:t>
      </w:r>
      <w:r w:rsidR="00A26230">
        <w:rPr>
          <w:rFonts w:ascii="Arial" w:hAnsi="Arial" w:cs="Arial"/>
          <w:sz w:val="24"/>
          <w:szCs w:val="24"/>
        </w:rPr>
        <w:t>instrumento</w:t>
      </w:r>
      <w:r>
        <w:rPr>
          <w:rFonts w:ascii="Arial" w:hAnsi="Arial" w:cs="Arial"/>
          <w:sz w:val="24"/>
          <w:szCs w:val="24"/>
        </w:rPr>
        <w:t xml:space="preserve"> manual, que por ser usado por humanos, está sujeito a falhas e desvios da exatidão. Além disso, também deixa evidente que equipamentos de fácil uso são bem requisitados, visto que é dito no texto que um dos motivos para </w:t>
      </w:r>
      <w:r>
        <w:rPr>
          <w:rFonts w:ascii="Arial" w:hAnsi="Arial" w:cs="Arial"/>
          <w:sz w:val="24"/>
          <w:szCs w:val="24"/>
        </w:rPr>
        <w:lastRenderedPageBreak/>
        <w:t>a escolha do goniômetro por boa parte dos fisioterapeutas é a sua facilidade de uso</w:t>
      </w:r>
    </w:p>
    <w:p w14:paraId="28F9B6C9" w14:textId="77777777" w:rsidR="00E64C07" w:rsidRDefault="00E64C07" w:rsidP="007F5FD3">
      <w:pPr>
        <w:jc w:val="both"/>
        <w:rPr>
          <w:rFonts w:ascii="Arial" w:hAnsi="Arial" w:cs="Arial"/>
          <w:sz w:val="24"/>
          <w:szCs w:val="24"/>
        </w:rPr>
      </w:pPr>
    </w:p>
    <w:p w14:paraId="3BECFF72" w14:textId="1C943128" w:rsidR="00E64C07" w:rsidRDefault="00E64C07" w:rsidP="007F5FD3">
      <w:pPr>
        <w:jc w:val="both"/>
        <w:rPr>
          <w:rFonts w:ascii="Arial" w:hAnsi="Arial" w:cs="Arial"/>
          <w:sz w:val="24"/>
          <w:szCs w:val="24"/>
        </w:rPr>
      </w:pPr>
      <w:r w:rsidRPr="00E64C07">
        <w:rPr>
          <w:rFonts w:ascii="Arial" w:hAnsi="Arial" w:cs="Arial"/>
          <w:sz w:val="24"/>
          <w:szCs w:val="24"/>
        </w:rPr>
        <w:t xml:space="preserve">“A maioria dos autores [...] continua utilizando o sistema de graus como unidade de ângulo.” (TEDESCHI, </w:t>
      </w:r>
      <w:r w:rsidR="00A23E8D">
        <w:rPr>
          <w:rFonts w:ascii="Arial" w:hAnsi="Arial" w:cs="Arial"/>
          <w:sz w:val="24"/>
          <w:szCs w:val="24"/>
        </w:rPr>
        <w:t xml:space="preserve">jan./fev. </w:t>
      </w:r>
      <w:r w:rsidRPr="00E64C07">
        <w:rPr>
          <w:rFonts w:ascii="Arial" w:hAnsi="Arial" w:cs="Arial"/>
          <w:sz w:val="24"/>
          <w:szCs w:val="24"/>
        </w:rPr>
        <w:t>2002, p. 38)</w:t>
      </w:r>
    </w:p>
    <w:p w14:paraId="5521E45C" w14:textId="327E3490" w:rsidR="00E64C07" w:rsidRPr="007F5FD3" w:rsidRDefault="00E64C07" w:rsidP="007F5F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Comentário: Esse trecho demonstra que há uma defasagem com relação a unidade de medida, é dito que </w:t>
      </w:r>
      <w:r w:rsidR="00B22458">
        <w:rPr>
          <w:rFonts w:ascii="Arial" w:hAnsi="Arial" w:cs="Arial"/>
          <w:sz w:val="24"/>
          <w:szCs w:val="24"/>
        </w:rPr>
        <w:t>mesmo com o radiano sendo a unidade para medida de ângulos do S.I. (Sistema Internacional de Unidades de Medida)</w:t>
      </w:r>
      <w:r w:rsidR="00AE76B6">
        <w:rPr>
          <w:rFonts w:ascii="Arial" w:hAnsi="Arial" w:cs="Arial"/>
          <w:sz w:val="24"/>
          <w:szCs w:val="24"/>
        </w:rPr>
        <w:t xml:space="preserve">, o grau continua sendo amplamente utilizado </w:t>
      </w:r>
      <w:r w:rsidR="00713D9C">
        <w:rPr>
          <w:rFonts w:ascii="Arial" w:hAnsi="Arial" w:cs="Arial"/>
          <w:sz w:val="24"/>
          <w:szCs w:val="24"/>
        </w:rPr>
        <w:t>visto que há uma dependência histórica dessa unidade, já que há registros de que desde a década de 50</w:t>
      </w:r>
      <w:r w:rsidR="00903125">
        <w:rPr>
          <w:rFonts w:ascii="Arial" w:hAnsi="Arial" w:cs="Arial"/>
          <w:sz w:val="24"/>
          <w:szCs w:val="24"/>
        </w:rPr>
        <w:t>, a maioria das escolas de terapia dos Estados Unidos já adotava essa unidade, utilizando a escala de 0° à 180°.</w:t>
      </w:r>
    </w:p>
    <w:sectPr w:rsidR="00E64C07" w:rsidRPr="007F5F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D3"/>
    <w:rsid w:val="000A1EE1"/>
    <w:rsid w:val="001D7EA6"/>
    <w:rsid w:val="00332846"/>
    <w:rsid w:val="003D20B7"/>
    <w:rsid w:val="004605A7"/>
    <w:rsid w:val="004A07B4"/>
    <w:rsid w:val="00713D9C"/>
    <w:rsid w:val="00723DD8"/>
    <w:rsid w:val="007F5FD3"/>
    <w:rsid w:val="00820D7E"/>
    <w:rsid w:val="00903125"/>
    <w:rsid w:val="00A23E8D"/>
    <w:rsid w:val="00A26230"/>
    <w:rsid w:val="00A768F7"/>
    <w:rsid w:val="00AE76B6"/>
    <w:rsid w:val="00AF58C0"/>
    <w:rsid w:val="00B22458"/>
    <w:rsid w:val="00C43157"/>
    <w:rsid w:val="00C90609"/>
    <w:rsid w:val="00D6479A"/>
    <w:rsid w:val="00E64C07"/>
    <w:rsid w:val="00ED5989"/>
    <w:rsid w:val="00F3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22525"/>
  <w15:chartTrackingRefBased/>
  <w15:docId w15:val="{71699396-23DD-4883-B854-94821D1B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5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5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5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5F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5F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5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5F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5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5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5F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5F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5F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5F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5F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F5FD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5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3233/fb.v3i1.29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matheus014x@gmail.com</dc:creator>
  <cp:keywords/>
  <dc:description/>
  <cp:lastModifiedBy>matheus014x@gmail.com</cp:lastModifiedBy>
  <cp:revision>2</cp:revision>
  <dcterms:created xsi:type="dcterms:W3CDTF">2026-03-17T19:44:00Z</dcterms:created>
  <dcterms:modified xsi:type="dcterms:W3CDTF">2026-03-17T19:44:00Z</dcterms:modified>
</cp:coreProperties>
</file>