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700"/>
        <w:gridCol w:w="8406"/>
      </w:tblGrid>
      <w:tr>
        <w:tc>
          <w:tcPr>
            <w:tcW w:type="dxa" w:w="170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vAlign w:val="center"/>
          </w:tcPr>
          <w:p>
            <w:pPr>
              <w:jc w:val="center"/>
            </w:pPr>
            <w:r>
              <w:drawing>
                <wp:inline distT="0" distB="0" distL="0" distR="0">
                  <wp:extent cx="85725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57250" cy="762000"/>
                          </a:xfrm>
                          <a:prstGeom prst="rect">
                            <a:avLst/>
                          </a:prstGeom>
                        </pic:spPr>
                      </pic:pic>
                    </a:graphicData>
                  </a:graphic>
                </wp:inline>
              </w:drawing>
            </w:r>
          </w:p>
        </w:tc>
        <w:tc>
          <w:tcPr>
            <w:tcW w:type="dxa" w:w="8406"/>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vAlign w:val="top"/>
          </w:tcPr>
          <w:p>
            <w:pPr>
              <w:spacing w:after="20" w:before="0"/>
              <w:jc w:val="left"/>
            </w:pPr>
            <w:r>
              <w:rPr>
                <w:rFonts w:ascii="Arial" w:cs="Arial" w:eastAsia="Arial" w:hAnsi="Arial"/>
                <w:b/>
                <w:bCs/>
                <w:color w:val="555555"/>
                <w:sz w:val="16"/>
                <w:szCs w:val="16"/>
              </w:rPr>
              <w:t xml:space="preserve">DOSSIER DE PRÉSENTATION</w:t>
            </w:r>
          </w:p>
          <w:p>
            <w:pPr>
              <w:spacing w:after="20" w:before="0"/>
              <w:jc w:val="left"/>
            </w:pPr>
            <w:r>
              <w:rPr>
                <w:rFonts w:ascii="Arial" w:cs="Arial" w:eastAsia="Arial" w:hAnsi="Arial"/>
                <w:b/>
                <w:bCs/>
                <w:color w:val="1B3A6B"/>
                <w:sz w:val="36"/>
                <w:szCs w:val="36"/>
              </w:rPr>
              <w:t xml:space="preserve">Ateliers 360</w:t>
            </w:r>
          </w:p>
          <w:p>
            <w:pPr>
              <w:spacing w:after="20" w:before="0"/>
              <w:jc w:val="left"/>
            </w:pPr>
            <w:r>
              <w:rPr>
                <w:rFonts w:ascii="Arial" w:cs="Arial" w:eastAsia="Arial" w:hAnsi="Arial"/>
                <w:i/>
                <w:iCs/>
                <w:color w:val="555555"/>
                <w:sz w:val="20"/>
                <w:szCs w:val="20"/>
              </w:rPr>
              <w:t xml:space="preserve">Ateliers scientifiques &amp; numériques pour les écoles et structures éducatives</w:t>
            </w:r>
          </w:p>
          <w:p>
            <w:pPr>
              <w:spacing w:after="80" w:before="0"/>
              <w:jc w:val="left"/>
            </w:pPr>
            <w:r>
              <w:rPr>
                <w:rFonts w:ascii="Arial" w:cs="Arial" w:eastAsia="Arial" w:hAnsi="Arial"/>
                <w:color w:val="2D6FAF"/>
                <w:sz w:val="18"/>
                <w:szCs w:val="18"/>
              </w:rPr>
              <w:t xml:space="preserve">Travailleur indépendant — Luxembourg, Grande Région — 2026</w:t>
            </w:r>
          </w:p>
        </w:tc>
      </w:tr>
    </w:tbl>
    <w:p>
      <w:pPr>
        <w:spacing w:after="12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top"/>
          </w:tcPr>
          <w:p>
            <w:pPr>
              <w:spacing w:after="40" w:before="0"/>
              <w:jc w:val="left"/>
            </w:pPr>
            <w:r>
              <w:rPr>
                <w:rFonts w:ascii="Arial" w:cs="Arial" w:eastAsia="Arial" w:hAnsi="Arial"/>
                <w:b/>
                <w:bCs/>
                <w:color w:val="2D6FAF"/>
                <w:sz w:val="20"/>
                <w:szCs w:val="20"/>
              </w:rPr>
              <w:t xml:space="preserve">Porteur de projet</w:t>
            </w:r>
          </w:p>
          <w:p>
            <w:pPr>
              <w:spacing w:after="40" w:before="0"/>
              <w:jc w:val="left"/>
            </w:pPr>
            <w:r>
              <w:rPr>
                <w:rFonts w:ascii="Arial" w:cs="Arial" w:eastAsia="Arial" w:hAnsi="Arial"/>
                <w:b/>
                <w:bCs/>
                <w:color w:val="1B3A6B"/>
                <w:sz w:val="22"/>
                <w:szCs w:val="22"/>
              </w:rPr>
              <w:t xml:space="preserve">Nathan Imogo</w:t>
            </w:r>
          </w:p>
          <w:p>
            <w:pPr>
              <w:spacing w:after="30" w:before="0"/>
              <w:jc w:val="left"/>
            </w:pPr>
            <w:r>
              <w:rPr>
                <w:rFonts w:ascii="Arial" w:cs="Arial" w:eastAsia="Arial" w:hAnsi="Arial"/>
                <w:color w:val="000000"/>
                <w:sz w:val="20"/>
                <w:szCs w:val="20"/>
              </w:rPr>
              <w:t xml:space="preserve">Développeur full-stack &amp; formateur en numérique</w:t>
            </w:r>
          </w:p>
          <w:p>
            <w:pPr>
              <w:spacing w:after="80" w:before="0"/>
              <w:jc w:val="left"/>
            </w:pPr>
            <w:r>
              <w:rPr>
                <w:rFonts w:ascii="Arial" w:cs="Arial" w:eastAsia="Arial" w:hAnsi="Arial"/>
                <w:color w:val="555555"/>
                <w:sz w:val="18"/>
                <w:szCs w:val="18"/>
              </w:rPr>
              <w:t xml:space="preserve">Esch-sur-Alzette, Luxembourg  |  07 53 61 24 71  |  nathan.imogo@outlook.fr  |  www.ateliers360.fr</w:t>
            </w:r>
          </w:p>
        </w:tc>
      </w:tr>
    </w:tbl>
    <w:p>
      <w:pPr>
        <w:spacing w:after="12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526"/>
        <w:gridCol w:w="2526"/>
        <w:gridCol w:w="2527"/>
        <w:gridCol w:w="2527"/>
      </w:tblGrid>
      <w:tr>
        <w:tc>
          <w:tcPr>
            <w:tcW w:type="dxa" w:w="2526"/>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vAlign w:val="center"/>
          </w:tcPr>
          <w:p>
            <w:pPr>
              <w:spacing w:after="10" w:before="0"/>
              <w:jc w:val="center"/>
            </w:pPr>
            <w:r>
              <w:rPr>
                <w:rFonts w:ascii="Arial" w:cs="Arial" w:eastAsia="Arial" w:hAnsi="Arial"/>
                <w:b/>
                <w:bCs/>
                <w:color w:val="FFFFFF"/>
                <w:sz w:val="36"/>
                <w:szCs w:val="36"/>
              </w:rPr>
              <w:t xml:space="preserve">15+</w:t>
            </w:r>
          </w:p>
          <w:p>
            <w:pPr>
              <w:spacing w:after="80" w:before="0"/>
              <w:jc w:val="center"/>
            </w:pPr>
            <w:r>
              <w:rPr>
                <w:rFonts w:ascii="Arial" w:cs="Arial" w:eastAsia="Arial" w:hAnsi="Arial"/>
                <w:color w:val="FFFFFF"/>
                <w:sz w:val="18"/>
                <w:szCs w:val="18"/>
              </w:rPr>
              <w:t xml:space="preserve">Disciplines au catalogue</w:t>
            </w:r>
          </w:p>
        </w:tc>
        <w:tc>
          <w:tcPr>
            <w:tcW w:type="dxa" w:w="2526"/>
            <w:tcBorders>
              <w:top w:val="none" w:color="FFFFFF" w:sz="0"/>
              <w:left w:val="none" w:color="FFFFFF" w:sz="0"/>
              <w:bottom w:val="none" w:color="FFFFFF" w:sz="0"/>
              <w:right w:val="none" w:color="FFFFFF" w:sz="0"/>
            </w:tcBorders>
            <w:shd w:fill="2D6FAF" w:val="clear"/>
            <w:tcMar>
              <w:top w:type="dxa" w:w="100"/>
              <w:left w:type="dxa" w:w="140"/>
              <w:bottom w:type="dxa" w:w="100"/>
              <w:right w:type="dxa" w:w="140"/>
            </w:tcMar>
            <w:vAlign w:val="center"/>
          </w:tcPr>
          <w:p>
            <w:pPr>
              <w:spacing w:after="10" w:before="0"/>
              <w:jc w:val="center"/>
            </w:pPr>
            <w:r>
              <w:rPr>
                <w:rFonts w:ascii="Arial" w:cs="Arial" w:eastAsia="Arial" w:hAnsi="Arial"/>
                <w:b/>
                <w:bCs/>
                <w:color w:val="FFFFFF"/>
                <w:sz w:val="28"/>
                <w:szCs w:val="28"/>
              </w:rPr>
              <w:t xml:space="preserve">180 - 450 €</w:t>
            </w:r>
          </w:p>
          <w:p>
            <w:pPr>
              <w:spacing w:after="80" w:before="0"/>
              <w:jc w:val="center"/>
            </w:pPr>
            <w:r>
              <w:rPr>
                <w:rFonts w:ascii="Arial" w:cs="Arial" w:eastAsia="Arial" w:hAnsi="Arial"/>
                <w:color w:val="FFFFFF"/>
                <w:sz w:val="18"/>
                <w:szCs w:val="18"/>
              </w:rPr>
              <w:t xml:space="preserve">Par atelier (HT)</w:t>
            </w:r>
          </w:p>
        </w:tc>
        <w:tc>
          <w:tcPr>
            <w:tcW w:type="dxa" w:w="2527"/>
            <w:tcBorders>
              <w:top w:val="none" w:color="FFFFFF" w:sz="0"/>
              <w:left w:val="none" w:color="FFFFFF" w:sz="0"/>
              <w:bottom w:val="none" w:color="FFFFFF" w:sz="0"/>
              <w:right w:val="none" w:color="FFFFFF" w:sz="0"/>
            </w:tcBorders>
            <w:shd w:fill="E8813A" w:val="clear"/>
            <w:tcMar>
              <w:top w:type="dxa" w:w="100"/>
              <w:left w:type="dxa" w:w="140"/>
              <w:bottom w:type="dxa" w:w="100"/>
              <w:right w:type="dxa" w:w="140"/>
            </w:tcMar>
            <w:vAlign w:val="center"/>
          </w:tcPr>
          <w:p>
            <w:pPr>
              <w:spacing w:after="10" w:before="0"/>
              <w:jc w:val="center"/>
            </w:pPr>
            <w:r>
              <w:rPr>
                <w:rFonts w:ascii="Arial" w:cs="Arial" w:eastAsia="Arial" w:hAnsi="Arial"/>
                <w:b/>
                <w:bCs/>
                <w:color w:val="FFFFFF"/>
                <w:sz w:val="26"/>
                <w:szCs w:val="26"/>
              </w:rPr>
              <w:t xml:space="preserve">Luxembourg</w:t>
            </w:r>
          </w:p>
          <w:p>
            <w:pPr>
              <w:spacing w:after="80" w:before="0"/>
              <w:jc w:val="center"/>
            </w:pPr>
            <w:r>
              <w:rPr>
                <w:rFonts w:ascii="Arial" w:cs="Arial" w:eastAsia="Arial" w:hAnsi="Arial"/>
                <w:color w:val="FFFFFF"/>
                <w:sz w:val="18"/>
                <w:szCs w:val="18"/>
              </w:rPr>
              <w:t xml:space="preserve">Zone prioritaire</w:t>
            </w:r>
          </w:p>
        </w:tc>
        <w:tc>
          <w:tcPr>
            <w:tcW w:type="dxa" w:w="2527"/>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vAlign w:val="center"/>
          </w:tcPr>
          <w:p>
            <w:pPr>
              <w:spacing w:after="10" w:before="0"/>
              <w:jc w:val="center"/>
            </w:pPr>
            <w:r>
              <w:rPr>
                <w:rFonts w:ascii="Arial" w:cs="Arial" w:eastAsia="Arial" w:hAnsi="Arial"/>
                <w:b/>
                <w:bCs/>
                <w:color w:val="FFFFFF"/>
                <w:sz w:val="28"/>
                <w:szCs w:val="28"/>
              </w:rPr>
              <w:t xml:space="preserve">FR / BE</w:t>
            </w:r>
          </w:p>
          <w:p>
            <w:pPr>
              <w:spacing w:after="80" w:before="0"/>
              <w:jc w:val="center"/>
            </w:pPr>
            <w:r>
              <w:rPr>
                <w:rFonts w:ascii="Arial" w:cs="Arial" w:eastAsia="Arial" w:hAnsi="Arial"/>
                <w:color w:val="FFFFFF"/>
                <w:sz w:val="18"/>
                <w:szCs w:val="18"/>
              </w:rPr>
              <w:t xml:space="preserve">Extension Grande Région</w:t>
            </w:r>
          </w:p>
        </w:tc>
      </w:tr>
    </w:tbl>
    <w:p>
      <w:pPr>
        <w:spacing w:after="200"/>
      </w:pPr>
    </w:p>
    <w:p>
      <w:pPr>
        <w:pBdr>
          <w:bottom w:val="single" w:color="2D6FAF" w:sz="8"/>
        </w:pBdr>
        <w:spacing w:after="100" w:before="200"/>
      </w:pPr>
      <w:r>
        <w:rPr>
          <w:rFonts w:ascii="Arial" w:cs="Arial" w:eastAsia="Arial" w:hAnsi="Arial"/>
          <w:b/>
          <w:bCs/>
          <w:color w:val="1B3A6B"/>
          <w:sz w:val="24"/>
          <w:szCs w:val="24"/>
        </w:rPr>
        <w:t xml:space="preserve">1. Le porteur de projet</w:t>
      </w:r>
    </w:p>
    <w:p>
      <w:pPr>
        <w:spacing w:after="10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4800"/>
        <w:gridCol w:w="5306"/>
      </w:tblGrid>
      <w:tr>
        <w:tc>
          <w:tcPr>
            <w:tcW w:type="dxa" w:w="48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80" w:before="0"/>
              <w:jc w:val="left"/>
            </w:pPr>
            <w:r>
              <w:rPr>
                <w:rFonts w:ascii="Arial" w:cs="Arial" w:eastAsia="Arial" w:hAnsi="Arial"/>
                <w:b/>
                <w:bCs/>
                <w:color w:val="2D6FAF"/>
                <w:sz w:val="20"/>
                <w:szCs w:val="20"/>
              </w:rPr>
              <w:t xml:space="preserve">Formation &amp; expérience</w:t>
            </w:r>
          </w:p>
          <w:p>
            <w:pPr>
              <w:pStyle w:val="ListParagraph"/>
              <w:numPr>
                <w:ilvl w:val="0"/>
                <w:numId w:val="2"/>
              </w:numPr>
              <w:spacing w:after="60" w:before="0"/>
            </w:pPr>
            <w:r>
              <w:rPr>
                <w:rFonts w:ascii="Arial" w:cs="Arial" w:eastAsia="Arial" w:hAnsi="Arial"/>
                <w:color w:val="000000"/>
                <w:sz w:val="20"/>
                <w:szCs w:val="20"/>
              </w:rPr>
              <w:t xml:space="preserve">Bachelor Développeur Full-Stack (Bac+3)</w:t>
            </w:r>
          </w:p>
          <w:p>
            <w:pPr>
              <w:pStyle w:val="ListParagraph"/>
              <w:numPr>
                <w:ilvl w:val="0"/>
                <w:numId w:val="2"/>
              </w:numPr>
              <w:spacing w:after="60" w:before="0"/>
            </w:pPr>
            <w:r>
              <w:rPr>
                <w:rFonts w:ascii="Arial" w:cs="Arial" w:eastAsia="Arial" w:hAnsi="Arial"/>
                <w:color w:val="000000"/>
                <w:sz w:val="20"/>
                <w:szCs w:val="20"/>
              </w:rPr>
              <w:t xml:space="preserve">5 ans d'expérience en développement web et mobile</w:t>
            </w:r>
          </w:p>
          <w:p>
            <w:pPr>
              <w:pStyle w:val="ListParagraph"/>
              <w:numPr>
                <w:ilvl w:val="0"/>
                <w:numId w:val="2"/>
              </w:numPr>
              <w:spacing w:after="60" w:before="0"/>
            </w:pPr>
            <w:r>
              <w:rPr>
                <w:rFonts w:ascii="Arial" w:cs="Arial" w:eastAsia="Arial" w:hAnsi="Arial"/>
                <w:color w:val="000000"/>
                <w:sz w:val="20"/>
                <w:szCs w:val="20"/>
              </w:rPr>
              <w:t xml:space="preserve">Formateur en numérique auprès de différents publics</w:t>
            </w:r>
          </w:p>
          <w:p>
            <w:pPr>
              <w:pStyle w:val="ListParagraph"/>
              <w:numPr>
                <w:ilvl w:val="0"/>
                <w:numId w:val="2"/>
              </w:numPr>
              <w:spacing w:after="60" w:before="0"/>
            </w:pPr>
            <w:r>
              <w:rPr>
                <w:rFonts w:ascii="Arial" w:cs="Arial" w:eastAsia="Arial" w:hAnsi="Arial"/>
                <w:color w:val="000000"/>
                <w:sz w:val="20"/>
                <w:szCs w:val="20"/>
              </w:rPr>
              <w:t xml:space="preserve">Maîtrise des outils pédagogiques STEM</w:t>
            </w:r>
          </w:p>
          <w:p>
            <w:pPr>
              <w:spacing w:after="100"/>
            </w:pPr>
          </w:p>
          <w:p>
            <w:pPr>
              <w:spacing w:after="80" w:before="0"/>
              <w:jc w:val="left"/>
            </w:pPr>
            <w:r>
              <w:rPr>
                <w:rFonts w:ascii="Arial" w:cs="Arial" w:eastAsia="Arial" w:hAnsi="Arial"/>
                <w:b/>
                <w:bCs/>
                <w:color w:val="2D6FAF"/>
                <w:sz w:val="20"/>
                <w:szCs w:val="20"/>
              </w:rPr>
              <w:t xml:space="preserve">Compétences clés</w:t>
            </w:r>
          </w:p>
          <w:p>
            <w:pPr>
              <w:pStyle w:val="ListParagraph"/>
              <w:numPr>
                <w:ilvl w:val="0"/>
                <w:numId w:val="2"/>
              </w:numPr>
              <w:spacing w:after="60" w:before="0"/>
            </w:pPr>
            <w:r>
              <w:rPr>
                <w:rFonts w:ascii="Arial" w:cs="Arial" w:eastAsia="Arial" w:hAnsi="Arial"/>
                <w:color w:val="000000"/>
                <w:sz w:val="20"/>
                <w:szCs w:val="20"/>
              </w:rPr>
              <w:t xml:space="preserve">Conception et animation d'ateliers pratiques</w:t>
            </w:r>
          </w:p>
          <w:p>
            <w:pPr>
              <w:pStyle w:val="ListParagraph"/>
              <w:numPr>
                <w:ilvl w:val="0"/>
                <w:numId w:val="2"/>
              </w:numPr>
              <w:spacing w:after="60" w:before="0"/>
            </w:pPr>
            <w:r>
              <w:rPr>
                <w:rFonts w:ascii="Arial" w:cs="Arial" w:eastAsia="Arial" w:hAnsi="Arial"/>
                <w:color w:val="000000"/>
                <w:sz w:val="20"/>
                <w:szCs w:val="20"/>
              </w:rPr>
              <w:t xml:space="preserve">Pédagogie différenciée tous niveaux</w:t>
            </w:r>
          </w:p>
          <w:p>
            <w:pPr>
              <w:pStyle w:val="ListParagraph"/>
              <w:numPr>
                <w:ilvl w:val="0"/>
                <w:numId w:val="2"/>
              </w:numPr>
              <w:spacing w:after="60" w:before="0"/>
            </w:pPr>
            <w:r>
              <w:rPr>
                <w:rFonts w:ascii="Arial" w:cs="Arial" w:eastAsia="Arial" w:hAnsi="Arial"/>
                <w:color w:val="000000"/>
                <w:sz w:val="20"/>
                <w:szCs w:val="20"/>
              </w:rPr>
              <w:t xml:space="preserve">Robotique, code, IA, sciences, FabLab</w:t>
            </w:r>
          </w:p>
          <w:p>
            <w:pPr>
              <w:pStyle w:val="ListParagraph"/>
              <w:numPr>
                <w:ilvl w:val="0"/>
                <w:numId w:val="2"/>
              </w:numPr>
              <w:spacing w:after="60" w:before="0"/>
            </w:pPr>
            <w:r>
              <w:rPr>
                <w:rFonts w:ascii="Arial" w:cs="Arial" w:eastAsia="Arial" w:hAnsi="Arial"/>
                <w:color w:val="000000"/>
                <w:sz w:val="20"/>
                <w:szCs w:val="20"/>
              </w:rPr>
              <w:t xml:space="preserve">Communication bilingue français / anglais</w:t>
            </w:r>
          </w:p>
          <w:p>
            <w:pPr>
              <w:pStyle w:val="ListParagraph"/>
              <w:numPr>
                <w:ilvl w:val="0"/>
                <w:numId w:val="2"/>
              </w:numPr>
              <w:spacing w:after="60" w:before="0"/>
            </w:pPr>
            <w:r>
              <w:rPr>
                <w:rFonts w:ascii="Arial" w:cs="Arial" w:eastAsia="Arial" w:hAnsi="Arial"/>
                <w:color w:val="000000"/>
                <w:sz w:val="20"/>
                <w:szCs w:val="20"/>
              </w:rPr>
              <w:t xml:space="preserve">Relation client et gestion de partenariats</w:t>
            </w:r>
          </w:p>
        </w:tc>
        <w:tc>
          <w:tcPr>
            <w:tcW w:type="dxa" w:w="53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0"/>
              <w:jc w:val="left"/>
            </w:pPr>
            <w:r>
              <w:rPr>
                <w:rFonts w:ascii="Arial" w:cs="Arial" w:eastAsia="Arial" w:hAnsi="Arial"/>
                <w:b/>
                <w:bCs/>
                <w:color w:val="2D6FAF"/>
                <w:sz w:val="20"/>
                <w:szCs w:val="20"/>
              </w:rPr>
              <w:t xml:space="preserve">Motivations</w:t>
            </w:r>
          </w:p>
          <w:p>
            <w:pPr>
              <w:spacing w:after="120" w:before="0"/>
              <w:jc w:val="left"/>
            </w:pPr>
            <w:r>
              <w:rPr>
                <w:rFonts w:ascii="Arial" w:cs="Arial" w:eastAsia="Arial" w:hAnsi="Arial"/>
                <w:color w:val="000000"/>
                <w:sz w:val="20"/>
                <w:szCs w:val="20"/>
              </w:rPr>
              <w:t xml:space="preserve">Fort d'une double compétence technique et pédagogique, j'ai identifié au Luxembourg un marché porteur et peu couvert : la demande d'ateliers STEM de qualité, pluridisciplinaires et clé en main, y est croissante auprès des écoles fondamentales, lycées et maisons relais, dans un contexte où l'éducation au numérique et aux sciences appliquées est une priorité nationale.</w:t>
            </w:r>
          </w:p>
          <w:p>
            <w:pPr>
              <w:spacing w:after="80" w:before="0"/>
              <w:jc w:val="left"/>
            </w:pPr>
            <w:r>
              <w:rPr>
                <w:rFonts w:ascii="Arial" w:cs="Arial" w:eastAsia="Arial" w:hAnsi="Arial"/>
                <w:color w:val="000000"/>
                <w:sz w:val="20"/>
                <w:szCs w:val="20"/>
              </w:rPr>
              <w:t xml:space="preserve">Ateliers 360 répond directement à ce besoin : intervenir dans les établissements et structures éducatives luxembourgeois avec du matériel fourni, des contenus adaptés aux programmes (Plan d'études cadre) et une pédagogie engageante, sans contrainte logistique pour l'établissement partenaire.</w:t>
            </w:r>
          </w:p>
        </w:tc>
      </w:tr>
    </w:tbl>
    <w:p>
      <w:pPr>
        <w:spacing w:after="200"/>
      </w:pPr>
    </w:p>
    <w:p>
      <w:pPr>
        <w:pBdr>
          <w:bottom w:val="single" w:color="2D6FAF" w:sz="8"/>
        </w:pBdr>
        <w:spacing w:after="100" w:before="200"/>
      </w:pPr>
      <w:r>
        <w:rPr>
          <w:rFonts w:ascii="Arial" w:cs="Arial" w:eastAsia="Arial" w:hAnsi="Arial"/>
          <w:b/>
          <w:bCs/>
          <w:color w:val="1B3A6B"/>
          <w:sz w:val="24"/>
          <w:szCs w:val="24"/>
        </w:rPr>
        <w:t xml:space="preserve">2. Le projet Ateliers 360 — Trois pôles complémentaires</w:t>
      </w:r>
    </w:p>
    <w:p>
      <w:pPr>
        <w:spacing w:after="100"/>
      </w:pPr>
    </w:p>
    <w:p>
      <w:pPr>
        <w:spacing w:after="160" w:before="0"/>
        <w:jc w:val="left"/>
      </w:pPr>
      <w:r>
        <w:rPr>
          <w:rFonts w:ascii="Arial" w:cs="Arial" w:eastAsia="Arial" w:hAnsi="Arial"/>
          <w:color w:val="000000"/>
          <w:sz w:val="20"/>
          <w:szCs w:val="20"/>
        </w:rPr>
        <w:t xml:space="preserve">Ateliers 360 est une activité d'animation pédagogique scientifique et numérique exercée en tant que travailleur indépendant. Je conçois et anime des ateliers pratiques dans les écoles fondamentales, lycées, maisons relais, ASBL et communes du Luxembourg, avec une extension naturelle vers la Grande Région (Grand Est, Wallonie). Le projet se déploie en deux phases, autour de trois pôles complémentaires.</w:t>
      </w:r>
    </w:p>
    <w:p>
      <w:pPr>
        <w:spacing w:after="80" w:before="80"/>
      </w:pPr>
      <w:r>
        <w:rPr>
          <w:rFonts w:ascii="Arial" w:cs="Arial" w:eastAsia="Arial" w:hAnsi="Arial"/>
          <w:b/>
          <w:bCs/>
          <w:color w:val="FFFFFF"/>
          <w:sz w:val="20"/>
          <w:szCs w:val="20"/>
        </w:rPr>
        <w:t xml:space="preserve">PHASE 1 — Active dès le lancement</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vAlign w:val="top"/>
          </w:tcPr>
          <w:p>
            <w:pPr>
              <w:spacing w:after="80" w:before="0"/>
              <w:jc w:val="left"/>
            </w:pPr>
            <w:r>
              <w:rPr>
                <w:rFonts w:ascii="Arial" w:cs="Arial" w:eastAsia="Arial" w:hAnsi="Arial"/>
                <w:b/>
                <w:bCs/>
                <w:color w:val="FFFFFF"/>
                <w:sz w:val="20"/>
                <w:szCs w:val="20"/>
              </w:rPr>
              <w:t xml:space="preserve">PHASE 1 — Active dès le lancement</w:t>
            </w:r>
          </w:p>
        </w:tc>
      </w:tr>
    </w:tbl>
    <w:p>
      <w:pPr>
        <w:spacing w:after="8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00"/>
        <w:gridCol w:w="9906"/>
      </w:tblGrid>
      <w:tr>
        <w:tc>
          <w:tcPr>
            <w:tcW w:type="dxa" w:w="200"/>
            <w:tcBorders>
              <w:top w:val="none" w:color="FFFFFF" w:sz="0"/>
              <w:left w:val="none" w:color="FFFFFF" w:sz="0"/>
              <w:bottom w:val="none" w:color="FFFFFF" w:sz="0"/>
              <w:right w:val="none" w:color="FFFFFF" w:sz="0"/>
            </w:tcBorders>
            <w:shd w:fill="E8813A" w:val="clear"/>
            <w:tcMar>
              <w:top w:type="dxa" w:w="100"/>
              <w:left w:type="dxa" w:w="140"/>
              <w:bottom w:type="dxa" w:w="100"/>
              <w:right w:type="dxa" w:w="140"/>
            </w:tcMar>
            <w:vAlign w:val="top"/>
          </w:tcPr>
          <w:p/>
        </w:tc>
        <w:tc>
          <w:tcPr>
            <w:tcW w:type="dxa" w:w="9906"/>
            <w:tcBorders>
              <w:top w:val="none" w:color="FFFFFF" w:sz="0"/>
              <w:left w:val="none" w:color="FFFFFF" w:sz="0"/>
              <w:bottom w:val="none" w:color="FFFFFF" w:sz="0"/>
              <w:right w:val="none" w:color="FFFFFF" w:sz="0"/>
            </w:tcBorders>
            <w:shd w:fill="F5F7FA" w:val="clear"/>
            <w:tcMar>
              <w:top w:type="dxa" w:w="100"/>
              <w:left w:type="dxa" w:w="140"/>
              <w:bottom w:type="dxa" w:w="100"/>
              <w:right w:type="dxa" w:w="140"/>
            </w:tcMar>
            <w:vAlign w:val="top"/>
          </w:tcPr>
          <w:p>
            <w:pPr>
              <w:spacing w:after="80" w:before="0"/>
              <w:jc w:val="left"/>
            </w:pPr>
            <w:r>
              <w:rPr>
                <w:rFonts w:ascii="Arial" w:cs="Arial" w:eastAsia="Arial" w:hAnsi="Arial"/>
                <w:b/>
                <w:bCs/>
                <w:color w:val="1B3A6B"/>
                <w:sz w:val="21"/>
                <w:szCs w:val="21"/>
              </w:rPr>
              <w:t xml:space="preserve">Pôle 1 — Ateliers 360 Éducation : Sciences, robotique &amp; numérique</w:t>
            </w:r>
          </w:p>
          <w:p>
            <w:pPr>
              <w:spacing w:after="80" w:before="0"/>
              <w:jc w:val="left"/>
            </w:pPr>
            <w:r>
              <w:rPr>
                <w:rFonts w:ascii="Arial" w:cs="Arial" w:eastAsia="Arial" w:hAnsi="Arial"/>
                <w:color w:val="000000"/>
                <w:sz w:val="20"/>
                <w:szCs w:val="20"/>
              </w:rPr>
              <w:t xml:space="preserve">Conception et animation d'ateliers pédagogiques pratiques en robotique, programmation, intelligence artificielle, chimie, physique, astronomie, fabrication numérique et cybersécurité. Interventions dans les établissements scolaires (écoles fondamentales, lycées, lycées techniques), maisons relais, ASBL et communes du Luxembourg.</w:t>
            </w:r>
          </w:p>
          <w:p>
            <w:pPr>
              <w:spacing w:after="80" w:before="0"/>
              <w:jc w:val="left"/>
            </w:pPr>
            <w:r>
              <w:rPr>
                <w:rFonts w:ascii="Arial" w:cs="Arial" w:eastAsia="Arial" w:hAnsi="Arial"/>
                <w:i/>
                <w:iCs/>
                <w:color w:val="555555"/>
                <w:sz w:val="19"/>
                <w:szCs w:val="19"/>
              </w:rPr>
              <w:t xml:space="preserve">Formats : atelier ponctuel (1h30-2h) · module (3 à 6 séances) · pack annuel (20 à 30h)</w:t>
            </w:r>
          </w:p>
        </w:tc>
      </w:tr>
    </w:tbl>
    <w:p>
      <w:pPr>
        <w:spacing w:after="8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00"/>
        <w:gridCol w:w="9906"/>
      </w:tblGrid>
      <w:tr>
        <w:tc>
          <w:tcPr>
            <w:tcW w:type="dxa" w:w="200"/>
            <w:tcBorders>
              <w:top w:val="none" w:color="FFFFFF" w:sz="0"/>
              <w:left w:val="none" w:color="FFFFFF" w:sz="0"/>
              <w:bottom w:val="none" w:color="FFFFFF" w:sz="0"/>
              <w:right w:val="none" w:color="FFFFFF" w:sz="0"/>
            </w:tcBorders>
            <w:shd w:fill="2D6FAF" w:val="clear"/>
            <w:tcMar>
              <w:top w:type="dxa" w:w="100"/>
              <w:left w:type="dxa" w:w="140"/>
              <w:bottom w:type="dxa" w:w="100"/>
              <w:right w:type="dxa" w:w="140"/>
            </w:tcMar>
            <w:vAlign w:val="top"/>
          </w:tcPr>
          <w:p/>
        </w:tc>
        <w:tc>
          <w:tcPr>
            <w:tcW w:type="dxa" w:w="9906"/>
            <w:tcBorders>
              <w:top w:val="none" w:color="FFFFFF" w:sz="0"/>
              <w:left w:val="none" w:color="FFFFFF" w:sz="0"/>
              <w:bottom w:val="none" w:color="FFFFFF" w:sz="0"/>
              <w:right w:val="none" w:color="FFFFFF" w:sz="0"/>
            </w:tcBorders>
            <w:shd w:fill="F5F7FA" w:val="clear"/>
            <w:tcMar>
              <w:top w:type="dxa" w:w="100"/>
              <w:left w:type="dxa" w:w="140"/>
              <w:bottom w:type="dxa" w:w="100"/>
              <w:right w:type="dxa" w:w="140"/>
            </w:tcMar>
            <w:vAlign w:val="top"/>
          </w:tcPr>
          <w:p>
            <w:pPr>
              <w:spacing w:after="80" w:before="0"/>
              <w:jc w:val="left"/>
            </w:pPr>
            <w:r>
              <w:rPr>
                <w:rFonts w:ascii="Arial" w:cs="Arial" w:eastAsia="Arial" w:hAnsi="Arial"/>
                <w:b/>
                <w:bCs/>
                <w:color w:val="1B3A6B"/>
                <w:sz w:val="21"/>
                <w:szCs w:val="21"/>
              </w:rPr>
              <w:t xml:space="preserve">Pôle 2 — Cavalier Studio : Solutions numériques</w:t>
            </w:r>
          </w:p>
          <w:p>
            <w:pPr>
              <w:spacing w:after="80" w:before="0"/>
              <w:jc w:val="left"/>
            </w:pPr>
            <w:r>
              <w:rPr>
                <w:rFonts w:ascii="Arial" w:cs="Arial" w:eastAsia="Arial" w:hAnsi="Arial"/>
                <w:color w:val="000000"/>
                <w:sz w:val="20"/>
                <w:szCs w:val="20"/>
              </w:rPr>
              <w:t xml:space="preserve">Développement de sites internet, d'applications web et mobiles, intégration d'intelligence artificielle et conseil numérique pour les ASBL, communes, PME et startups du Luxembourg et de la Grande Région. Missions réalisables depuis l'espace de coworking sans nécessiter de local propre.</w:t>
            </w:r>
          </w:p>
        </w:tc>
      </w:tr>
    </w:tbl>
    <w:p>
      <w:pPr>
        <w:spacing w:after="12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FFFFFF" w:sz="0"/>
              <w:left w:val="none" w:color="FFFFFF" w:sz="0"/>
              <w:bottom w:val="none" w:color="FFFFFF" w:sz="0"/>
              <w:right w:val="none" w:color="FFFFFF" w:sz="0"/>
            </w:tcBorders>
            <w:shd w:fill="2D6FAF" w:val="clear"/>
            <w:tcMar>
              <w:top w:type="dxa" w:w="100"/>
              <w:left w:type="dxa" w:w="140"/>
              <w:bottom w:type="dxa" w:w="100"/>
              <w:right w:type="dxa" w:w="140"/>
            </w:tcMar>
            <w:vAlign w:val="top"/>
          </w:tcPr>
          <w:p>
            <w:pPr>
              <w:spacing w:after="80" w:before="0"/>
              <w:jc w:val="left"/>
            </w:pPr>
            <w:r>
              <w:rPr>
                <w:rFonts w:ascii="Arial" w:cs="Arial" w:eastAsia="Arial" w:hAnsi="Arial"/>
                <w:b/>
                <w:bCs/>
                <w:color w:val="FFFFFF"/>
                <w:sz w:val="20"/>
                <w:szCs w:val="20"/>
              </w:rPr>
              <w:t xml:space="preserve">PHASE 2 — Après constitution d'une trésorerie suffisante (6 à 9 mois)</w:t>
            </w:r>
          </w:p>
        </w:tc>
      </w:tr>
    </w:tbl>
    <w:p>
      <w:pPr>
        <w:spacing w:after="8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00"/>
        <w:gridCol w:w="9906"/>
      </w:tblGrid>
      <w:tr>
        <w:tc>
          <w:tcPr>
            <w:tcW w:type="dxa" w:w="200"/>
            <w:tcBorders>
              <w:top w:val="none" w:color="FFFFFF" w:sz="0"/>
              <w:left w:val="none" w:color="FFFFFF" w:sz="0"/>
              <w:bottom w:val="none" w:color="FFFFFF" w:sz="0"/>
              <w:right w:val="none" w:color="FFFFFF" w:sz="0"/>
            </w:tcBorders>
            <w:shd w:fill="4CAF50" w:val="clear"/>
            <w:tcMar>
              <w:top w:type="dxa" w:w="100"/>
              <w:left w:type="dxa" w:w="140"/>
              <w:bottom w:type="dxa" w:w="100"/>
              <w:right w:type="dxa" w:w="140"/>
            </w:tcMar>
            <w:vAlign w:val="top"/>
          </w:tcPr>
          <w:p/>
        </w:tc>
        <w:tc>
          <w:tcPr>
            <w:tcW w:type="dxa" w:w="9906"/>
            <w:tcBorders>
              <w:top w:val="none" w:color="FFFFFF" w:sz="0"/>
              <w:left w:val="none" w:color="FFFFFF" w:sz="0"/>
              <w:bottom w:val="none" w:color="FFFFFF" w:sz="0"/>
              <w:right w:val="none" w:color="FFFFFF" w:sz="0"/>
            </w:tcBorders>
            <w:shd w:fill="F5F7FA" w:val="clear"/>
            <w:tcMar>
              <w:top w:type="dxa" w:w="100"/>
              <w:left w:type="dxa" w:w="140"/>
              <w:bottom w:type="dxa" w:w="100"/>
              <w:right w:type="dxa" w:w="140"/>
            </w:tcMar>
            <w:vAlign w:val="top"/>
          </w:tcPr>
          <w:p>
            <w:pPr>
              <w:spacing w:after="80" w:before="0"/>
              <w:jc w:val="left"/>
            </w:pPr>
            <w:r>
              <w:rPr>
                <w:rFonts w:ascii="Arial" w:cs="Arial" w:eastAsia="Arial" w:hAnsi="Arial"/>
                <w:b/>
                <w:bCs/>
                <w:color w:val="1B3A6B"/>
                <w:sz w:val="21"/>
                <w:szCs w:val="21"/>
              </w:rPr>
              <w:t xml:space="preserve">Pôle 3 — Passerelle Jeunesse : Accueil éducatif &amp; loisirs scientifiques</w:t>
            </w:r>
          </w:p>
          <w:p>
            <w:pPr>
              <w:spacing w:after="80" w:before="0"/>
              <w:jc w:val="left"/>
            </w:pPr>
            <w:r>
              <w:rPr>
                <w:rFonts w:ascii="Arial" w:cs="Arial" w:eastAsia="Arial" w:hAnsi="Arial"/>
                <w:color w:val="000000"/>
                <w:sz w:val="20"/>
                <w:szCs w:val="20"/>
              </w:rPr>
              <w:t xml:space="preserve">Accueil périscolaire et parascolaire d'enfants de 4 à 12 ans, en partenariat avec des communes ou sous forme d'ASBL agréée, dans le cadre réglementaire luxembourgeois des Services d'Éducation et d'Accueil (SEA). Activités créatives, ateliers thématiques scientifiques et numériques, stages pendant les vacances scolaires.</w:t>
            </w:r>
          </w:p>
          <w:p>
            <w:pPr>
              <w:spacing w:after="80" w:before="0"/>
              <w:jc w:val="left"/>
            </w:pPr>
            <w:r>
              <w:rPr>
                <w:rFonts w:ascii="Arial" w:cs="Arial" w:eastAsia="Arial" w:hAnsi="Arial"/>
                <w:i/>
                <w:iCs/>
                <w:color w:val="555555"/>
                <w:sz w:val="19"/>
                <w:szCs w:val="19"/>
              </w:rPr>
              <w:t xml:space="preserve">Cadre légal visé : agrément Ministère de l'Éducation nationale (SEA) — partenariat communal ou création ASBL selon la commune retenue.</w:t>
            </w:r>
          </w:p>
          <w:p>
            <w:pPr>
              <w:spacing w:after="60" w:before="0"/>
              <w:jc w:val="left"/>
            </w:pPr>
            <w:r>
              <w:rPr>
                <w:rFonts w:ascii="Arial" w:cs="Arial" w:eastAsia="Arial" w:hAnsi="Arial"/>
                <w:b/>
                <w:bCs/>
                <w:color w:val="000000"/>
                <w:sz w:val="20"/>
                <w:szCs w:val="20"/>
              </w:rPr>
              <w:t xml:space="preserve">Villes cibles pour l'implantation de Passerelle Jeunesse :</w:t>
            </w:r>
          </w:p>
          <w:p>
            <w:pPr>
              <w:pStyle w:val="ListParagraph"/>
              <w:numPr>
                <w:ilvl w:val="0"/>
                <w:numId w:val="2"/>
              </w:numPr>
              <w:spacing w:after="60" w:before="0"/>
            </w:pPr>
            <w:r>
              <w:rPr>
                <w:rFonts w:ascii="Arial" w:cs="Arial" w:eastAsia="Arial" w:hAnsi="Arial"/>
                <w:color w:val="000000"/>
                <w:sz w:val="20"/>
                <w:szCs w:val="20"/>
              </w:rPr>
              <w:t xml:space="preserve">Esch-sur-Alzette : 2e ville du pays, jeune population, forte densité familiale, pôle universitaire Belval à proximité, loyers plus accessibles qu'en capitale. Idéal pour une première structure SEA.</w:t>
            </w:r>
          </w:p>
          <w:p>
            <w:pPr>
              <w:pStyle w:val="ListParagraph"/>
              <w:numPr>
                <w:ilvl w:val="0"/>
                <w:numId w:val="2"/>
              </w:numPr>
              <w:spacing w:after="60" w:before="0"/>
            </w:pPr>
            <w:r>
              <w:rPr>
                <w:rFonts w:ascii="Arial" w:cs="Arial" w:eastAsia="Arial" w:hAnsi="Arial"/>
                <w:color w:val="000000"/>
                <w:sz w:val="20"/>
                <w:szCs w:val="20"/>
              </w:rPr>
              <w:t xml:space="preserve">Differdange : ville en pleine transformation, population multiculturelle, besoin fort en offre périscolaire enrichie, communes proactives sur les projets éducatifs.</w:t>
            </w:r>
          </w:p>
          <w:p>
            <w:pPr>
              <w:pStyle w:val="ListParagraph"/>
              <w:numPr>
                <w:ilvl w:val="0"/>
                <w:numId w:val="2"/>
              </w:numPr>
              <w:spacing w:after="60" w:before="0"/>
            </w:pPr>
            <w:r>
              <w:rPr>
                <w:rFonts w:ascii="Arial" w:cs="Arial" w:eastAsia="Arial" w:hAnsi="Arial"/>
                <w:color w:val="000000"/>
                <w:sz w:val="20"/>
                <w:szCs w:val="20"/>
              </w:rPr>
              <w:t xml:space="preserve">Dudelange : 3e ville du pays, communauté familiale active, proximité frontière française (10 min de Volmerange), bon équilibre accessibilité / densité.</w:t>
            </w:r>
          </w:p>
        </w:tc>
      </w:tr>
    </w:tbl>
    <w:p>
      <w:pPr>
        <w:spacing w:after="200"/>
      </w:pPr>
    </w:p>
    <w:p>
      <w:pPr>
        <w:pBdr>
          <w:bottom w:val="single" w:color="2D6FAF" w:sz="8"/>
        </w:pBdr>
        <w:spacing w:after="100" w:before="200"/>
      </w:pPr>
      <w:r>
        <w:rPr>
          <w:rFonts w:ascii="Arial" w:cs="Arial" w:eastAsia="Arial" w:hAnsi="Arial"/>
          <w:b/>
          <w:bCs/>
          <w:color w:val="1B3A6B"/>
          <w:sz w:val="24"/>
          <w:szCs w:val="24"/>
        </w:rPr>
        <w:t xml:space="preserve">Disciplines proposées — Pôle Ateliers 360 Éducation</w:t>
      </w:r>
    </w:p>
    <w:p>
      <w:pPr>
        <w:spacing w:after="10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3368"/>
        <w:gridCol w:w="3369"/>
        <w:gridCol w:w="3369"/>
      </w:tblGrid>
      <w:tr>
        <w:tc>
          <w:tcPr>
            <w:tcW w:type="dxa" w:w="3368"/>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40" w:before="0"/>
              <w:jc w:val="left"/>
            </w:pPr>
            <w:r>
              <w:rPr>
                <w:rFonts w:ascii="Arial" w:cs="Arial" w:eastAsia="Arial" w:hAnsi="Arial"/>
                <w:b/>
                <w:bCs/>
                <w:color w:val="1B3A6B"/>
                <w:sz w:val="20"/>
                <w:szCs w:val="20"/>
              </w:rPr>
              <w:t xml:space="preserve">Robotique &amp; électronique</w:t>
            </w:r>
          </w:p>
          <w:p>
            <w:pPr>
              <w:spacing w:after="80" w:before="0"/>
              <w:jc w:val="left"/>
            </w:pPr>
            <w:r>
              <w:rPr>
                <w:rFonts w:ascii="Arial" w:cs="Arial" w:eastAsia="Arial" w:hAnsi="Arial"/>
                <w:i/>
                <w:iCs/>
                <w:color w:val="555555"/>
                <w:sz w:val="18"/>
                <w:szCs w:val="18"/>
              </w:rPr>
              <w:t xml:space="preserve">Programmation de robots, circuits simples, initiation à l'électronique</w:t>
            </w:r>
          </w:p>
        </w:tc>
        <w:tc>
          <w:tcPr>
            <w:tcW w:type="dxa" w:w="3369"/>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40" w:before="0"/>
              <w:jc w:val="left"/>
            </w:pPr>
            <w:r>
              <w:rPr>
                <w:rFonts w:ascii="Arial" w:cs="Arial" w:eastAsia="Arial" w:hAnsi="Arial"/>
                <w:b/>
                <w:bCs/>
                <w:color w:val="1B3A6B"/>
                <w:sz w:val="20"/>
                <w:szCs w:val="20"/>
              </w:rPr>
              <w:t xml:space="preserve">Code &amp; développement</w:t>
            </w:r>
          </w:p>
          <w:p>
            <w:pPr>
              <w:spacing w:after="80" w:before="0"/>
              <w:jc w:val="left"/>
            </w:pPr>
            <w:r>
              <w:rPr>
                <w:rFonts w:ascii="Arial" w:cs="Arial" w:eastAsia="Arial" w:hAnsi="Arial"/>
                <w:i/>
                <w:iCs/>
                <w:color w:val="555555"/>
                <w:sz w:val="18"/>
                <w:szCs w:val="18"/>
              </w:rPr>
              <w:t xml:space="preserve">Scratch, Python, création de jeux vidéo, logique algorithmique</w:t>
            </w:r>
          </w:p>
        </w:tc>
        <w:tc>
          <w:tcPr>
            <w:tcW w:type="dxa" w:w="3369"/>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40" w:before="0"/>
              <w:jc w:val="left"/>
            </w:pPr>
            <w:r>
              <w:rPr>
                <w:rFonts w:ascii="Arial" w:cs="Arial" w:eastAsia="Arial" w:hAnsi="Arial"/>
                <w:b/>
                <w:bCs/>
                <w:color w:val="1B3A6B"/>
                <w:sz w:val="20"/>
                <w:szCs w:val="20"/>
              </w:rPr>
              <w:t xml:space="preserve">Intelligence artificielle</w:t>
            </w:r>
          </w:p>
          <w:p>
            <w:pPr>
              <w:spacing w:after="80" w:before="0"/>
              <w:jc w:val="left"/>
            </w:pPr>
            <w:r>
              <w:rPr>
                <w:rFonts w:ascii="Arial" w:cs="Arial" w:eastAsia="Arial" w:hAnsi="Arial"/>
                <w:i/>
                <w:iCs/>
                <w:color w:val="555555"/>
                <w:sz w:val="18"/>
                <w:szCs w:val="18"/>
              </w:rPr>
              <w:t xml:space="preserve">Machine learning simplifié, éthique de l'IA, applications concrètes</w:t>
            </w:r>
          </w:p>
        </w:tc>
      </w:tr>
      <w:tr>
        <w:tc>
          <w:tcPr>
            <w:tcW w:type="dxa" w:w="336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40" w:before="0"/>
              <w:jc w:val="left"/>
            </w:pPr>
            <w:r>
              <w:rPr>
                <w:rFonts w:ascii="Arial" w:cs="Arial" w:eastAsia="Arial" w:hAnsi="Arial"/>
                <w:b/>
                <w:bCs/>
                <w:color w:val="1B3A6B"/>
                <w:sz w:val="20"/>
                <w:szCs w:val="20"/>
              </w:rPr>
              <w:t xml:space="preserve">Chimie ludique</w:t>
            </w:r>
          </w:p>
          <w:p>
            <w:pPr>
              <w:spacing w:after="80" w:before="0"/>
              <w:jc w:val="left"/>
            </w:pPr>
            <w:r>
              <w:rPr>
                <w:rFonts w:ascii="Arial" w:cs="Arial" w:eastAsia="Arial" w:hAnsi="Arial"/>
                <w:i/>
                <w:iCs/>
                <w:color w:val="555555"/>
                <w:sz w:val="18"/>
                <w:szCs w:val="18"/>
              </w:rPr>
              <w:t xml:space="preserve">Expériences sécurisées, réactions chimiques, enquête scientifique</w:t>
            </w:r>
          </w:p>
        </w:tc>
        <w:tc>
          <w:tcPr>
            <w:tcW w:type="dxa" w:w="3369"/>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40" w:before="0"/>
              <w:jc w:val="left"/>
            </w:pPr>
            <w:r>
              <w:rPr>
                <w:rFonts w:ascii="Arial" w:cs="Arial" w:eastAsia="Arial" w:hAnsi="Arial"/>
                <w:b/>
                <w:bCs/>
                <w:color w:val="1B3A6B"/>
                <w:sz w:val="20"/>
                <w:szCs w:val="20"/>
              </w:rPr>
              <w:t xml:space="preserve">Physique &amp; astronomie</w:t>
            </w:r>
          </w:p>
          <w:p>
            <w:pPr>
              <w:spacing w:after="80" w:before="0"/>
              <w:jc w:val="left"/>
            </w:pPr>
            <w:r>
              <w:rPr>
                <w:rFonts w:ascii="Arial" w:cs="Arial" w:eastAsia="Arial" w:hAnsi="Arial"/>
                <w:i/>
                <w:iCs/>
                <w:color w:val="555555"/>
                <w:sz w:val="18"/>
                <w:szCs w:val="18"/>
              </w:rPr>
              <w:t xml:space="preserve">Fusées, système solaire, expériences physique, optique</w:t>
            </w:r>
          </w:p>
        </w:tc>
        <w:tc>
          <w:tcPr>
            <w:tcW w:type="dxa" w:w="3369"/>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40" w:before="0"/>
              <w:jc w:val="left"/>
            </w:pPr>
            <w:r>
              <w:rPr>
                <w:rFonts w:ascii="Arial" w:cs="Arial" w:eastAsia="Arial" w:hAnsi="Arial"/>
                <w:b/>
                <w:bCs/>
                <w:color w:val="1B3A6B"/>
                <w:sz w:val="20"/>
                <w:szCs w:val="20"/>
              </w:rPr>
              <w:t xml:space="preserve">FabLab &amp; impression 3D</w:t>
            </w:r>
          </w:p>
          <w:p>
            <w:pPr>
              <w:spacing w:after="80" w:before="0"/>
              <w:jc w:val="left"/>
            </w:pPr>
            <w:r>
              <w:rPr>
                <w:rFonts w:ascii="Arial" w:cs="Arial" w:eastAsia="Arial" w:hAnsi="Arial"/>
                <w:i/>
                <w:iCs/>
                <w:color w:val="555555"/>
                <w:sz w:val="18"/>
                <w:szCs w:val="18"/>
              </w:rPr>
              <w:t xml:space="preserve">Conception 3D, fabrication numérique, introduction aux makers</w:t>
            </w:r>
          </w:p>
        </w:tc>
      </w:tr>
      <w:tr>
        <w:tc>
          <w:tcPr>
            <w:tcW w:type="dxa" w:w="3368"/>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40" w:before="0"/>
              <w:jc w:val="left"/>
            </w:pPr>
            <w:r>
              <w:rPr>
                <w:rFonts w:ascii="Arial" w:cs="Arial" w:eastAsia="Arial" w:hAnsi="Arial"/>
                <w:b/>
                <w:bCs/>
                <w:color w:val="1B3A6B"/>
                <w:sz w:val="20"/>
                <w:szCs w:val="20"/>
              </w:rPr>
              <w:t xml:space="preserve">Écologie &amp; environnement</w:t>
            </w:r>
          </w:p>
          <w:p>
            <w:pPr>
              <w:spacing w:after="80" w:before="0"/>
              <w:jc w:val="left"/>
            </w:pPr>
            <w:r>
              <w:rPr>
                <w:rFonts w:ascii="Arial" w:cs="Arial" w:eastAsia="Arial" w:hAnsi="Arial"/>
                <w:i/>
                <w:iCs/>
                <w:color w:val="555555"/>
                <w:sz w:val="18"/>
                <w:szCs w:val="18"/>
              </w:rPr>
              <w:t xml:space="preserve">Biodiversité, microhabitats, numérique responsable</w:t>
            </w:r>
          </w:p>
        </w:tc>
        <w:tc>
          <w:tcPr>
            <w:tcW w:type="dxa" w:w="3369"/>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40" w:before="0"/>
              <w:jc w:val="left"/>
            </w:pPr>
            <w:r>
              <w:rPr>
                <w:rFonts w:ascii="Arial" w:cs="Arial" w:eastAsia="Arial" w:hAnsi="Arial"/>
                <w:b/>
                <w:bCs/>
                <w:color w:val="1B3A6B"/>
                <w:sz w:val="20"/>
                <w:szCs w:val="20"/>
              </w:rPr>
              <w:t xml:space="preserve">Cybersécurité</w:t>
            </w:r>
          </w:p>
          <w:p>
            <w:pPr>
              <w:spacing w:after="80" w:before="0"/>
              <w:jc w:val="left"/>
            </w:pPr>
            <w:r>
              <w:rPr>
                <w:rFonts w:ascii="Arial" w:cs="Arial" w:eastAsia="Arial" w:hAnsi="Arial"/>
                <w:i/>
                <w:iCs/>
                <w:color w:val="555555"/>
                <w:sz w:val="18"/>
                <w:szCs w:val="18"/>
              </w:rPr>
              <w:t xml:space="preserve">Bonnes pratiques, vie privée, premiers réflexes numériques</w:t>
            </w:r>
          </w:p>
        </w:tc>
        <w:tc>
          <w:tcPr>
            <w:tcW w:type="dxa" w:w="3369"/>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40" w:before="0"/>
              <w:jc w:val="left"/>
            </w:pPr>
            <w:r>
              <w:rPr>
                <w:rFonts w:ascii="Arial" w:cs="Arial" w:eastAsia="Arial" w:hAnsi="Arial"/>
                <w:b/>
                <w:bCs/>
                <w:color w:val="1B3A6B"/>
                <w:sz w:val="20"/>
                <w:szCs w:val="20"/>
              </w:rPr>
              <w:t xml:space="preserve">Escape game scientifique</w:t>
            </w:r>
          </w:p>
          <w:p>
            <w:pPr>
              <w:spacing w:after="80" w:before="0"/>
              <w:jc w:val="left"/>
            </w:pPr>
            <w:r>
              <w:rPr>
                <w:rFonts w:ascii="Arial" w:cs="Arial" w:eastAsia="Arial" w:hAnsi="Arial"/>
                <w:i/>
                <w:iCs/>
                <w:color w:val="555555"/>
                <w:sz w:val="18"/>
                <w:szCs w:val="18"/>
              </w:rPr>
              <w:t xml:space="preserve">Format immersif mêlant logique, physique et mathématiques</w:t>
            </w:r>
          </w:p>
        </w:tc>
      </w:tr>
    </w:tbl>
    <w:p>
      <w:pPr>
        <w:spacing w:after="12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3368"/>
        <w:gridCol w:w="3369"/>
        <w:gridCol w:w="3369"/>
      </w:tblGrid>
      <w:tr>
        <w:tc>
          <w:tcPr>
            <w:tcW w:type="dxa" w:w="3368"/>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vAlign w:val="top"/>
          </w:tcPr>
          <w:p>
            <w:pPr>
              <w:spacing w:after="20" w:before="0"/>
              <w:jc w:val="center"/>
            </w:pPr>
            <w:r>
              <w:rPr>
                <w:rFonts w:ascii="Arial" w:cs="Arial" w:eastAsia="Arial" w:hAnsi="Arial"/>
                <w:b/>
                <w:bCs/>
                <w:color w:val="FFFFFF"/>
                <w:sz w:val="20"/>
                <w:szCs w:val="20"/>
              </w:rPr>
              <w:t xml:space="preserve">Atelier ponctuel</w:t>
            </w:r>
          </w:p>
          <w:p>
            <w:pPr>
              <w:spacing w:after="80" w:before="0"/>
              <w:jc w:val="center"/>
            </w:pPr>
            <w:r>
              <w:rPr>
                <w:rFonts w:ascii="Arial" w:cs="Arial" w:eastAsia="Arial" w:hAnsi="Arial"/>
                <w:color w:val="FFFFFF"/>
                <w:sz w:val="18"/>
                <w:szCs w:val="18"/>
              </w:rPr>
              <w:t xml:space="preserve">1h30 à 2h</w:t>
            </w:r>
          </w:p>
        </w:tc>
        <w:tc>
          <w:tcPr>
            <w:tcW w:type="dxa" w:w="3369"/>
            <w:tcBorders>
              <w:top w:val="none" w:color="FFFFFF" w:sz="0"/>
              <w:left w:val="none" w:color="FFFFFF" w:sz="0"/>
              <w:bottom w:val="none" w:color="FFFFFF" w:sz="0"/>
              <w:right w:val="none" w:color="FFFFFF" w:sz="0"/>
            </w:tcBorders>
            <w:shd w:fill="2D6FAF" w:val="clear"/>
            <w:tcMar>
              <w:top w:type="dxa" w:w="100"/>
              <w:left w:type="dxa" w:w="140"/>
              <w:bottom w:type="dxa" w:w="100"/>
              <w:right w:type="dxa" w:w="140"/>
            </w:tcMar>
            <w:vAlign w:val="top"/>
          </w:tcPr>
          <w:p>
            <w:pPr>
              <w:spacing w:after="20" w:before="0"/>
              <w:jc w:val="center"/>
            </w:pPr>
            <w:r>
              <w:rPr>
                <w:rFonts w:ascii="Arial" w:cs="Arial" w:eastAsia="Arial" w:hAnsi="Arial"/>
                <w:b/>
                <w:bCs/>
                <w:color w:val="FFFFFF"/>
                <w:sz w:val="20"/>
                <w:szCs w:val="20"/>
              </w:rPr>
              <w:t xml:space="preserve">Module (3 à 6 séances)</w:t>
            </w:r>
          </w:p>
          <w:p>
            <w:pPr>
              <w:spacing w:after="80" w:before="0"/>
              <w:jc w:val="center"/>
            </w:pPr>
            <w:r>
              <w:rPr>
                <w:rFonts w:ascii="Arial" w:cs="Arial" w:eastAsia="Arial" w:hAnsi="Arial"/>
                <w:color w:val="FFFFFF"/>
                <w:sz w:val="18"/>
                <w:szCs w:val="18"/>
              </w:rPr>
              <w:t xml:space="preserve">sur plusieurs semaines</w:t>
            </w:r>
          </w:p>
        </w:tc>
        <w:tc>
          <w:tcPr>
            <w:tcW w:type="dxa" w:w="3369"/>
            <w:tcBorders>
              <w:top w:val="none" w:color="FFFFFF" w:sz="0"/>
              <w:left w:val="none" w:color="FFFFFF" w:sz="0"/>
              <w:bottom w:val="none" w:color="FFFFFF" w:sz="0"/>
              <w:right w:val="none" w:color="FFFFFF" w:sz="0"/>
            </w:tcBorders>
            <w:shd w:fill="E8813A" w:val="clear"/>
            <w:tcMar>
              <w:top w:type="dxa" w:w="100"/>
              <w:left w:type="dxa" w:w="140"/>
              <w:bottom w:type="dxa" w:w="100"/>
              <w:right w:type="dxa" w:w="140"/>
            </w:tcMar>
            <w:vAlign w:val="top"/>
          </w:tcPr>
          <w:p>
            <w:pPr>
              <w:spacing w:after="20" w:before="0"/>
              <w:jc w:val="center"/>
            </w:pPr>
            <w:r>
              <w:rPr>
                <w:rFonts w:ascii="Arial" w:cs="Arial" w:eastAsia="Arial" w:hAnsi="Arial"/>
                <w:b/>
                <w:bCs/>
                <w:color w:val="FFFFFF"/>
                <w:sz w:val="20"/>
                <w:szCs w:val="20"/>
              </w:rPr>
              <w:t xml:space="preserve">Pack annuel</w:t>
            </w:r>
          </w:p>
          <w:p>
            <w:pPr>
              <w:spacing w:after="80" w:before="0"/>
              <w:jc w:val="center"/>
            </w:pPr>
            <w:r>
              <w:rPr>
                <w:rFonts w:ascii="Arial" w:cs="Arial" w:eastAsia="Arial" w:hAnsi="Arial"/>
                <w:color w:val="FFFFFF"/>
                <w:sz w:val="18"/>
                <w:szCs w:val="18"/>
              </w:rPr>
              <w:t xml:space="preserve">20 à 30 heures</w:t>
            </w:r>
          </w:p>
        </w:tc>
      </w:tr>
      <w:tr>
        <w:tc>
          <w:tcPr>
            <w:tcW w:type="dxa" w:w="336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0"/>
              <w:jc w:val="center"/>
            </w:pPr>
            <w:r>
              <w:rPr>
                <w:rFonts w:ascii="Arial" w:cs="Arial" w:eastAsia="Arial" w:hAnsi="Arial"/>
                <w:color w:val="555555"/>
                <w:sz w:val="18"/>
                <w:szCs w:val="18"/>
              </w:rPr>
              <w:t xml:space="preserve">Idéal pour une journée thématique ou un événement</w:t>
            </w:r>
          </w:p>
        </w:tc>
        <w:tc>
          <w:tcPr>
            <w:tcW w:type="dxa" w:w="3369"/>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0"/>
              <w:jc w:val="center"/>
            </w:pPr>
            <w:r>
              <w:rPr>
                <w:rFonts w:ascii="Arial" w:cs="Arial" w:eastAsia="Arial" w:hAnsi="Arial"/>
                <w:color w:val="555555"/>
                <w:sz w:val="18"/>
                <w:szCs w:val="18"/>
              </w:rPr>
              <w:t xml:space="preserve">Intégré dans une séquence pédagogique ou projet de classe</w:t>
            </w:r>
          </w:p>
        </w:tc>
        <w:tc>
          <w:tcPr>
            <w:tcW w:type="dxa" w:w="3369"/>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0"/>
              <w:jc w:val="center"/>
            </w:pPr>
            <w:r>
              <w:rPr>
                <w:rFonts w:ascii="Arial" w:cs="Arial" w:eastAsia="Arial" w:hAnsi="Arial"/>
                <w:color w:val="555555"/>
                <w:sz w:val="18"/>
                <w:szCs w:val="18"/>
              </w:rPr>
              <w:t xml:space="preserve">Projet annuel, semaine intensive ou suivi sur l'année scolaire</w:t>
            </w:r>
          </w:p>
        </w:tc>
      </w:tr>
      <w:tr>
        <w:tc>
          <w:tcPr>
            <w:tcW w:type="dxa" w:w="3368"/>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80" w:before="0"/>
              <w:jc w:val="center"/>
            </w:pPr>
            <w:r>
              <w:rPr>
                <w:rFonts w:ascii="Arial" w:cs="Arial" w:eastAsia="Arial" w:hAnsi="Arial"/>
                <w:b/>
                <w:bCs/>
                <w:color w:val="1B3A6B"/>
                <w:sz w:val="20"/>
                <w:szCs w:val="20"/>
              </w:rPr>
              <w:t xml:space="preserve">180 à 450 € HT</w:t>
            </w:r>
          </w:p>
        </w:tc>
        <w:tc>
          <w:tcPr>
            <w:tcW w:type="dxa" w:w="3369"/>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80" w:before="0"/>
              <w:jc w:val="center"/>
            </w:pPr>
            <w:r>
              <w:rPr>
                <w:rFonts w:ascii="Arial" w:cs="Arial" w:eastAsia="Arial" w:hAnsi="Arial"/>
                <w:b/>
                <w:bCs/>
                <w:color w:val="1B3A6B"/>
                <w:sz w:val="20"/>
                <w:szCs w:val="20"/>
              </w:rPr>
              <w:t xml:space="preserve">620 à 2 200 € HT</w:t>
            </w:r>
          </w:p>
        </w:tc>
        <w:tc>
          <w:tcPr>
            <w:tcW w:type="dxa" w:w="3369"/>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80" w:before="0"/>
              <w:jc w:val="center"/>
            </w:pPr>
            <w:r>
              <w:rPr>
                <w:rFonts w:ascii="Arial" w:cs="Arial" w:eastAsia="Arial" w:hAnsi="Arial"/>
                <w:b/>
                <w:bCs/>
                <w:color w:val="1B3A6B"/>
                <w:sz w:val="20"/>
                <w:szCs w:val="20"/>
              </w:rPr>
              <w:t xml:space="preserve">3 200 à 3 800 € HT</w:t>
            </w:r>
          </w:p>
        </w:tc>
      </w:tr>
    </w:tbl>
    <w:p>
      <w:pPr>
        <w:spacing w:after="200"/>
      </w:pPr>
    </w:p>
    <w:p>
      <w:pPr>
        <w:pBdr>
          <w:bottom w:val="single" w:color="2D6FAF" w:sz="8"/>
        </w:pBdr>
        <w:spacing w:after="100" w:before="200"/>
      </w:pPr>
      <w:r>
        <w:rPr>
          <w:rFonts w:ascii="Arial" w:cs="Arial" w:eastAsia="Arial" w:hAnsi="Arial"/>
          <w:b/>
          <w:bCs/>
          <w:color w:val="1B3A6B"/>
          <w:sz w:val="24"/>
          <w:szCs w:val="24"/>
        </w:rPr>
        <w:t xml:space="preserve">3. Clientèle et marché</w:t>
      </w:r>
    </w:p>
    <w:p>
      <w:pPr>
        <w:spacing w:after="10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4800"/>
        <w:gridCol w:w="5306"/>
      </w:tblGrid>
      <w:tr>
        <w:tc>
          <w:tcPr>
            <w:tcW w:type="dxa" w:w="48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80" w:before="0"/>
              <w:jc w:val="left"/>
            </w:pPr>
            <w:r>
              <w:rPr>
                <w:rFonts w:ascii="Arial" w:cs="Arial" w:eastAsia="Arial" w:hAnsi="Arial"/>
                <w:b/>
                <w:bCs/>
                <w:color w:val="2D6FAF"/>
                <w:sz w:val="20"/>
                <w:szCs w:val="20"/>
              </w:rPr>
              <w:t xml:space="preserve">Clients cibles</w:t>
            </w:r>
          </w:p>
          <w:p>
            <w:pPr>
              <w:pStyle w:val="ListParagraph"/>
              <w:numPr>
                <w:ilvl w:val="0"/>
                <w:numId w:val="2"/>
              </w:numPr>
              <w:spacing w:after="60" w:before="0"/>
            </w:pPr>
            <w:r>
              <w:rPr>
                <w:rFonts w:ascii="Arial" w:cs="Arial" w:eastAsia="Arial" w:hAnsi="Arial"/>
                <w:color w:val="000000"/>
                <w:sz w:val="20"/>
                <w:szCs w:val="20"/>
              </w:rPr>
              <w:t xml:space="preserve">Écoles fondamentales (cycles 1 à 4) :</w:t>
            </w:r>
          </w:p>
          <w:p>
            <w:pPr>
              <w:pStyle w:val="ListParagraph"/>
              <w:numPr>
                <w:ilvl w:val="0"/>
                <w:numId w:val="2"/>
              </w:numPr>
              <w:spacing w:after="60" w:before="0"/>
            </w:pPr>
            <w:r>
              <w:rPr>
                <w:rFonts w:ascii="Arial" w:cs="Arial" w:eastAsia="Arial" w:hAnsi="Arial"/>
                <w:color w:val="000000"/>
                <w:sz w:val="20"/>
                <w:szCs w:val="20"/>
              </w:rPr>
              <w:t xml:space="preserve">ateliers CE2 à CM2 adaptés aux programmes LU</w:t>
            </w:r>
          </w:p>
          <w:p>
            <w:pPr>
              <w:pStyle w:val="ListParagraph"/>
              <w:numPr>
                <w:ilvl w:val="0"/>
                <w:numId w:val="2"/>
              </w:numPr>
              <w:spacing w:after="60" w:before="0"/>
            </w:pPr>
            <w:r>
              <w:rPr>
                <w:rFonts w:ascii="Arial" w:cs="Arial" w:eastAsia="Arial" w:hAnsi="Arial"/>
                <w:color w:val="000000"/>
                <w:sz w:val="20"/>
                <w:szCs w:val="20"/>
              </w:rPr>
              <w:t xml:space="preserve">Lycées et lycées techniques : projets pédagogiques, semaines thématiques, options STEM</w:t>
            </w:r>
          </w:p>
          <w:p>
            <w:pPr>
              <w:pStyle w:val="ListParagraph"/>
              <w:numPr>
                <w:ilvl w:val="0"/>
                <w:numId w:val="2"/>
              </w:numPr>
              <w:spacing w:after="60" w:before="0"/>
            </w:pPr>
            <w:r>
              <w:rPr>
                <w:rFonts w:ascii="Arial" w:cs="Arial" w:eastAsia="Arial" w:hAnsi="Arial"/>
                <w:color w:val="000000"/>
                <w:sz w:val="20"/>
                <w:szCs w:val="20"/>
              </w:rPr>
              <w:t xml:space="preserve">Maisons relais : animations périscolaires, mercredis et vacances</w:t>
            </w:r>
          </w:p>
          <w:p>
            <w:pPr>
              <w:pStyle w:val="ListParagraph"/>
              <w:numPr>
                <w:ilvl w:val="0"/>
                <w:numId w:val="2"/>
              </w:numPr>
              <w:spacing w:after="60" w:before="0"/>
            </w:pPr>
            <w:r>
              <w:rPr>
                <w:rFonts w:ascii="Arial" w:cs="Arial" w:eastAsia="Arial" w:hAnsi="Arial"/>
                <w:color w:val="000000"/>
                <w:sz w:val="20"/>
                <w:szCs w:val="20"/>
              </w:rPr>
              <w:t xml:space="preserve">ASBL et associations socioculturelles : publics variés</w:t>
            </w:r>
          </w:p>
          <w:p>
            <w:pPr>
              <w:pStyle w:val="ListParagraph"/>
              <w:numPr>
                <w:ilvl w:val="0"/>
                <w:numId w:val="2"/>
              </w:numPr>
              <w:spacing w:after="60" w:before="0"/>
            </w:pPr>
            <w:r>
              <w:rPr>
                <w:rFonts w:ascii="Arial" w:cs="Arial" w:eastAsia="Arial" w:hAnsi="Arial"/>
                <w:color w:val="000000"/>
                <w:sz w:val="20"/>
                <w:szCs w:val="20"/>
              </w:rPr>
              <w:t xml:space="preserve">Communes et administrations communales : animations dans le cadre des projets éducatifs communaux (PEC)</w:t>
            </w:r>
          </w:p>
          <w:p>
            <w:pPr>
              <w:pStyle w:val="ListParagraph"/>
              <w:numPr>
                <w:ilvl w:val="0"/>
                <w:numId w:val="2"/>
              </w:numPr>
              <w:spacing w:after="60" w:before="0"/>
            </w:pPr>
            <w:r>
              <w:rPr>
                <w:rFonts w:ascii="Arial" w:cs="Arial" w:eastAsia="Arial" w:hAnsi="Arial"/>
                <w:color w:val="000000"/>
                <w:sz w:val="20"/>
                <w:szCs w:val="20"/>
              </w:rPr>
              <w:t xml:space="preserve">Université du Luxembourg / BTS / IUT : ateliers IA, hackathons, formations</w:t>
            </w:r>
          </w:p>
          <w:p>
            <w:pPr>
              <w:pStyle w:val="ListParagraph"/>
              <w:numPr>
                <w:ilvl w:val="0"/>
                <w:numId w:val="2"/>
              </w:numPr>
              <w:spacing w:after="60" w:before="0"/>
            </w:pPr>
            <w:r>
              <w:rPr>
                <w:rFonts w:ascii="Arial" w:cs="Arial" w:eastAsia="Arial" w:hAnsi="Arial"/>
                <w:color w:val="000000"/>
                <w:sz w:val="20"/>
                <w:szCs w:val="20"/>
              </w:rPr>
              <w:t xml:space="preserve">Entreprises : formations internes, team building scientifique et numérique</w:t>
            </w:r>
          </w:p>
        </w:tc>
        <w:tc>
          <w:tcPr>
            <w:tcW w:type="dxa" w:w="53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0"/>
              <w:jc w:val="left"/>
            </w:pPr>
            <w:r>
              <w:rPr>
                <w:rFonts w:ascii="Arial" w:cs="Arial" w:eastAsia="Arial" w:hAnsi="Arial"/>
                <w:b/>
                <w:bCs/>
                <w:color w:val="2D6FAF"/>
                <w:sz w:val="20"/>
                <w:szCs w:val="20"/>
              </w:rPr>
              <w:t xml:space="preserve">Concurrence et différenciation</w:t>
            </w:r>
          </w:p>
          <w:p>
            <w:pPr>
              <w:spacing w:after="120" w:before="0"/>
              <w:jc w:val="left"/>
            </w:pPr>
            <w:r>
              <w:rPr>
                <w:rFonts w:ascii="Arial" w:cs="Arial" w:eastAsia="Arial" w:hAnsi="Arial"/>
                <w:color w:val="000000"/>
                <w:sz w:val="20"/>
                <w:szCs w:val="20"/>
              </w:rPr>
              <w:t xml:space="preserve">Au Luxembourg, l'offre d'ateliers STEM itinérants reste limitée et peu structurée. Les intervenants existants sont essentiellement des associations locales aux catalogues restreints ou des prestataires étrangers peu disponibles. Ateliers 360 se positionne comme un opérateur pluridisciplinaire clé en main de la Grande Région.</w:t>
            </w:r>
          </w:p>
          <w:p>
            <w:pPr>
              <w:spacing w:after="60" w:before="0"/>
              <w:jc w:val="left"/>
            </w:pPr>
            <w:r>
              <w:rPr>
                <w:rFonts w:ascii="Arial" w:cs="Arial" w:eastAsia="Arial" w:hAnsi="Arial"/>
                <w:b/>
                <w:bCs/>
                <w:color w:val="000000"/>
                <w:sz w:val="20"/>
                <w:szCs w:val="20"/>
              </w:rPr>
              <w:t xml:space="preserve">Avantages d'Ateliers 360 :</w:t>
            </w:r>
          </w:p>
          <w:p>
            <w:pPr>
              <w:pStyle w:val="ListParagraph"/>
              <w:numPr>
                <w:ilvl w:val="0"/>
                <w:numId w:val="2"/>
              </w:numPr>
              <w:spacing w:after="60" w:before="0"/>
            </w:pPr>
            <w:r>
              <w:rPr>
                <w:rFonts w:ascii="Arial" w:cs="Arial" w:eastAsia="Arial" w:hAnsi="Arial"/>
                <w:color w:val="000000"/>
                <w:sz w:val="20"/>
                <w:szCs w:val="20"/>
              </w:rPr>
              <w:t xml:space="preserve">Matériel fourni, zéro logistique côté établissement</w:t>
            </w:r>
          </w:p>
          <w:p>
            <w:pPr>
              <w:pStyle w:val="ListParagraph"/>
              <w:numPr>
                <w:ilvl w:val="0"/>
                <w:numId w:val="2"/>
              </w:numPr>
              <w:spacing w:after="60" w:before="0"/>
            </w:pPr>
            <w:r>
              <w:rPr>
                <w:rFonts w:ascii="Arial" w:cs="Arial" w:eastAsia="Arial" w:hAnsi="Arial"/>
                <w:color w:val="000000"/>
                <w:sz w:val="20"/>
                <w:szCs w:val="20"/>
              </w:rPr>
              <w:t xml:space="preserve">15 disciplines dans un seul catalogue, tous niveaux</w:t>
            </w:r>
          </w:p>
          <w:p>
            <w:pPr>
              <w:pStyle w:val="ListParagraph"/>
              <w:numPr>
                <w:ilvl w:val="0"/>
                <w:numId w:val="2"/>
              </w:numPr>
              <w:spacing w:after="60" w:before="0"/>
            </w:pPr>
            <w:r>
              <w:rPr>
                <w:rFonts w:ascii="Arial" w:cs="Arial" w:eastAsia="Arial" w:hAnsi="Arial"/>
                <w:color w:val="000000"/>
                <w:sz w:val="20"/>
                <w:szCs w:val="20"/>
              </w:rPr>
              <w:t xml:space="preserve">Formats flexibles (1 atelier à un pack annuel)</w:t>
            </w:r>
          </w:p>
          <w:p>
            <w:pPr>
              <w:pStyle w:val="ListParagraph"/>
              <w:numPr>
                <w:ilvl w:val="0"/>
                <w:numId w:val="2"/>
              </w:numPr>
              <w:spacing w:after="60" w:before="0"/>
            </w:pPr>
            <w:r>
              <w:rPr>
                <w:rFonts w:ascii="Arial" w:cs="Arial" w:eastAsia="Arial" w:hAnsi="Arial"/>
                <w:color w:val="000000"/>
                <w:sz w:val="20"/>
                <w:szCs w:val="20"/>
              </w:rPr>
              <w:t xml:space="preserve">Interventions en français et en anglais</w:t>
            </w:r>
          </w:p>
          <w:p>
            <w:pPr>
              <w:pStyle w:val="ListParagraph"/>
              <w:numPr>
                <w:ilvl w:val="0"/>
                <w:numId w:val="2"/>
              </w:numPr>
              <w:spacing w:after="60" w:before="0"/>
            </w:pPr>
            <w:r>
              <w:rPr>
                <w:rFonts w:ascii="Arial" w:cs="Arial" w:eastAsia="Arial" w:hAnsi="Arial"/>
                <w:color w:val="000000"/>
                <w:sz w:val="20"/>
                <w:szCs w:val="20"/>
              </w:rPr>
              <w:t xml:space="preserve">Alignement sur le Plan d'études cadre luxembourgeois</w:t>
            </w:r>
          </w:p>
          <w:p>
            <w:pPr>
              <w:pStyle w:val="ListParagraph"/>
              <w:numPr>
                <w:ilvl w:val="0"/>
                <w:numId w:val="2"/>
              </w:numPr>
              <w:spacing w:after="60" w:before="0"/>
            </w:pPr>
            <w:r>
              <w:rPr>
                <w:rFonts w:ascii="Arial" w:cs="Arial" w:eastAsia="Arial" w:hAnsi="Arial"/>
                <w:color w:val="000000"/>
                <w:sz w:val="20"/>
                <w:szCs w:val="20"/>
              </w:rPr>
              <w:t xml:space="preserve">Compte-rendu pédagogique après chaque intervention</w:t>
            </w:r>
          </w:p>
          <w:p>
            <w:pPr>
              <w:pStyle w:val="ListParagraph"/>
              <w:numPr>
                <w:ilvl w:val="0"/>
                <w:numId w:val="2"/>
              </w:numPr>
              <w:spacing w:after="60" w:before="0"/>
            </w:pPr>
            <w:r>
              <w:rPr>
                <w:rFonts w:ascii="Arial" w:cs="Arial" w:eastAsia="Arial" w:hAnsi="Arial"/>
                <w:color w:val="000000"/>
                <w:sz w:val="20"/>
                <w:szCs w:val="20"/>
              </w:rPr>
              <w:t xml:space="preserve">Tarifs accessibles aux structures publiques et ASBL</w:t>
            </w:r>
          </w:p>
        </w:tc>
      </w:tr>
    </w:tbl>
    <w:p>
      <w:pPr>
        <w:spacing w:after="12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3368"/>
        <w:gridCol w:w="3369"/>
        <w:gridCol w:w="3369"/>
      </w:tblGrid>
      <w:tr>
        <w:tc>
          <w:tcPr>
            <w:tcW w:type="dxa" w:w="3368"/>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vAlign w:val="top"/>
          </w:tcPr>
          <w:p>
            <w:pPr>
              <w:spacing w:after="20" w:before="0"/>
              <w:jc w:val="center"/>
            </w:pPr>
            <w:r>
              <w:rPr>
                <w:rFonts w:ascii="Arial" w:cs="Arial" w:eastAsia="Arial" w:hAnsi="Arial"/>
                <w:b/>
                <w:bCs/>
                <w:color w:val="FFFFFF"/>
                <w:sz w:val="20"/>
                <w:szCs w:val="20"/>
              </w:rPr>
              <w:t xml:space="preserve">Priorité 1</w:t>
            </w:r>
          </w:p>
          <w:p>
            <w:pPr>
              <w:spacing w:after="80" w:before="0"/>
              <w:jc w:val="center"/>
            </w:pPr>
            <w:r>
              <w:rPr>
                <w:rFonts w:ascii="Arial" w:cs="Arial" w:eastAsia="Arial" w:hAnsi="Arial"/>
                <w:color w:val="FFFFFF"/>
                <w:sz w:val="18"/>
                <w:szCs w:val="18"/>
              </w:rPr>
              <w:t xml:space="preserve">Luxembourg (tout le territoire)</w:t>
            </w:r>
          </w:p>
        </w:tc>
        <w:tc>
          <w:tcPr>
            <w:tcW w:type="dxa" w:w="3369"/>
            <w:tcBorders>
              <w:top w:val="none" w:color="FFFFFF" w:sz="0"/>
              <w:left w:val="none" w:color="FFFFFF" w:sz="0"/>
              <w:bottom w:val="none" w:color="FFFFFF" w:sz="0"/>
              <w:right w:val="none" w:color="FFFFFF" w:sz="0"/>
            </w:tcBorders>
            <w:shd w:fill="2D6FAF" w:val="clear"/>
            <w:tcMar>
              <w:top w:type="dxa" w:w="100"/>
              <w:left w:type="dxa" w:w="140"/>
              <w:bottom w:type="dxa" w:w="100"/>
              <w:right w:type="dxa" w:w="140"/>
            </w:tcMar>
            <w:vAlign w:val="top"/>
          </w:tcPr>
          <w:p>
            <w:pPr>
              <w:spacing w:after="20" w:before="0"/>
              <w:jc w:val="center"/>
            </w:pPr>
            <w:r>
              <w:rPr>
                <w:rFonts w:ascii="Arial" w:cs="Arial" w:eastAsia="Arial" w:hAnsi="Arial"/>
                <w:b/>
                <w:bCs/>
                <w:color w:val="FFFFFF"/>
                <w:sz w:val="20"/>
                <w:szCs w:val="20"/>
              </w:rPr>
              <w:t xml:space="preserve">Priorité 2</w:t>
            </w:r>
          </w:p>
          <w:p>
            <w:pPr>
              <w:spacing w:after="80" w:before="0"/>
              <w:jc w:val="center"/>
            </w:pPr>
            <w:r>
              <w:rPr>
                <w:rFonts w:ascii="Arial" w:cs="Arial" w:eastAsia="Arial" w:hAnsi="Arial"/>
                <w:color w:val="FFFFFF"/>
                <w:sz w:val="18"/>
                <w:szCs w:val="18"/>
              </w:rPr>
              <w:t xml:space="preserve">Grand Est — Moselle (57) et Meurthe-et-Moselle (54)</w:t>
            </w:r>
          </w:p>
        </w:tc>
        <w:tc>
          <w:tcPr>
            <w:tcW w:type="dxa" w:w="3369"/>
            <w:tcBorders>
              <w:top w:val="none" w:color="FFFFFF" w:sz="0"/>
              <w:left w:val="none" w:color="FFFFFF" w:sz="0"/>
              <w:bottom w:val="none" w:color="FFFFFF" w:sz="0"/>
              <w:right w:val="none" w:color="FFFFFF" w:sz="0"/>
            </w:tcBorders>
            <w:shd w:fill="E8813A" w:val="clear"/>
            <w:tcMar>
              <w:top w:type="dxa" w:w="100"/>
              <w:left w:type="dxa" w:w="140"/>
              <w:bottom w:type="dxa" w:w="100"/>
              <w:right w:type="dxa" w:w="140"/>
            </w:tcMar>
            <w:vAlign w:val="top"/>
          </w:tcPr>
          <w:p>
            <w:pPr>
              <w:spacing w:after="20" w:before="0"/>
              <w:jc w:val="center"/>
            </w:pPr>
            <w:r>
              <w:rPr>
                <w:rFonts w:ascii="Arial" w:cs="Arial" w:eastAsia="Arial" w:hAnsi="Arial"/>
                <w:b/>
                <w:bCs/>
                <w:color w:val="FFFFFF"/>
                <w:sz w:val="20"/>
                <w:szCs w:val="20"/>
              </w:rPr>
              <w:t xml:space="preserve">Extension An 2</w:t>
            </w:r>
          </w:p>
          <w:p>
            <w:pPr>
              <w:spacing w:after="80" w:before="0"/>
              <w:jc w:val="center"/>
            </w:pPr>
            <w:r>
              <w:rPr>
                <w:rFonts w:ascii="Arial" w:cs="Arial" w:eastAsia="Arial" w:hAnsi="Arial"/>
                <w:color w:val="FFFFFF"/>
                <w:sz w:val="18"/>
                <w:szCs w:val="18"/>
              </w:rPr>
              <w:t xml:space="preserve">Wallonie (Belgique)</w:t>
            </w:r>
          </w:p>
        </w:tc>
      </w:tr>
    </w:tbl>
    <w:p>
      <w:pPr>
        <w:spacing w:after="200"/>
      </w:pPr>
    </w:p>
    <w:p>
      <w:pPr>
        <w:pBdr>
          <w:bottom w:val="single" w:color="2D6FAF" w:sz="8"/>
        </w:pBdr>
        <w:spacing w:after="100" w:before="200"/>
      </w:pPr>
      <w:r>
        <w:rPr>
          <w:rFonts w:ascii="Arial" w:cs="Arial" w:eastAsia="Arial" w:hAnsi="Arial"/>
          <w:b/>
          <w:bCs/>
          <w:color w:val="1B3A6B"/>
          <w:sz w:val="24"/>
          <w:szCs w:val="24"/>
        </w:rPr>
        <w:t xml:space="preserve">4. Prévisionnel de chiffre d'affaires — 1ère année</w:t>
      </w:r>
    </w:p>
    <w:p>
      <w:pPr>
        <w:spacing w:after="100"/>
      </w:pPr>
    </w:p>
    <w:p>
      <w:pPr>
        <w:spacing w:after="120" w:before="0"/>
        <w:jc w:val="left"/>
      </w:pPr>
      <w:r>
        <w:rPr>
          <w:rFonts w:ascii="Arial" w:cs="Arial" w:eastAsia="Arial" w:hAnsi="Arial"/>
          <w:color w:val="000000"/>
          <w:sz w:val="20"/>
          <w:szCs w:val="20"/>
        </w:rPr>
        <w:t xml:space="preserve">Le modèle économique repose sur des interventions facturées à la mission, sans frais fixes de local. Démarrage depuis un espace de coworking à Esch-sur-Alzette (Belval). Montée en charge progressive : 3 ateliers/mois au démarrage pour atteindre 8 ateliers/mois en régime de croisière.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526"/>
        <w:gridCol w:w="2526"/>
        <w:gridCol w:w="2527"/>
        <w:gridCol w:w="2527"/>
      </w:tblGrid>
      <w:tr>
        <w:tc>
          <w:tcPr>
            <w:tcW w:type="dxa" w:w="2526"/>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vAlign w:val="top"/>
          </w:tcPr>
          <w:p>
            <w:pPr>
              <w:spacing w:after="80" w:before="0"/>
              <w:jc w:val="center"/>
            </w:pPr>
            <w:r>
              <w:rPr>
                <w:rFonts w:ascii="Arial" w:cs="Arial" w:eastAsia="Arial" w:hAnsi="Arial"/>
                <w:b/>
                <w:bCs/>
                <w:color w:val="FFFFFF"/>
                <w:sz w:val="20"/>
                <w:szCs w:val="20"/>
              </w:rPr>
              <w:t xml:space="preserve">Mois</w:t>
            </w:r>
          </w:p>
        </w:tc>
        <w:tc>
          <w:tcPr>
            <w:tcW w:type="dxa" w:w="2526"/>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vAlign w:val="top"/>
          </w:tcPr>
          <w:p>
            <w:pPr>
              <w:spacing w:after="80" w:before="0"/>
              <w:jc w:val="center"/>
            </w:pPr>
            <w:r>
              <w:rPr>
                <w:rFonts w:ascii="Arial" w:cs="Arial" w:eastAsia="Arial" w:hAnsi="Arial"/>
                <w:b/>
                <w:bCs/>
                <w:color w:val="FFFFFF"/>
                <w:sz w:val="20"/>
                <w:szCs w:val="20"/>
              </w:rPr>
              <w:t xml:space="preserve">Nb ateliers</w:t>
            </w:r>
          </w:p>
        </w:tc>
        <w:tc>
          <w:tcPr>
            <w:tcW w:type="dxa" w:w="2527"/>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vAlign w:val="top"/>
          </w:tcPr>
          <w:p>
            <w:pPr>
              <w:spacing w:after="80" w:before="0"/>
              <w:jc w:val="center"/>
            </w:pPr>
            <w:r>
              <w:rPr>
                <w:rFonts w:ascii="Arial" w:cs="Arial" w:eastAsia="Arial" w:hAnsi="Arial"/>
                <w:b/>
                <w:bCs/>
                <w:color w:val="FFFFFF"/>
                <w:sz w:val="20"/>
                <w:szCs w:val="20"/>
              </w:rPr>
              <w:t xml:space="preserve">Prix moyen HT</w:t>
            </w:r>
          </w:p>
        </w:tc>
        <w:tc>
          <w:tcPr>
            <w:tcW w:type="dxa" w:w="2527"/>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vAlign w:val="top"/>
          </w:tcPr>
          <w:p>
            <w:pPr>
              <w:spacing w:after="80" w:before="0"/>
              <w:jc w:val="center"/>
            </w:pPr>
            <w:r>
              <w:rPr>
                <w:rFonts w:ascii="Arial" w:cs="Arial" w:eastAsia="Arial" w:hAnsi="Arial"/>
                <w:b/>
                <w:bCs/>
                <w:color w:val="FFFFFF"/>
                <w:sz w:val="20"/>
                <w:szCs w:val="20"/>
              </w:rPr>
              <w:t xml:space="preserve">CA mensuel HT</w:t>
            </w:r>
          </w:p>
        </w:tc>
      </w:tr>
      <w:tr>
        <w:tc>
          <w:tcPr>
            <w:tcW w:type="dxa" w:w="2526"/>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80" w:before="0"/>
              <w:jc w:val="center"/>
            </w:pPr>
            <w:r>
              <w:rPr>
                <w:rFonts w:ascii="Arial" w:cs="Arial" w:eastAsia="Arial" w:hAnsi="Arial"/>
                <w:color w:val="000000"/>
                <w:sz w:val="20"/>
                <w:szCs w:val="20"/>
              </w:rPr>
              <w:t xml:space="preserve">M1 - M2</w:t>
            </w:r>
          </w:p>
        </w:tc>
        <w:tc>
          <w:tcPr>
            <w:tcW w:type="dxa" w:w="2526"/>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80" w:before="0"/>
              <w:jc w:val="center"/>
            </w:pPr>
            <w:r>
              <w:rPr>
                <w:rFonts w:ascii="Arial" w:cs="Arial" w:eastAsia="Arial" w:hAnsi="Arial"/>
                <w:color w:val="000000"/>
                <w:sz w:val="20"/>
                <w:szCs w:val="20"/>
              </w:rPr>
              <w:t xml:space="preserve">3</w:t>
            </w:r>
          </w:p>
        </w:tc>
        <w:tc>
          <w:tcPr>
            <w:tcW w:type="dxa" w:w="2527"/>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80" w:before="0"/>
              <w:jc w:val="center"/>
            </w:pPr>
            <w:r>
              <w:rPr>
                <w:rFonts w:ascii="Arial" w:cs="Arial" w:eastAsia="Arial" w:hAnsi="Arial"/>
                <w:color w:val="000000"/>
                <w:sz w:val="20"/>
                <w:szCs w:val="20"/>
              </w:rPr>
              <w:t xml:space="preserve">290 €</w:t>
            </w:r>
          </w:p>
        </w:tc>
        <w:tc>
          <w:tcPr>
            <w:tcW w:type="dxa" w:w="2527"/>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80" w:before="0"/>
              <w:jc w:val="center"/>
            </w:pPr>
            <w:r>
              <w:rPr>
                <w:rFonts w:ascii="Arial" w:cs="Arial" w:eastAsia="Arial" w:hAnsi="Arial"/>
                <w:color w:val="000000"/>
                <w:sz w:val="20"/>
                <w:szCs w:val="20"/>
              </w:rPr>
              <w:t xml:space="preserve">870 €</w:t>
            </w:r>
          </w:p>
        </w:tc>
      </w:tr>
      <w:tr>
        <w:tc>
          <w:tcPr>
            <w:tcW w:type="dxa" w:w="25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0"/>
              <w:jc w:val="center"/>
            </w:pPr>
            <w:r>
              <w:rPr>
                <w:rFonts w:ascii="Arial" w:cs="Arial" w:eastAsia="Arial" w:hAnsi="Arial"/>
                <w:color w:val="000000"/>
                <w:sz w:val="20"/>
                <w:szCs w:val="20"/>
              </w:rPr>
              <w:t xml:space="preserve">M3 - M4</w:t>
            </w:r>
          </w:p>
        </w:tc>
        <w:tc>
          <w:tcPr>
            <w:tcW w:type="dxa" w:w="25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0"/>
              <w:jc w:val="center"/>
            </w:pPr>
            <w:r>
              <w:rPr>
                <w:rFonts w:ascii="Arial" w:cs="Arial" w:eastAsia="Arial" w:hAnsi="Arial"/>
                <w:color w:val="000000"/>
                <w:sz w:val="20"/>
                <w:szCs w:val="20"/>
              </w:rPr>
              <w:t xml:space="preserve">5</w:t>
            </w:r>
          </w:p>
        </w:tc>
        <w:tc>
          <w:tcPr>
            <w:tcW w:type="dxa" w:w="2527"/>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0"/>
              <w:jc w:val="center"/>
            </w:pPr>
            <w:r>
              <w:rPr>
                <w:rFonts w:ascii="Arial" w:cs="Arial" w:eastAsia="Arial" w:hAnsi="Arial"/>
                <w:color w:val="000000"/>
                <w:sz w:val="20"/>
                <w:szCs w:val="20"/>
              </w:rPr>
              <w:t xml:space="preserve">300 €</w:t>
            </w:r>
          </w:p>
        </w:tc>
        <w:tc>
          <w:tcPr>
            <w:tcW w:type="dxa" w:w="2527"/>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0"/>
              <w:jc w:val="center"/>
            </w:pPr>
            <w:r>
              <w:rPr>
                <w:rFonts w:ascii="Arial" w:cs="Arial" w:eastAsia="Arial" w:hAnsi="Arial"/>
                <w:color w:val="000000"/>
                <w:sz w:val="20"/>
                <w:szCs w:val="20"/>
              </w:rPr>
              <w:t xml:space="preserve">1 500 €</w:t>
            </w:r>
          </w:p>
        </w:tc>
      </w:tr>
      <w:tr>
        <w:tc>
          <w:tcPr>
            <w:tcW w:type="dxa" w:w="2526"/>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80" w:before="0"/>
              <w:jc w:val="center"/>
            </w:pPr>
            <w:r>
              <w:rPr>
                <w:rFonts w:ascii="Arial" w:cs="Arial" w:eastAsia="Arial" w:hAnsi="Arial"/>
                <w:color w:val="000000"/>
                <w:sz w:val="20"/>
                <w:szCs w:val="20"/>
              </w:rPr>
              <w:t xml:space="preserve">M5 - M6</w:t>
            </w:r>
          </w:p>
        </w:tc>
        <w:tc>
          <w:tcPr>
            <w:tcW w:type="dxa" w:w="2526"/>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80" w:before="0"/>
              <w:jc w:val="center"/>
            </w:pPr>
            <w:r>
              <w:rPr>
                <w:rFonts w:ascii="Arial" w:cs="Arial" w:eastAsia="Arial" w:hAnsi="Arial"/>
                <w:color w:val="000000"/>
                <w:sz w:val="20"/>
                <w:szCs w:val="20"/>
              </w:rPr>
              <w:t xml:space="preserve">6</w:t>
            </w:r>
          </w:p>
        </w:tc>
        <w:tc>
          <w:tcPr>
            <w:tcW w:type="dxa" w:w="2527"/>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80" w:before="0"/>
              <w:jc w:val="center"/>
            </w:pPr>
            <w:r>
              <w:rPr>
                <w:rFonts w:ascii="Arial" w:cs="Arial" w:eastAsia="Arial" w:hAnsi="Arial"/>
                <w:color w:val="000000"/>
                <w:sz w:val="20"/>
                <w:szCs w:val="20"/>
              </w:rPr>
              <w:t xml:space="preserve">310 €</w:t>
            </w:r>
          </w:p>
        </w:tc>
        <w:tc>
          <w:tcPr>
            <w:tcW w:type="dxa" w:w="2527"/>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80" w:before="0"/>
              <w:jc w:val="center"/>
            </w:pPr>
            <w:r>
              <w:rPr>
                <w:rFonts w:ascii="Arial" w:cs="Arial" w:eastAsia="Arial" w:hAnsi="Arial"/>
                <w:color w:val="000000"/>
                <w:sz w:val="20"/>
                <w:szCs w:val="20"/>
              </w:rPr>
              <w:t xml:space="preserve">1 860 €</w:t>
            </w:r>
          </w:p>
        </w:tc>
      </w:tr>
      <w:tr>
        <w:tc>
          <w:tcPr>
            <w:tcW w:type="dxa" w:w="25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0"/>
              <w:jc w:val="center"/>
            </w:pPr>
            <w:r>
              <w:rPr>
                <w:rFonts w:ascii="Arial" w:cs="Arial" w:eastAsia="Arial" w:hAnsi="Arial"/>
                <w:color w:val="000000"/>
                <w:sz w:val="20"/>
                <w:szCs w:val="20"/>
              </w:rPr>
              <w:t xml:space="preserve">M7 - M9</w:t>
            </w:r>
          </w:p>
        </w:tc>
        <w:tc>
          <w:tcPr>
            <w:tcW w:type="dxa" w:w="25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0"/>
              <w:jc w:val="center"/>
            </w:pPr>
            <w:r>
              <w:rPr>
                <w:rFonts w:ascii="Arial" w:cs="Arial" w:eastAsia="Arial" w:hAnsi="Arial"/>
                <w:color w:val="000000"/>
                <w:sz w:val="20"/>
                <w:szCs w:val="20"/>
              </w:rPr>
              <w:t xml:space="preserve">7</w:t>
            </w:r>
          </w:p>
        </w:tc>
        <w:tc>
          <w:tcPr>
            <w:tcW w:type="dxa" w:w="2527"/>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0"/>
              <w:jc w:val="center"/>
            </w:pPr>
            <w:r>
              <w:rPr>
                <w:rFonts w:ascii="Arial" w:cs="Arial" w:eastAsia="Arial" w:hAnsi="Arial"/>
                <w:color w:val="000000"/>
                <w:sz w:val="20"/>
                <w:szCs w:val="20"/>
              </w:rPr>
              <w:t xml:space="preserve">310 €</w:t>
            </w:r>
          </w:p>
        </w:tc>
        <w:tc>
          <w:tcPr>
            <w:tcW w:type="dxa" w:w="2527"/>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0"/>
              <w:jc w:val="center"/>
            </w:pPr>
            <w:r>
              <w:rPr>
                <w:rFonts w:ascii="Arial" w:cs="Arial" w:eastAsia="Arial" w:hAnsi="Arial"/>
                <w:color w:val="000000"/>
                <w:sz w:val="20"/>
                <w:szCs w:val="20"/>
              </w:rPr>
              <w:t xml:space="preserve">2 170 €</w:t>
            </w:r>
          </w:p>
        </w:tc>
      </w:tr>
      <w:tr>
        <w:tc>
          <w:tcPr>
            <w:tcW w:type="dxa" w:w="2526"/>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80" w:before="0"/>
              <w:jc w:val="center"/>
            </w:pPr>
            <w:r>
              <w:rPr>
                <w:rFonts w:ascii="Arial" w:cs="Arial" w:eastAsia="Arial" w:hAnsi="Arial"/>
                <w:color w:val="000000"/>
                <w:sz w:val="20"/>
                <w:szCs w:val="20"/>
              </w:rPr>
              <w:t xml:space="preserve">M10 - M12</w:t>
            </w:r>
          </w:p>
        </w:tc>
        <w:tc>
          <w:tcPr>
            <w:tcW w:type="dxa" w:w="2526"/>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80" w:before="0"/>
              <w:jc w:val="center"/>
            </w:pPr>
            <w:r>
              <w:rPr>
                <w:rFonts w:ascii="Arial" w:cs="Arial" w:eastAsia="Arial" w:hAnsi="Arial"/>
                <w:color w:val="000000"/>
                <w:sz w:val="20"/>
                <w:szCs w:val="20"/>
              </w:rPr>
              <w:t xml:space="preserve">8</w:t>
            </w:r>
          </w:p>
        </w:tc>
        <w:tc>
          <w:tcPr>
            <w:tcW w:type="dxa" w:w="2527"/>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80" w:before="0"/>
              <w:jc w:val="center"/>
            </w:pPr>
            <w:r>
              <w:rPr>
                <w:rFonts w:ascii="Arial" w:cs="Arial" w:eastAsia="Arial" w:hAnsi="Arial"/>
                <w:color w:val="000000"/>
                <w:sz w:val="20"/>
                <w:szCs w:val="20"/>
              </w:rPr>
              <w:t xml:space="preserve">320 €</w:t>
            </w:r>
          </w:p>
        </w:tc>
        <w:tc>
          <w:tcPr>
            <w:tcW w:type="dxa" w:w="2527"/>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80" w:before="0"/>
              <w:jc w:val="center"/>
            </w:pPr>
            <w:r>
              <w:rPr>
                <w:rFonts w:ascii="Arial" w:cs="Arial" w:eastAsia="Arial" w:hAnsi="Arial"/>
                <w:color w:val="000000"/>
                <w:sz w:val="20"/>
                <w:szCs w:val="20"/>
              </w:rPr>
              <w:t xml:space="preserve">2 560 €</w:t>
            </w:r>
          </w:p>
        </w:tc>
      </w:tr>
      <w:tr>
        <w:tc>
          <w:tcPr>
            <w:tcW w:type="dxa" w:w="2526"/>
            <w:tcBorders>
              <w:top w:val="none" w:color="FFFFFF" w:sz="0"/>
              <w:left w:val="none" w:color="FFFFFF" w:sz="0"/>
              <w:bottom w:val="none" w:color="FFFFFF" w:sz="0"/>
              <w:right w:val="none" w:color="FFFFFF" w:sz="0"/>
            </w:tcBorders>
            <w:shd w:fill="2D6FAF" w:val="clear"/>
            <w:tcMar>
              <w:top w:type="dxa" w:w="100"/>
              <w:left w:type="dxa" w:w="140"/>
              <w:bottom w:type="dxa" w:w="100"/>
              <w:right w:type="dxa" w:w="140"/>
            </w:tcMar>
            <w:vAlign w:val="top"/>
          </w:tcPr>
          <w:p>
            <w:pPr>
              <w:spacing w:after="80" w:before="0"/>
              <w:jc w:val="center"/>
            </w:pPr>
            <w:r>
              <w:rPr>
                <w:rFonts w:ascii="Arial" w:cs="Arial" w:eastAsia="Arial" w:hAnsi="Arial"/>
                <w:b/>
                <w:bCs/>
                <w:color w:val="FFFFFF"/>
                <w:sz w:val="20"/>
                <w:szCs w:val="20"/>
              </w:rPr>
              <w:t xml:space="preserve">TOTAL AN 1</w:t>
            </w:r>
          </w:p>
        </w:tc>
        <w:tc>
          <w:tcPr>
            <w:tcW w:type="dxa" w:w="2526"/>
            <w:tcBorders>
              <w:top w:val="none" w:color="FFFFFF" w:sz="0"/>
              <w:left w:val="none" w:color="FFFFFF" w:sz="0"/>
              <w:bottom w:val="none" w:color="FFFFFF" w:sz="0"/>
              <w:right w:val="none" w:color="FFFFFF" w:sz="0"/>
            </w:tcBorders>
            <w:shd w:fill="2D6FAF" w:val="clear"/>
            <w:tcMar>
              <w:top w:type="dxa" w:w="100"/>
              <w:left w:type="dxa" w:w="140"/>
              <w:bottom w:type="dxa" w:w="100"/>
              <w:right w:type="dxa" w:w="140"/>
            </w:tcMar>
            <w:vAlign w:val="top"/>
          </w:tcPr>
          <w:p>
            <w:pPr>
              <w:spacing w:after="80" w:before="0"/>
              <w:jc w:val="center"/>
            </w:pPr>
            <w:r>
              <w:rPr>
                <w:rFonts w:ascii="Arial" w:cs="Arial" w:eastAsia="Arial" w:hAnsi="Arial"/>
                <w:b/>
                <w:bCs/>
                <w:color w:val="FFFFFF"/>
                <w:sz w:val="20"/>
                <w:szCs w:val="20"/>
              </w:rPr>
              <w:t xml:space="preserve">~72 ateliers</w:t>
            </w:r>
          </w:p>
        </w:tc>
        <w:tc>
          <w:tcPr>
            <w:tcW w:type="dxa" w:w="2527"/>
            <w:tcBorders>
              <w:top w:val="none" w:color="FFFFFF" w:sz="0"/>
              <w:left w:val="none" w:color="FFFFFF" w:sz="0"/>
              <w:bottom w:val="none" w:color="FFFFFF" w:sz="0"/>
              <w:right w:val="none" w:color="FFFFFF" w:sz="0"/>
            </w:tcBorders>
            <w:shd w:fill="2D6FAF" w:val="clear"/>
            <w:tcMar>
              <w:top w:type="dxa" w:w="100"/>
              <w:left w:type="dxa" w:w="140"/>
              <w:bottom w:type="dxa" w:w="100"/>
              <w:right w:type="dxa" w:w="140"/>
            </w:tcMar>
            <w:vAlign w:val="top"/>
          </w:tcPr>
          <w:p>
            <w:pPr>
              <w:spacing w:after="80" w:before="0"/>
              <w:jc w:val="center"/>
            </w:pPr>
            <w:r>
              <w:rPr>
                <w:rFonts w:ascii="Arial" w:cs="Arial" w:eastAsia="Arial" w:hAnsi="Arial"/>
                <w:b/>
                <w:bCs/>
                <w:color w:val="FFFFFF"/>
                <w:sz w:val="20"/>
                <w:szCs w:val="20"/>
              </w:rPr>
              <w:t xml:space="preserve">305 € moy.</w:t>
            </w:r>
          </w:p>
        </w:tc>
        <w:tc>
          <w:tcPr>
            <w:tcW w:type="dxa" w:w="2527"/>
            <w:tcBorders>
              <w:top w:val="none" w:color="FFFFFF" w:sz="0"/>
              <w:left w:val="none" w:color="FFFFFF" w:sz="0"/>
              <w:bottom w:val="none" w:color="FFFFFF" w:sz="0"/>
              <w:right w:val="none" w:color="FFFFFF" w:sz="0"/>
            </w:tcBorders>
            <w:shd w:fill="2D6FAF" w:val="clear"/>
            <w:tcMar>
              <w:top w:type="dxa" w:w="100"/>
              <w:left w:type="dxa" w:w="140"/>
              <w:bottom w:type="dxa" w:w="100"/>
              <w:right w:type="dxa" w:w="140"/>
            </w:tcMar>
            <w:vAlign w:val="top"/>
          </w:tcPr>
          <w:p>
            <w:pPr>
              <w:spacing w:after="80" w:before="0"/>
              <w:jc w:val="center"/>
            </w:pPr>
            <w:r>
              <w:rPr>
                <w:rFonts w:ascii="Arial" w:cs="Arial" w:eastAsia="Arial" w:hAnsi="Arial"/>
                <w:b/>
                <w:bCs/>
                <w:color w:val="FFFFFF"/>
                <w:sz w:val="20"/>
                <w:szCs w:val="20"/>
              </w:rPr>
              <w:t xml:space="preserve">≈ 21 000 € HT</w:t>
            </w:r>
          </w:p>
        </w:tc>
      </w:tr>
    </w:tbl>
    <w:p>
      <w:pPr>
        <w:spacing w:after="12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5053"/>
        <w:gridCol w:w="5053"/>
      </w:tblGrid>
      <w:tr>
        <w:tc>
          <w:tcPr>
            <w:tcW w:type="dxa" w:w="5053"/>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80" w:before="0"/>
              <w:jc w:val="left"/>
            </w:pPr>
            <w:r>
              <w:rPr>
                <w:rFonts w:ascii="Arial" w:cs="Arial" w:eastAsia="Arial" w:hAnsi="Arial"/>
                <w:b/>
                <w:bCs/>
                <w:color w:val="1B3A6B"/>
                <w:sz w:val="20"/>
                <w:szCs w:val="20"/>
              </w:rPr>
              <w:t xml:space="preserve">Charges An 1 (estimation)</w:t>
            </w:r>
          </w:p>
          <w:p>
            <w:pPr>
              <w:spacing w:after="40"/>
            </w:pPr>
            <w:r>
              <w:rPr>
                <w:rFonts w:ascii="Arial" w:cs="Arial" w:eastAsia="Arial" w:hAnsi="Arial"/>
                <w:b/>
                <w:bCs/>
                <w:sz w:val="19"/>
                <w:szCs w:val="19"/>
              </w:rPr>
              <w:t xml:space="preserve">Assurance RC Pro</w:t>
            </w:r>
            <w:r>
              <w:rPr>
                <w:rFonts w:ascii="Arial" w:cs="Arial" w:eastAsia="Arial" w:hAnsi="Arial"/>
                <w:color w:val="555555"/>
                <w:sz w:val="19"/>
                <w:szCs w:val="19"/>
              </w:rPr>
              <w:t xml:space="preserve">  1 500 €</w:t>
            </w:r>
          </w:p>
          <w:p>
            <w:pPr>
              <w:spacing w:after="40"/>
            </w:pPr>
            <w:r>
              <w:rPr>
                <w:rFonts w:ascii="Arial" w:cs="Arial" w:eastAsia="Arial" w:hAnsi="Arial"/>
                <w:b/>
                <w:bCs/>
                <w:sz w:val="19"/>
                <w:szCs w:val="19"/>
              </w:rPr>
              <w:t xml:space="preserve">Consommables pédagogiques</w:t>
            </w:r>
            <w:r>
              <w:rPr>
                <w:rFonts w:ascii="Arial" w:cs="Arial" w:eastAsia="Arial" w:hAnsi="Arial"/>
                <w:color w:val="555555"/>
                <w:sz w:val="19"/>
                <w:szCs w:val="19"/>
              </w:rPr>
              <w:t xml:space="preserve">  1 200 €</w:t>
            </w:r>
          </w:p>
          <w:p>
            <w:pPr>
              <w:spacing w:after="40"/>
            </w:pPr>
            <w:r>
              <w:rPr>
                <w:rFonts w:ascii="Arial" w:cs="Arial" w:eastAsia="Arial" w:hAnsi="Arial"/>
                <w:b/>
                <w:bCs/>
                <w:sz w:val="19"/>
                <w:szCs w:val="19"/>
              </w:rPr>
              <w:t xml:space="preserve">Déplacements (carburant, transports)</w:t>
            </w:r>
            <w:r>
              <w:rPr>
                <w:rFonts w:ascii="Arial" w:cs="Arial" w:eastAsia="Arial" w:hAnsi="Arial"/>
                <w:color w:val="555555"/>
                <w:sz w:val="19"/>
                <w:szCs w:val="19"/>
              </w:rPr>
              <w:t xml:space="preserve">  1 200 €</w:t>
            </w:r>
          </w:p>
          <w:p>
            <w:pPr>
              <w:spacing w:after="40"/>
            </w:pPr>
            <w:r>
              <w:rPr>
                <w:rFonts w:ascii="Arial" w:cs="Arial" w:eastAsia="Arial" w:hAnsi="Arial"/>
                <w:b/>
                <w:bCs/>
                <w:sz w:val="19"/>
                <w:szCs w:val="19"/>
              </w:rPr>
              <w:t xml:space="preserve">Coworking / domiciliation (6 mois)</w:t>
            </w:r>
            <w:r>
              <w:rPr>
                <w:rFonts w:ascii="Arial" w:cs="Arial" w:eastAsia="Arial" w:hAnsi="Arial"/>
                <w:color w:val="555555"/>
                <w:sz w:val="19"/>
                <w:szCs w:val="19"/>
              </w:rPr>
              <w:t xml:space="preserve">  2 400 €</w:t>
            </w:r>
          </w:p>
          <w:p>
            <w:pPr>
              <w:spacing w:after="40"/>
            </w:pPr>
            <w:r>
              <w:rPr>
                <w:rFonts w:ascii="Arial" w:cs="Arial" w:eastAsia="Arial" w:hAnsi="Arial"/>
                <w:b/>
                <w:bCs/>
                <w:sz w:val="19"/>
                <w:szCs w:val="19"/>
              </w:rPr>
              <w:t xml:space="preserve">Communication &amp; supports</w:t>
            </w:r>
            <w:r>
              <w:rPr>
                <w:rFonts w:ascii="Arial" w:cs="Arial" w:eastAsia="Arial" w:hAnsi="Arial"/>
                <w:color w:val="555555"/>
                <w:sz w:val="19"/>
                <w:szCs w:val="19"/>
              </w:rPr>
              <w:t xml:space="preserve">  500 €</w:t>
            </w:r>
          </w:p>
          <w:p>
            <w:pPr>
              <w:spacing w:after="40"/>
            </w:pPr>
            <w:r>
              <w:rPr>
                <w:rFonts w:ascii="Arial" w:cs="Arial" w:eastAsia="Arial" w:hAnsi="Arial"/>
                <w:b/>
                <w:bCs/>
                <w:sz w:val="19"/>
                <w:szCs w:val="19"/>
              </w:rPr>
              <w:t xml:space="preserve">Divers &amp; imprévus</w:t>
            </w:r>
            <w:r>
              <w:rPr>
                <w:rFonts w:ascii="Arial" w:cs="Arial" w:eastAsia="Arial" w:hAnsi="Arial"/>
                <w:color w:val="555555"/>
                <w:sz w:val="19"/>
                <w:szCs w:val="19"/>
              </w:rPr>
              <w:t xml:space="preserve">  400 €</w:t>
            </w:r>
          </w:p>
          <w:p>
            <w:pPr>
              <w:pBdr>
                <w:bottom w:val="single" w:color="CCCCCC" w:sz="4"/>
              </w:pBdr>
              <w:spacing w:after="60"/>
            </w:pPr>
          </w:p>
          <w:p>
            <w:pPr>
              <w:spacing w:after="0"/>
            </w:pPr>
            <w:r>
              <w:rPr>
                <w:rFonts w:ascii="Arial" w:cs="Arial" w:eastAsia="Arial" w:hAnsi="Arial"/>
                <w:b/>
                <w:bCs/>
                <w:sz w:val="20"/>
                <w:szCs w:val="20"/>
              </w:rPr>
              <w:t xml:space="preserve">TOTAL CHARGES  </w:t>
            </w:r>
            <w:r>
              <w:rPr>
                <w:rFonts w:ascii="Arial" w:cs="Arial" w:eastAsia="Arial" w:hAnsi="Arial"/>
                <w:b/>
                <w:bCs/>
                <w:color w:val="1B3A6B"/>
                <w:sz w:val="20"/>
                <w:szCs w:val="20"/>
              </w:rPr>
              <w:t xml:space="preserve">7 200 €</w:t>
            </w:r>
          </w:p>
        </w:tc>
        <w:tc>
          <w:tcPr>
            <w:tcW w:type="dxa" w:w="505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0"/>
              <w:jc w:val="left"/>
            </w:pPr>
            <w:r>
              <w:rPr>
                <w:rFonts w:ascii="Arial" w:cs="Arial" w:eastAsia="Arial" w:hAnsi="Arial"/>
                <w:b/>
                <w:bCs/>
                <w:color w:val="1B3A6B"/>
                <w:sz w:val="20"/>
                <w:szCs w:val="20"/>
              </w:rPr>
              <w:t xml:space="preserve">Résultat estimé An 1</w:t>
            </w:r>
          </w:p>
          <w:p>
            <w:pPr>
              <w:spacing w:after="40" w:before="0"/>
              <w:jc w:val="left"/>
            </w:pPr>
            <w:r>
              <w:rPr>
                <w:rFonts w:ascii="Arial" w:cs="Arial" w:eastAsia="Arial" w:hAnsi="Arial"/>
                <w:b/>
                <w:bCs/>
                <w:color w:val="000000"/>
                <w:sz w:val="20"/>
                <w:szCs w:val="20"/>
              </w:rPr>
              <w:t xml:space="preserve">CA HT : ≈ 21 000 €</w:t>
            </w:r>
          </w:p>
          <w:p>
            <w:pPr>
              <w:spacing w:after="40" w:before="0"/>
              <w:jc w:val="left"/>
            </w:pPr>
            <w:r>
              <w:rPr>
                <w:rFonts w:ascii="Arial" w:cs="Arial" w:eastAsia="Arial" w:hAnsi="Arial"/>
                <w:color w:val="000000"/>
                <w:sz w:val="20"/>
                <w:szCs w:val="20"/>
              </w:rPr>
              <w:t xml:space="preserve">Charges : ≈ 7 200 €</w:t>
            </w:r>
          </w:p>
          <w:p>
            <w:pPr>
              <w:spacing w:after="120" w:before="0"/>
              <w:jc w:val="left"/>
            </w:pPr>
            <w:r>
              <w:rPr>
                <w:rFonts w:ascii="Arial" w:cs="Arial" w:eastAsia="Arial" w:hAnsi="Arial"/>
                <w:b/>
                <w:bCs/>
                <w:color w:val="1B3A6B"/>
                <w:sz w:val="22"/>
                <w:szCs w:val="22"/>
              </w:rPr>
              <w:t xml:space="preserve">Bénéfice net estimé : ≈ 13 800 €</w:t>
            </w:r>
          </w:p>
          <w:p>
            <w:pPr>
              <w:spacing w:after="40" w:before="0"/>
              <w:jc w:val="left"/>
            </w:pPr>
            <w:r>
              <w:rPr>
                <w:rFonts w:ascii="Arial" w:cs="Arial" w:eastAsia="Arial" w:hAnsi="Arial"/>
                <w:color w:val="000000"/>
                <w:sz w:val="20"/>
                <w:szCs w:val="20"/>
              </w:rPr>
              <w:t xml:space="preserve">Seuil de rentabilité mensuel : 600 €</w:t>
            </w:r>
          </w:p>
          <w:p>
            <w:pPr>
              <w:spacing w:after="80" w:before="0"/>
              <w:jc w:val="left"/>
            </w:pPr>
            <w:r>
              <w:rPr>
                <w:rFonts w:ascii="Arial" w:cs="Arial" w:eastAsia="Arial" w:hAnsi="Arial"/>
                <w:i/>
                <w:iCs/>
                <w:color w:val="555555"/>
                <w:sz w:val="18"/>
                <w:szCs w:val="18"/>
              </w:rPr>
              <w:t xml:space="preserve">Soit environ 2 ateliers par mois, atteint dès M1.</w:t>
            </w:r>
          </w:p>
        </w:tc>
      </w:tr>
    </w:tbl>
    <w:p>
      <w:pPr>
        <w:spacing w:after="200"/>
      </w:pPr>
    </w:p>
    <w:p>
      <w:pPr>
        <w:pBdr>
          <w:bottom w:val="single" w:color="2D6FAF" w:sz="8"/>
        </w:pBdr>
        <w:spacing w:after="100" w:before="200"/>
      </w:pPr>
      <w:r>
        <w:rPr>
          <w:rFonts w:ascii="Arial" w:cs="Arial" w:eastAsia="Arial" w:hAnsi="Arial"/>
          <w:b/>
          <w:bCs/>
          <w:color w:val="1B3A6B"/>
          <w:sz w:val="24"/>
          <w:szCs w:val="24"/>
        </w:rPr>
        <w:t xml:space="preserve">5. Plan de financement — Ressources mobilisées</w:t>
      </w:r>
    </w:p>
    <w:p>
      <w:pPr>
        <w:spacing w:after="100"/>
      </w:pPr>
    </w:p>
    <w:p>
      <w:pPr>
        <w:spacing w:after="120" w:before="0"/>
        <w:jc w:val="left"/>
      </w:pPr>
      <w:r>
        <w:rPr>
          <w:rFonts w:ascii="Arial" w:cs="Arial" w:eastAsia="Arial" w:hAnsi="Arial"/>
          <w:color w:val="000000"/>
          <w:sz w:val="20"/>
          <w:szCs w:val="20"/>
        </w:rPr>
        <w:t xml:space="preserve">Le financement du démarrage repose sur des fonds propres et un microcrédit obtenu en France auprès de l'ADIE, couvrant intégralement le matériel pédagogique, les équipements et la trésorerie initiale. L'activité est conçue pour générer ses propres revenus dès le premier mois d'exploitation.</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5306"/>
        <w:gridCol w:w="1600"/>
        <w:gridCol w:w="3200"/>
      </w:tblGrid>
      <w:tr>
        <w:tc>
          <w:tcPr>
            <w:tcW w:type="dxa" w:w="5306"/>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vAlign w:val="top"/>
          </w:tcPr>
          <w:p>
            <w:pPr>
              <w:spacing w:after="80" w:before="0"/>
              <w:jc w:val="left"/>
            </w:pPr>
            <w:r>
              <w:rPr>
                <w:rFonts w:ascii="Arial" w:cs="Arial" w:eastAsia="Arial" w:hAnsi="Arial"/>
                <w:b/>
                <w:bCs/>
                <w:color w:val="FFFFFF"/>
                <w:sz w:val="20"/>
                <w:szCs w:val="20"/>
              </w:rPr>
              <w:t xml:space="preserve">Poste de dépense</w:t>
            </w:r>
          </w:p>
        </w:tc>
        <w:tc>
          <w:tcPr>
            <w:tcW w:type="dxa" w:w="1600"/>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vAlign w:val="top"/>
          </w:tcPr>
          <w:p>
            <w:pPr>
              <w:spacing w:after="80" w:before="0"/>
              <w:jc w:val="center"/>
            </w:pPr>
            <w:r>
              <w:rPr>
                <w:rFonts w:ascii="Arial" w:cs="Arial" w:eastAsia="Arial" w:hAnsi="Arial"/>
                <w:b/>
                <w:bCs/>
                <w:color w:val="FFFFFF"/>
                <w:sz w:val="20"/>
                <w:szCs w:val="20"/>
              </w:rPr>
              <w:t xml:space="preserve">Montant</w:t>
            </w:r>
          </w:p>
        </w:tc>
        <w:tc>
          <w:tcPr>
            <w:tcW w:type="dxa" w:w="3200"/>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vAlign w:val="top"/>
          </w:tcPr>
          <w:p>
            <w:pPr>
              <w:spacing w:after="80" w:before="0"/>
              <w:jc w:val="left"/>
            </w:pPr>
            <w:r>
              <w:rPr>
                <w:rFonts w:ascii="Arial" w:cs="Arial" w:eastAsia="Arial" w:hAnsi="Arial"/>
                <w:b/>
                <w:bCs/>
                <w:color w:val="FFFFFF"/>
                <w:sz w:val="20"/>
                <w:szCs w:val="20"/>
              </w:rPr>
              <w:t xml:space="preserve">Justification</w:t>
            </w:r>
          </w:p>
        </w:tc>
      </w:tr>
      <w:tr>
        <w:tc>
          <w:tcPr>
            <w:tcW w:type="dxa" w:w="5306"/>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Kits robotique (2× mBot + accessoires)</w:t>
            </w:r>
          </w:p>
        </w:tc>
        <w:tc>
          <w:tcPr>
            <w:tcW w:type="dxa" w:w="16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80" w:before="0"/>
              <w:jc w:val="center"/>
            </w:pPr>
            <w:r>
              <w:rPr>
                <w:rFonts w:ascii="Arial" w:cs="Arial" w:eastAsia="Arial" w:hAnsi="Arial"/>
                <w:color w:val="000000"/>
                <w:sz w:val="19"/>
                <w:szCs w:val="19"/>
              </w:rPr>
              <w:t xml:space="preserve">400 €</w:t>
            </w:r>
          </w:p>
        </w:tc>
        <w:tc>
          <w:tcPr>
            <w:tcW w:type="dxa" w:w="32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80" w:before="0"/>
              <w:jc w:val="left"/>
            </w:pPr>
            <w:r>
              <w:rPr>
                <w:rFonts w:ascii="Arial" w:cs="Arial" w:eastAsia="Arial" w:hAnsi="Arial"/>
                <w:i/>
                <w:iCs/>
                <w:color w:val="555555"/>
                <w:sz w:val="18"/>
                <w:szCs w:val="18"/>
              </w:rPr>
              <w:t xml:space="preserve">Ateliers robotique = 30% du catalogue</w:t>
            </w:r>
          </w:p>
        </w:tc>
      </w:tr>
      <w:tr>
        <w:tc>
          <w:tcPr>
            <w:tcW w:type="dxa" w:w="53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Kits Arduino &amp; Raspberry Pi (6 kits)</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0"/>
              <w:jc w:val="center"/>
            </w:pPr>
            <w:r>
              <w:rPr>
                <w:rFonts w:ascii="Arial" w:cs="Arial" w:eastAsia="Arial" w:hAnsi="Arial"/>
                <w:color w:val="000000"/>
                <w:sz w:val="19"/>
                <w:szCs w:val="19"/>
              </w:rPr>
              <w:t xml:space="preserve">350 €</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0"/>
              <w:jc w:val="left"/>
            </w:pPr>
            <w:r>
              <w:rPr>
                <w:rFonts w:ascii="Arial" w:cs="Arial" w:eastAsia="Arial" w:hAnsi="Arial"/>
                <w:i/>
                <w:iCs/>
                <w:color w:val="555555"/>
                <w:sz w:val="18"/>
                <w:szCs w:val="18"/>
              </w:rPr>
              <w:t xml:space="preserve">Ateliers électronique, IA, FabLab</w:t>
            </w:r>
          </w:p>
        </w:tc>
      </w:tr>
      <w:tr>
        <w:tc>
          <w:tcPr>
            <w:tcW w:type="dxa" w:w="5306"/>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Matériel chimie légère (réactifs, EPI)</w:t>
            </w:r>
          </w:p>
        </w:tc>
        <w:tc>
          <w:tcPr>
            <w:tcW w:type="dxa" w:w="16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80" w:before="0"/>
              <w:jc w:val="center"/>
            </w:pPr>
            <w:r>
              <w:rPr>
                <w:rFonts w:ascii="Arial" w:cs="Arial" w:eastAsia="Arial" w:hAnsi="Arial"/>
                <w:color w:val="000000"/>
                <w:sz w:val="19"/>
                <w:szCs w:val="19"/>
              </w:rPr>
              <w:t xml:space="preserve">200 €</w:t>
            </w:r>
          </w:p>
        </w:tc>
        <w:tc>
          <w:tcPr>
            <w:tcW w:type="dxa" w:w="32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80" w:before="0"/>
              <w:jc w:val="left"/>
            </w:pPr>
            <w:r>
              <w:rPr>
                <w:rFonts w:ascii="Arial" w:cs="Arial" w:eastAsia="Arial" w:hAnsi="Arial"/>
                <w:i/>
                <w:iCs/>
                <w:color w:val="555555"/>
                <w:sz w:val="18"/>
                <w:szCs w:val="18"/>
              </w:rPr>
              <w:t xml:space="preserve">Le plus demandé en primaire</w:t>
            </w:r>
          </w:p>
        </w:tc>
      </w:tr>
      <w:tr>
        <w:tc>
          <w:tcPr>
            <w:tcW w:type="dxa" w:w="53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Imprimante 3D portable (Bambu Lab A1 Mini)</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0"/>
              <w:jc w:val="center"/>
            </w:pPr>
            <w:r>
              <w:rPr>
                <w:rFonts w:ascii="Arial" w:cs="Arial" w:eastAsia="Arial" w:hAnsi="Arial"/>
                <w:color w:val="000000"/>
                <w:sz w:val="19"/>
                <w:szCs w:val="19"/>
              </w:rPr>
              <w:t xml:space="preserve">450 €</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0"/>
              <w:jc w:val="left"/>
            </w:pPr>
            <w:r>
              <w:rPr>
                <w:rFonts w:ascii="Arial" w:cs="Arial" w:eastAsia="Arial" w:hAnsi="Arial"/>
                <w:i/>
                <w:iCs/>
                <w:color w:val="555555"/>
                <w:sz w:val="18"/>
                <w:szCs w:val="18"/>
              </w:rPr>
              <w:t xml:space="preserve">FabLab mobile, différenciateur fort</w:t>
            </w:r>
          </w:p>
        </w:tc>
      </w:tr>
      <w:tr>
        <w:tc>
          <w:tcPr>
            <w:tcW w:type="dxa" w:w="5306"/>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Ordinateur portable dédié interventions</w:t>
            </w:r>
          </w:p>
        </w:tc>
        <w:tc>
          <w:tcPr>
            <w:tcW w:type="dxa" w:w="16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80" w:before="0"/>
              <w:jc w:val="center"/>
            </w:pPr>
            <w:r>
              <w:rPr>
                <w:rFonts w:ascii="Arial" w:cs="Arial" w:eastAsia="Arial" w:hAnsi="Arial"/>
                <w:color w:val="000000"/>
                <w:sz w:val="19"/>
                <w:szCs w:val="19"/>
              </w:rPr>
              <w:t xml:space="preserve">900 €</w:t>
            </w:r>
          </w:p>
        </w:tc>
        <w:tc>
          <w:tcPr>
            <w:tcW w:type="dxa" w:w="32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80" w:before="0"/>
              <w:jc w:val="left"/>
            </w:pPr>
            <w:r>
              <w:rPr>
                <w:rFonts w:ascii="Arial" w:cs="Arial" w:eastAsia="Arial" w:hAnsi="Arial"/>
                <w:i/>
                <w:iCs/>
                <w:color w:val="555555"/>
                <w:sz w:val="18"/>
                <w:szCs w:val="18"/>
              </w:rPr>
              <w:t xml:space="preserve">Ateliers code, IA, cybersécurité</w:t>
            </w:r>
          </w:p>
        </w:tc>
      </w:tr>
      <w:tr>
        <w:tc>
          <w:tcPr>
            <w:tcW w:type="dxa" w:w="53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Vidéoprojecteur portable</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0"/>
              <w:jc w:val="center"/>
            </w:pPr>
            <w:r>
              <w:rPr>
                <w:rFonts w:ascii="Arial" w:cs="Arial" w:eastAsia="Arial" w:hAnsi="Arial"/>
                <w:color w:val="000000"/>
                <w:sz w:val="19"/>
                <w:szCs w:val="19"/>
              </w:rPr>
              <w:t xml:space="preserve">300 €</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0"/>
              <w:jc w:val="left"/>
            </w:pPr>
            <w:r>
              <w:rPr>
                <w:rFonts w:ascii="Arial" w:cs="Arial" w:eastAsia="Arial" w:hAnsi="Arial"/>
                <w:i/>
                <w:iCs/>
                <w:color w:val="555555"/>
                <w:sz w:val="18"/>
                <w:szCs w:val="18"/>
              </w:rPr>
              <w:t xml:space="preserve">Nécessaire si établissement non équipé</w:t>
            </w:r>
          </w:p>
        </w:tc>
      </w:tr>
      <w:tr>
        <w:tc>
          <w:tcPr>
            <w:tcW w:type="dxa" w:w="5306"/>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Mallettes de transport</w:t>
            </w:r>
          </w:p>
        </w:tc>
        <w:tc>
          <w:tcPr>
            <w:tcW w:type="dxa" w:w="16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80" w:before="0"/>
              <w:jc w:val="center"/>
            </w:pPr>
            <w:r>
              <w:rPr>
                <w:rFonts w:ascii="Arial" w:cs="Arial" w:eastAsia="Arial" w:hAnsi="Arial"/>
                <w:color w:val="000000"/>
                <w:sz w:val="19"/>
                <w:szCs w:val="19"/>
              </w:rPr>
              <w:t xml:space="preserve">150 €</w:t>
            </w:r>
          </w:p>
        </w:tc>
        <w:tc>
          <w:tcPr>
            <w:tcW w:type="dxa" w:w="32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80" w:before="0"/>
              <w:jc w:val="left"/>
            </w:pPr>
            <w:r>
              <w:rPr>
                <w:rFonts w:ascii="Arial" w:cs="Arial" w:eastAsia="Arial" w:hAnsi="Arial"/>
                <w:i/>
                <w:iCs/>
                <w:color w:val="555555"/>
                <w:sz w:val="18"/>
                <w:szCs w:val="18"/>
              </w:rPr>
              <w:t xml:space="preserve">Protection du matériel</w:t>
            </w:r>
          </w:p>
        </w:tc>
      </w:tr>
      <w:tr>
        <w:tc>
          <w:tcPr>
            <w:tcW w:type="dxa" w:w="53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Communication (flyers, cartes, kit décideur)</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0"/>
              <w:jc w:val="center"/>
            </w:pPr>
            <w:r>
              <w:rPr>
                <w:rFonts w:ascii="Arial" w:cs="Arial" w:eastAsia="Arial" w:hAnsi="Arial"/>
                <w:color w:val="000000"/>
                <w:sz w:val="19"/>
                <w:szCs w:val="19"/>
              </w:rPr>
              <w:t xml:space="preserve">250 €</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0"/>
              <w:jc w:val="left"/>
            </w:pPr>
            <w:r>
              <w:rPr>
                <w:rFonts w:ascii="Arial" w:cs="Arial" w:eastAsia="Arial" w:hAnsi="Arial"/>
                <w:i/>
                <w:iCs/>
                <w:color w:val="555555"/>
                <w:sz w:val="18"/>
                <w:szCs w:val="18"/>
              </w:rPr>
              <w:t xml:space="preserve">Prospection 1er trimestre</w:t>
            </w:r>
          </w:p>
        </w:tc>
      </w:tr>
      <w:tr>
        <w:tc>
          <w:tcPr>
            <w:tcW w:type="dxa" w:w="5306"/>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Assurance RC Pro 1ère année</w:t>
            </w:r>
          </w:p>
        </w:tc>
        <w:tc>
          <w:tcPr>
            <w:tcW w:type="dxa" w:w="16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80" w:before="0"/>
              <w:jc w:val="center"/>
            </w:pPr>
            <w:r>
              <w:rPr>
                <w:rFonts w:ascii="Arial" w:cs="Arial" w:eastAsia="Arial" w:hAnsi="Arial"/>
                <w:color w:val="000000"/>
                <w:sz w:val="19"/>
                <w:szCs w:val="19"/>
              </w:rPr>
              <w:t xml:space="preserve">1 000 €</w:t>
            </w:r>
          </w:p>
        </w:tc>
        <w:tc>
          <w:tcPr>
            <w:tcW w:type="dxa" w:w="32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80" w:before="0"/>
              <w:jc w:val="left"/>
            </w:pPr>
            <w:r>
              <w:rPr>
                <w:rFonts w:ascii="Arial" w:cs="Arial" w:eastAsia="Arial" w:hAnsi="Arial"/>
                <w:i/>
                <w:iCs/>
                <w:color w:val="555555"/>
                <w:sz w:val="18"/>
                <w:szCs w:val="18"/>
              </w:rPr>
              <w:t xml:space="preserve">Obligatoire avant toute intervention</w:t>
            </w:r>
          </w:p>
        </w:tc>
      </w:tr>
      <w:tr>
        <w:tc>
          <w:tcPr>
            <w:tcW w:type="dxa" w:w="53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Trésorerie de sécurité (2 mois de charges)</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0"/>
              <w:jc w:val="center"/>
            </w:pPr>
            <w:r>
              <w:rPr>
                <w:rFonts w:ascii="Arial" w:cs="Arial" w:eastAsia="Arial" w:hAnsi="Arial"/>
                <w:color w:val="000000"/>
                <w:sz w:val="19"/>
                <w:szCs w:val="19"/>
              </w:rPr>
              <w:t xml:space="preserve">1 500 €</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0"/>
              <w:jc w:val="left"/>
            </w:pPr>
            <w:r>
              <w:rPr>
                <w:rFonts w:ascii="Arial" w:cs="Arial" w:eastAsia="Arial" w:hAnsi="Arial"/>
                <w:i/>
                <w:iCs/>
                <w:color w:val="555555"/>
                <w:sz w:val="18"/>
                <w:szCs w:val="18"/>
              </w:rPr>
              <w:t xml:space="preserve">Avant premiers encaissements (30-60j)</w:t>
            </w:r>
          </w:p>
        </w:tc>
      </w:tr>
      <w:tr>
        <w:tc>
          <w:tcPr>
            <w:tcW w:type="dxa" w:w="5306"/>
            <w:tcBorders>
              <w:top w:val="none" w:color="FFFFFF" w:sz="0"/>
              <w:left w:val="none" w:color="FFFFFF" w:sz="0"/>
              <w:bottom w:val="none" w:color="FFFFFF" w:sz="0"/>
              <w:right w:val="none" w:color="FFFFFF" w:sz="0"/>
            </w:tcBorders>
            <w:shd w:fill="2D6FAF" w:val="clear"/>
            <w:tcMar>
              <w:top w:type="dxa" w:w="100"/>
              <w:left w:type="dxa" w:w="140"/>
              <w:bottom w:type="dxa" w:w="100"/>
              <w:right w:type="dxa" w:w="140"/>
            </w:tcMar>
            <w:vAlign w:val="top"/>
          </w:tcPr>
          <w:p>
            <w:pPr>
              <w:spacing w:after="80" w:before="0"/>
              <w:jc w:val="left"/>
            </w:pPr>
            <w:r>
              <w:rPr>
                <w:rFonts w:ascii="Arial" w:cs="Arial" w:eastAsia="Arial" w:hAnsi="Arial"/>
                <w:b/>
                <w:bCs/>
                <w:color w:val="FFFFFF"/>
                <w:sz w:val="20"/>
                <w:szCs w:val="20"/>
              </w:rPr>
              <w:t xml:space="preserve">TOTAL</w:t>
            </w:r>
          </w:p>
        </w:tc>
        <w:tc>
          <w:tcPr>
            <w:tcW w:type="dxa" w:w="1600"/>
            <w:tcBorders>
              <w:top w:val="none" w:color="FFFFFF" w:sz="0"/>
              <w:left w:val="none" w:color="FFFFFF" w:sz="0"/>
              <w:bottom w:val="none" w:color="FFFFFF" w:sz="0"/>
              <w:right w:val="none" w:color="FFFFFF" w:sz="0"/>
            </w:tcBorders>
            <w:shd w:fill="2D6FAF" w:val="clear"/>
            <w:tcMar>
              <w:top w:type="dxa" w:w="100"/>
              <w:left w:type="dxa" w:w="140"/>
              <w:bottom w:type="dxa" w:w="100"/>
              <w:right w:type="dxa" w:w="140"/>
            </w:tcMar>
            <w:vAlign w:val="top"/>
          </w:tcPr>
          <w:p>
            <w:pPr>
              <w:spacing w:after="80" w:before="0"/>
              <w:jc w:val="center"/>
            </w:pPr>
            <w:r>
              <w:rPr>
                <w:rFonts w:ascii="Arial" w:cs="Arial" w:eastAsia="Arial" w:hAnsi="Arial"/>
                <w:b/>
                <w:bCs/>
                <w:color w:val="FFFFFF"/>
                <w:sz w:val="20"/>
                <w:szCs w:val="20"/>
              </w:rPr>
              <w:t xml:space="preserve">5 500 €</w:t>
            </w:r>
          </w:p>
        </w:tc>
        <w:tc>
          <w:tcPr>
            <w:tcW w:type="dxa" w:w="3200"/>
            <w:tcBorders>
              <w:top w:val="none" w:color="FFFFFF" w:sz="0"/>
              <w:left w:val="none" w:color="FFFFFF" w:sz="0"/>
              <w:bottom w:val="none" w:color="FFFFFF" w:sz="0"/>
              <w:right w:val="none" w:color="FFFFFF" w:sz="0"/>
            </w:tcBorders>
            <w:shd w:fill="2D6FAF" w:val="clear"/>
            <w:tcMar>
              <w:top w:type="dxa" w:w="100"/>
              <w:left w:type="dxa" w:w="140"/>
              <w:bottom w:type="dxa" w:w="100"/>
              <w:right w:type="dxa" w:w="140"/>
            </w:tcMar>
            <w:vAlign w:val="top"/>
          </w:tcPr>
          <w:p>
            <w:pPr>
              <w:spacing w:after="80" w:before="0"/>
              <w:jc w:val="left"/>
            </w:pPr>
            <w:r>
              <w:rPr>
                <w:rFonts w:ascii="Arial" w:cs="Arial" w:eastAsia="Arial" w:hAnsi="Arial"/>
                <w:color w:val="FFFFFF"/>
                <w:sz w:val="19"/>
                <w:szCs w:val="19"/>
              </w:rPr>
              <w:t xml:space="preserve">Microcrédit ADIE (France)</w:t>
            </w:r>
          </w:p>
        </w:tc>
      </w:tr>
    </w:tbl>
    <w:p>
      <w:pPr>
        <w:spacing w:after="120"/>
      </w:pPr>
    </w:p>
    <w:p>
      <w:pPr>
        <w:spacing w:after="80" w:before="0"/>
        <w:jc w:val="left"/>
      </w:pPr>
      <w:r>
        <w:rPr>
          <w:rFonts w:ascii="Arial" w:cs="Arial" w:eastAsia="Arial" w:hAnsi="Arial"/>
          <w:b/>
          <w:bCs/>
          <w:color w:val="1B3A6B"/>
          <w:sz w:val="20"/>
          <w:szCs w:val="20"/>
        </w:rPr>
        <w:t xml:space="preserve">Sources de financement globales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3106"/>
      </w:tblGrid>
      <w:tr>
        <w:tc>
          <w:tcPr>
            <w:tcW w:type="dxa" w:w="5000"/>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vAlign w:val="top"/>
          </w:tcPr>
          <w:p>
            <w:pPr>
              <w:spacing w:after="80" w:before="0"/>
              <w:jc w:val="left"/>
            </w:pPr>
            <w:r>
              <w:rPr>
                <w:rFonts w:ascii="Arial" w:cs="Arial" w:eastAsia="Arial" w:hAnsi="Arial"/>
                <w:b/>
                <w:bCs/>
                <w:color w:val="FFFFFF"/>
                <w:sz w:val="20"/>
                <w:szCs w:val="20"/>
              </w:rPr>
              <w:t xml:space="preserve">Source</w:t>
            </w:r>
          </w:p>
        </w:tc>
        <w:tc>
          <w:tcPr>
            <w:tcW w:type="dxa" w:w="2000"/>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vAlign w:val="top"/>
          </w:tcPr>
          <w:p>
            <w:pPr>
              <w:spacing w:after="80" w:before="0"/>
              <w:jc w:val="center"/>
            </w:pPr>
            <w:r>
              <w:rPr>
                <w:rFonts w:ascii="Arial" w:cs="Arial" w:eastAsia="Arial" w:hAnsi="Arial"/>
                <w:b/>
                <w:bCs/>
                <w:color w:val="FFFFFF"/>
                <w:sz w:val="20"/>
                <w:szCs w:val="20"/>
              </w:rPr>
              <w:t xml:space="preserve">Montant</w:t>
            </w:r>
          </w:p>
        </w:tc>
        <w:tc>
          <w:tcPr>
            <w:tcW w:type="dxa" w:w="3106"/>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vAlign w:val="top"/>
          </w:tcPr>
          <w:p>
            <w:pPr>
              <w:spacing w:after="80" w:before="0"/>
              <w:jc w:val="left"/>
            </w:pPr>
            <w:r>
              <w:rPr>
                <w:rFonts w:ascii="Arial" w:cs="Arial" w:eastAsia="Arial" w:hAnsi="Arial"/>
                <w:b/>
                <w:bCs/>
                <w:color w:val="FFFFFF"/>
                <w:sz w:val="20"/>
                <w:szCs w:val="20"/>
              </w:rPr>
              <w:t xml:space="preserve">Nature</w:t>
            </w:r>
          </w:p>
        </w:tc>
      </w:tr>
      <w:tr>
        <w:tc>
          <w:tcPr>
            <w:tcW w:type="dxa" w:w="50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80" w:before="0"/>
              <w:jc w:val="left"/>
            </w:pPr>
            <w:r>
              <w:rPr>
                <w:rFonts w:ascii="Arial" w:cs="Arial" w:eastAsia="Arial" w:hAnsi="Arial"/>
                <w:b/>
                <w:bCs/>
                <w:color w:val="000000"/>
                <w:sz w:val="19"/>
                <w:szCs w:val="19"/>
              </w:rPr>
              <w:t xml:space="preserve">Microcrédit ADIE (France, obtenu)</w:t>
            </w:r>
          </w:p>
        </w:tc>
        <w:tc>
          <w:tcPr>
            <w:tcW w:type="dxa" w:w="20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80" w:before="0"/>
              <w:jc w:val="center"/>
            </w:pPr>
            <w:r>
              <w:rPr>
                <w:rFonts w:ascii="Arial" w:cs="Arial" w:eastAsia="Arial" w:hAnsi="Arial"/>
                <w:b/>
                <w:bCs/>
                <w:color w:val="000000"/>
                <w:sz w:val="19"/>
                <w:szCs w:val="19"/>
              </w:rPr>
              <w:t xml:space="preserve">5 500 €</w:t>
            </w:r>
          </w:p>
        </w:tc>
        <w:tc>
          <w:tcPr>
            <w:tcW w:type="dxa" w:w="3106"/>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Financement du démarrage opérationnel</w:t>
            </w:r>
          </w:p>
        </w:tc>
      </w:tr>
      <w:tr>
        <w:tc>
          <w:tcPr>
            <w:tcW w:type="dxa" w:w="5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0"/>
              <w:jc w:val="left"/>
            </w:pPr>
            <w:r>
              <w:rPr>
                <w:rFonts w:ascii="Arial" w:cs="Arial" w:eastAsia="Arial" w:hAnsi="Arial"/>
                <w:b w:val="false"/>
                <w:bCs w:val="false"/>
                <w:color w:val="000000"/>
                <w:sz w:val="19"/>
                <w:szCs w:val="19"/>
              </w:rPr>
              <w:t xml:space="preserve">Fonds propres</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0"/>
              <w:jc w:val="center"/>
            </w:pPr>
            <w:r>
              <w:rPr>
                <w:rFonts w:ascii="Arial" w:cs="Arial" w:eastAsia="Arial" w:hAnsi="Arial"/>
                <w:b w:val="false"/>
                <w:bCs w:val="false"/>
                <w:color w:val="000000"/>
                <w:sz w:val="19"/>
                <w:szCs w:val="19"/>
              </w:rPr>
              <w:t xml:space="preserve">500 €</w:t>
            </w:r>
          </w:p>
        </w:tc>
        <w:tc>
          <w:tcPr>
            <w:tcW w:type="dxa" w:w="31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Apport personnel</w:t>
            </w:r>
          </w:p>
        </w:tc>
      </w:tr>
      <w:tr>
        <w:tc>
          <w:tcPr>
            <w:tcW w:type="dxa" w:w="50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80" w:before="0"/>
              <w:jc w:val="left"/>
            </w:pPr>
            <w:r>
              <w:rPr>
                <w:rFonts w:ascii="Arial" w:cs="Arial" w:eastAsia="Arial" w:hAnsi="Arial"/>
                <w:b w:val="false"/>
                <w:bCs w:val="false"/>
                <w:color w:val="000000"/>
                <w:sz w:val="19"/>
                <w:szCs w:val="19"/>
              </w:rPr>
              <w:t xml:space="preserve">ACRE — exonération charges An 1 (France)</w:t>
            </w:r>
          </w:p>
        </w:tc>
        <w:tc>
          <w:tcPr>
            <w:tcW w:type="dxa" w:w="2000"/>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80" w:before="0"/>
              <w:jc w:val="center"/>
            </w:pPr>
            <w:r>
              <w:rPr>
                <w:rFonts w:ascii="Arial" w:cs="Arial" w:eastAsia="Arial" w:hAnsi="Arial"/>
                <w:b w:val="false"/>
                <w:bCs w:val="false"/>
                <w:color w:val="000000"/>
                <w:sz w:val="19"/>
                <w:szCs w:val="19"/>
              </w:rPr>
              <w:t xml:space="preserve">≈ 1 500 €</w:t>
            </w:r>
          </w:p>
        </w:tc>
        <w:tc>
          <w:tcPr>
            <w:tcW w:type="dxa" w:w="3106"/>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80" w:before="0"/>
              <w:jc w:val="left"/>
            </w:pPr>
            <w:r>
              <w:rPr>
                <w:rFonts w:ascii="Arial" w:cs="Arial" w:eastAsia="Arial" w:hAnsi="Arial"/>
                <w:color w:val="000000"/>
                <w:sz w:val="19"/>
                <w:szCs w:val="19"/>
              </w:rPr>
              <w:t xml:space="preserve">Dispositif micro-entrepreneur</w:t>
            </w:r>
          </w:p>
        </w:tc>
      </w:tr>
    </w:tbl>
    <w:p>
      <w:pPr>
        <w:spacing w:after="200"/>
      </w:pPr>
    </w:p>
    <w:p>
      <w:pPr>
        <w:pBdr>
          <w:bottom w:val="single" w:color="2D6FAF" w:sz="8"/>
        </w:pBdr>
        <w:spacing w:after="100" w:before="200"/>
      </w:pPr>
      <w:r>
        <w:rPr>
          <w:rFonts w:ascii="Arial" w:cs="Arial" w:eastAsia="Arial" w:hAnsi="Arial"/>
          <w:b/>
          <w:bCs/>
          <w:color w:val="1B3A6B"/>
          <w:sz w:val="24"/>
          <w:szCs w:val="24"/>
        </w:rPr>
        <w:t xml:space="preserve">6. Perspectives de développement</w:t>
      </w:r>
    </w:p>
    <w:p>
      <w:pPr>
        <w:spacing w:after="10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3368"/>
        <w:gridCol w:w="3369"/>
        <w:gridCol w:w="3369"/>
      </w:tblGrid>
      <w:tr>
        <w:tc>
          <w:tcPr>
            <w:tcW w:type="dxa" w:w="3368"/>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vAlign w:val="top"/>
          </w:tcPr>
          <w:p>
            <w:pPr>
              <w:spacing w:after="80" w:before="0"/>
              <w:jc w:val="center"/>
            </w:pPr>
            <w:r>
              <w:rPr>
                <w:rFonts w:ascii="Arial" w:cs="Arial" w:eastAsia="Arial" w:hAnsi="Arial"/>
                <w:b/>
                <w:bCs/>
                <w:color w:val="FFFFFF"/>
                <w:sz w:val="20"/>
                <w:szCs w:val="20"/>
              </w:rPr>
              <w:t xml:space="preserve">An 1 — Indépendant LU</w:t>
            </w:r>
          </w:p>
        </w:tc>
        <w:tc>
          <w:tcPr>
            <w:tcW w:type="dxa" w:w="3369"/>
            <w:tcBorders>
              <w:top w:val="none" w:color="FFFFFF" w:sz="0"/>
              <w:left w:val="none" w:color="FFFFFF" w:sz="0"/>
              <w:bottom w:val="none" w:color="FFFFFF" w:sz="0"/>
              <w:right w:val="none" w:color="FFFFFF" w:sz="0"/>
            </w:tcBorders>
            <w:shd w:fill="2D6FAF" w:val="clear"/>
            <w:tcMar>
              <w:top w:type="dxa" w:w="100"/>
              <w:left w:type="dxa" w:w="140"/>
              <w:bottom w:type="dxa" w:w="100"/>
              <w:right w:type="dxa" w:w="140"/>
            </w:tcMar>
            <w:vAlign w:val="top"/>
          </w:tcPr>
          <w:p>
            <w:pPr>
              <w:spacing w:after="80" w:before="0"/>
              <w:jc w:val="center"/>
            </w:pPr>
            <w:r>
              <w:rPr>
                <w:rFonts w:ascii="Arial" w:cs="Arial" w:eastAsia="Arial" w:hAnsi="Arial"/>
                <w:b/>
                <w:bCs/>
                <w:color w:val="FFFFFF"/>
                <w:sz w:val="20"/>
                <w:szCs w:val="20"/>
              </w:rPr>
              <w:t xml:space="preserve">An 2 — Expansion Grande Région</w:t>
            </w:r>
          </w:p>
        </w:tc>
        <w:tc>
          <w:tcPr>
            <w:tcW w:type="dxa" w:w="3369"/>
            <w:tcBorders>
              <w:top w:val="none" w:color="FFFFFF" w:sz="0"/>
              <w:left w:val="none" w:color="FFFFFF" w:sz="0"/>
              <w:bottom w:val="none" w:color="FFFFFF" w:sz="0"/>
              <w:right w:val="none" w:color="FFFFFF" w:sz="0"/>
            </w:tcBorders>
            <w:shd w:fill="E8813A" w:val="clear"/>
            <w:tcMar>
              <w:top w:type="dxa" w:w="100"/>
              <w:left w:type="dxa" w:w="140"/>
              <w:bottom w:type="dxa" w:w="100"/>
              <w:right w:type="dxa" w:w="140"/>
            </w:tcMar>
            <w:vAlign w:val="top"/>
          </w:tcPr>
          <w:p>
            <w:pPr>
              <w:spacing w:after="80" w:before="0"/>
              <w:jc w:val="center"/>
            </w:pPr>
            <w:r>
              <w:rPr>
                <w:rFonts w:ascii="Arial" w:cs="Arial" w:eastAsia="Arial" w:hAnsi="Arial"/>
                <w:b/>
                <w:bCs/>
                <w:color w:val="FFFFFF"/>
                <w:sz w:val="20"/>
                <w:szCs w:val="20"/>
              </w:rPr>
              <w:t xml:space="preserve">An 3+ — Structure &amp; Expansion</w:t>
            </w:r>
          </w:p>
        </w:tc>
      </w:tr>
      <w:tr>
        <w:tc>
          <w:tcPr>
            <w:tcW w:type="dxa" w:w="3368"/>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60" w:before="0"/>
              <w:jc w:val="left"/>
            </w:pPr>
            <w:r>
              <w:rPr>
                <w:rFonts w:ascii="Arial" w:cs="Arial" w:eastAsia="Arial" w:hAnsi="Arial"/>
                <w:b/>
                <w:bCs/>
                <w:color w:val="000000"/>
                <w:sz w:val="19"/>
                <w:szCs w:val="19"/>
              </w:rPr>
              <w:t xml:space="preserve">Ateliers 360 Éducation au Luxembourg</w:t>
            </w:r>
          </w:p>
          <w:p>
            <w:pPr>
              <w:spacing w:after="40" w:before="0"/>
              <w:jc w:val="left"/>
            </w:pPr>
            <w:r>
              <w:rPr>
                <w:rFonts w:ascii="Arial" w:cs="Arial" w:eastAsia="Arial" w:hAnsi="Arial"/>
                <w:color w:val="555555"/>
                <w:sz w:val="18"/>
                <w:szCs w:val="18"/>
              </w:rPr>
              <w:t xml:space="preserve">8 ateliers/mois</w:t>
            </w:r>
          </w:p>
          <w:p>
            <w:pPr>
              <w:spacing w:after="40" w:before="0"/>
              <w:jc w:val="left"/>
            </w:pPr>
            <w:r>
              <w:rPr>
                <w:rFonts w:ascii="Arial" w:cs="Arial" w:eastAsia="Arial" w:hAnsi="Arial"/>
                <w:color w:val="555555"/>
                <w:sz w:val="18"/>
                <w:szCs w:val="18"/>
              </w:rPr>
              <w:t xml:space="preserve">Coworking Esch-sur-Alzette</w:t>
            </w:r>
          </w:p>
          <w:p>
            <w:pPr>
              <w:spacing w:after="80" w:before="0"/>
              <w:jc w:val="left"/>
            </w:pPr>
            <w:r>
              <w:rPr>
                <w:rFonts w:ascii="Arial" w:cs="Arial" w:eastAsia="Arial" w:hAnsi="Arial"/>
                <w:b/>
                <w:bCs/>
                <w:color w:val="1B3A6B"/>
                <w:sz w:val="19"/>
                <w:szCs w:val="19"/>
              </w:rPr>
              <w:t xml:space="preserve">CA ≈ 21 000 € HT</w:t>
            </w:r>
          </w:p>
        </w:tc>
        <w:tc>
          <w:tcPr>
            <w:tcW w:type="dxa" w:w="3369"/>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60" w:before="0"/>
              <w:jc w:val="left"/>
            </w:pPr>
            <w:r>
              <w:rPr>
                <w:rFonts w:ascii="Arial" w:cs="Arial" w:eastAsia="Arial" w:hAnsi="Arial"/>
                <w:b/>
                <w:bCs/>
                <w:color w:val="000000"/>
                <w:sz w:val="19"/>
                <w:szCs w:val="19"/>
              </w:rPr>
              <w:t xml:space="preserve">+ Grand Est (France) + Wallonie (BE)</w:t>
            </w:r>
          </w:p>
          <w:p>
            <w:pPr>
              <w:spacing w:after="40" w:before="0"/>
              <w:jc w:val="left"/>
            </w:pPr>
            <w:r>
              <w:rPr>
                <w:rFonts w:ascii="Arial" w:cs="Arial" w:eastAsia="Arial" w:hAnsi="Arial"/>
                <w:color w:val="555555"/>
                <w:sz w:val="18"/>
                <w:szCs w:val="18"/>
              </w:rPr>
              <w:t xml:space="preserve">+ Cavalier Studio (numérique)</w:t>
            </w:r>
          </w:p>
          <w:p>
            <w:pPr>
              <w:spacing w:after="40" w:before="0"/>
              <w:jc w:val="left"/>
            </w:pPr>
            <w:r>
              <w:rPr>
                <w:rFonts w:ascii="Arial" w:cs="Arial" w:eastAsia="Arial" w:hAnsi="Arial"/>
                <w:color w:val="555555"/>
                <w:sz w:val="18"/>
                <w:szCs w:val="18"/>
              </w:rPr>
              <w:t xml:space="preserve">Équipe 2-3 personnes</w:t>
            </w:r>
          </w:p>
          <w:p>
            <w:pPr>
              <w:spacing w:after="80" w:before="0"/>
              <w:jc w:val="left"/>
            </w:pPr>
            <w:r>
              <w:rPr>
                <w:rFonts w:ascii="Arial" w:cs="Arial" w:eastAsia="Arial" w:hAnsi="Arial"/>
                <w:b/>
                <w:bCs/>
                <w:color w:val="1B3A6B"/>
                <w:sz w:val="19"/>
                <w:szCs w:val="19"/>
              </w:rPr>
              <w:t xml:space="preserve">CA cible &gt; 55 000 € HT</w:t>
            </w:r>
          </w:p>
        </w:tc>
        <w:tc>
          <w:tcPr>
            <w:tcW w:type="dxa" w:w="3369"/>
            <w:tcBorders>
              <w:top w:val="single" w:color="CCCCCC" w:sz="4"/>
              <w:left w:val="single" w:color="CCCCCC" w:sz="4"/>
              <w:bottom w:val="single" w:color="CCCCCC" w:sz="4"/>
              <w:right w:val="single" w:color="CCCCCC" w:sz="4"/>
            </w:tcBorders>
            <w:shd w:fill="F5F7FA" w:val="clear"/>
            <w:tcMar>
              <w:top w:type="dxa" w:w="100"/>
              <w:left w:type="dxa" w:w="140"/>
              <w:bottom w:type="dxa" w:w="100"/>
              <w:right w:type="dxa" w:w="140"/>
            </w:tcMar>
            <w:vAlign w:val="top"/>
          </w:tcPr>
          <w:p>
            <w:pPr>
              <w:spacing w:after="60" w:before="0"/>
              <w:jc w:val="left"/>
            </w:pPr>
            <w:r>
              <w:rPr>
                <w:rFonts w:ascii="Arial" w:cs="Arial" w:eastAsia="Arial" w:hAnsi="Arial"/>
                <w:b/>
                <w:bCs/>
                <w:color w:val="000000"/>
                <w:sz w:val="19"/>
                <w:szCs w:val="19"/>
              </w:rPr>
              <w:t xml:space="preserve">+ Passerelle Jeunesse (SEA Luxembourg)</w:t>
            </w:r>
          </w:p>
          <w:p>
            <w:pPr>
              <w:spacing w:after="40" w:before="0"/>
              <w:jc w:val="left"/>
            </w:pPr>
            <w:r>
              <w:rPr>
                <w:rFonts w:ascii="Arial" w:cs="Arial" w:eastAsia="Arial" w:hAnsi="Arial"/>
                <w:color w:val="555555"/>
                <w:sz w:val="18"/>
                <w:szCs w:val="18"/>
              </w:rPr>
              <w:t xml:space="preserve">Local propre (Esch / Differdange / Dudelange)</w:t>
            </w:r>
          </w:p>
          <w:p>
            <w:pPr>
              <w:spacing w:after="40" w:before="0"/>
              <w:jc w:val="left"/>
            </w:pPr>
            <w:r>
              <w:rPr>
                <w:rFonts w:ascii="Arial" w:cs="Arial" w:eastAsia="Arial" w:hAnsi="Arial"/>
                <w:color w:val="555555"/>
                <w:sz w:val="18"/>
                <w:szCs w:val="18"/>
              </w:rPr>
              <w:t xml:space="preserve">Équipe 4-5 personnes</w:t>
            </w:r>
          </w:p>
          <w:p>
            <w:pPr>
              <w:spacing w:after="80" w:before="0"/>
              <w:jc w:val="left"/>
            </w:pPr>
            <w:r>
              <w:rPr>
                <w:rFonts w:ascii="Arial" w:cs="Arial" w:eastAsia="Arial" w:hAnsi="Arial"/>
                <w:b/>
                <w:bCs/>
                <w:color w:val="1B3A6B"/>
                <w:sz w:val="19"/>
                <w:szCs w:val="19"/>
              </w:rPr>
              <w:t xml:space="preserve">CA cible &gt; 85 000 € HT</w:t>
            </w:r>
          </w:p>
        </w:tc>
      </w:tr>
    </w:tbl>
    <w:p>
      <w:pPr>
        <w:spacing w:after="200"/>
      </w:pPr>
    </w:p>
    <w:p>
      <w:pPr>
        <w:pBdr>
          <w:bottom w:val="single" w:color="2D6FAF" w:sz="8"/>
        </w:pBdr>
        <w:spacing w:after="100" w:before="200"/>
      </w:pPr>
      <w:r>
        <w:rPr>
          <w:rFonts w:ascii="Arial" w:cs="Arial" w:eastAsia="Arial" w:hAnsi="Arial"/>
          <w:b/>
          <w:bCs/>
          <w:color w:val="1B3A6B"/>
          <w:sz w:val="24"/>
          <w:szCs w:val="24"/>
        </w:rPr>
        <w:t xml:space="preserve">7. Engagements du porteur de projet</w:t>
      </w:r>
    </w:p>
    <w:p>
      <w:pPr>
        <w:spacing w:after="100"/>
      </w:pPr>
    </w:p>
    <w:p>
      <w:pPr>
        <w:pStyle w:val="ListParagraph"/>
        <w:numPr>
          <w:ilvl w:val="0"/>
          <w:numId w:val="2"/>
        </w:numPr>
        <w:spacing w:after="60" w:before="0"/>
      </w:pPr>
      <w:r>
        <w:rPr>
          <w:rFonts w:ascii="Arial" w:cs="Arial" w:eastAsia="Arial" w:hAnsi="Arial"/>
          <w:color w:val="000000"/>
          <w:sz w:val="20"/>
          <w:szCs w:val="20"/>
        </w:rPr>
        <w:t xml:space="preserve">Consacrer l'intégralité de mon temps professionnel à cette activité dès le lancement. C'est mon activité principale.</w:t>
      </w:r>
    </w:p>
    <w:p>
      <w:pPr>
        <w:pStyle w:val="ListParagraph"/>
        <w:numPr>
          <w:ilvl w:val="0"/>
          <w:numId w:val="2"/>
        </w:numPr>
        <w:spacing w:after="60" w:before="0"/>
      </w:pPr>
      <w:r>
        <w:rPr>
          <w:rFonts w:ascii="Arial" w:cs="Arial" w:eastAsia="Arial" w:hAnsi="Arial"/>
          <w:color w:val="000000"/>
          <w:sz w:val="20"/>
          <w:szCs w:val="20"/>
        </w:rPr>
        <w:t xml:space="preserve">Maintenir un rythme de prospection actif : minimum 3 nouveaux contacts par semaine auprès d'établissements et structures luxembourgeois.</w:t>
      </w:r>
    </w:p>
    <w:p>
      <w:pPr>
        <w:pStyle w:val="ListParagraph"/>
        <w:numPr>
          <w:ilvl w:val="0"/>
          <w:numId w:val="2"/>
        </w:numPr>
        <w:spacing w:after="60" w:before="0"/>
      </w:pPr>
      <w:r>
        <w:rPr>
          <w:rFonts w:ascii="Arial" w:cs="Arial" w:eastAsia="Arial" w:hAnsi="Arial"/>
          <w:color w:val="000000"/>
          <w:sz w:val="20"/>
          <w:szCs w:val="20"/>
        </w:rPr>
        <w:t xml:space="preserve">Respecter l'ensemble des obligations fiscales et sociales applicables aux travailleurs indépendants au Luxembourg.</w:t>
      </w:r>
    </w:p>
    <w:p>
      <w:pPr>
        <w:pStyle w:val="ListParagraph"/>
        <w:numPr>
          <w:ilvl w:val="0"/>
          <w:numId w:val="2"/>
        </w:numPr>
        <w:spacing w:after="60" w:before="0"/>
      </w:pPr>
      <w:r>
        <w:rPr>
          <w:rFonts w:ascii="Arial" w:cs="Arial" w:eastAsia="Arial" w:hAnsi="Arial"/>
          <w:color w:val="000000"/>
          <w:sz w:val="20"/>
          <w:szCs w:val="20"/>
        </w:rPr>
        <w:t xml:space="preserve">M'enregistrer auprès du Centre Commun de la Sécurité Sociale (CCSS) dès l'obtention de l'autorisation de séjour.</w:t>
      </w:r>
    </w:p>
    <w:p>
      <w:pPr>
        <w:pStyle w:val="ListParagraph"/>
        <w:numPr>
          <w:ilvl w:val="0"/>
          <w:numId w:val="2"/>
        </w:numPr>
        <w:spacing w:after="60" w:before="0"/>
      </w:pPr>
      <w:r>
        <w:rPr>
          <w:rFonts w:ascii="Arial" w:cs="Arial" w:eastAsia="Arial" w:hAnsi="Arial"/>
          <w:color w:val="000000"/>
          <w:sz w:val="20"/>
          <w:szCs w:val="20"/>
        </w:rPr>
        <w:t xml:space="preserve">Produire tout justificatif comptable requis par les autorités luxembourgeoises compétentes.</w:t>
      </w:r>
    </w:p>
    <w:p>
      <w:pPr>
        <w:pStyle w:val="ListParagraph"/>
        <w:numPr>
          <w:ilvl w:val="0"/>
          <w:numId w:val="2"/>
        </w:numPr>
        <w:spacing w:after="60" w:before="0"/>
      </w:pPr>
      <w:r>
        <w:rPr>
          <w:rFonts w:ascii="Arial" w:cs="Arial" w:eastAsia="Arial" w:hAnsi="Arial"/>
          <w:color w:val="000000"/>
          <w:sz w:val="20"/>
          <w:szCs w:val="20"/>
        </w:rPr>
        <w:t xml:space="preserve">Développer des partenariats durables avec les communes et établissements scolaires du territoire luxembourgeois.</w:t>
      </w:r>
    </w:p>
    <w:p>
      <w:pPr>
        <w:spacing w:after="20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5053"/>
        <w:gridCol w:w="5053"/>
      </w:tblGrid>
      <w:tr>
        <w:tc>
          <w:tcPr>
            <w:tcW w:type="dxa" w:w="5053"/>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000000"/>
                <w:sz w:val="20"/>
                <w:szCs w:val="20"/>
              </w:rPr>
              <w:t xml:space="preserve">Fait à Esch-sur-Alzette (Luxembourg), le ________ 2026</w:t>
            </w:r>
          </w:p>
          <w:p>
            <w:pPr>
              <w:spacing w:after="120" w:before="0"/>
              <w:jc w:val="left"/>
            </w:pPr>
            <w:r>
              <w:rPr>
                <w:rFonts w:ascii="Arial" w:cs="Arial" w:eastAsia="Arial" w:hAnsi="Arial"/>
                <w:b/>
                <w:bCs/>
                <w:color w:val="000000"/>
                <w:sz w:val="20"/>
                <w:szCs w:val="20"/>
              </w:rPr>
              <w:t xml:space="preserve">Signature :</w:t>
            </w:r>
          </w:p>
          <w:p>
            <w:pPr>
              <w:spacing w:after="40" w:before="0"/>
              <w:jc w:val="left"/>
            </w:pPr>
            <w:r>
              <w:rPr>
                <w:rFonts w:ascii="Arial" w:cs="Arial" w:eastAsia="Arial" w:hAnsi="Arial"/>
                <w:b/>
                <w:bCs/>
                <w:color w:val="1B3A6B"/>
                <w:sz w:val="22"/>
                <w:szCs w:val="22"/>
              </w:rPr>
              <w:t xml:space="preserve">Nathan Imogo</w:t>
            </w:r>
          </w:p>
          <w:p>
            <w:pPr>
              <w:spacing w:after="80" w:before="0"/>
              <w:jc w:val="left"/>
            </w:pPr>
            <w:r>
              <w:rPr>
                <w:rFonts w:ascii="Arial" w:cs="Arial" w:eastAsia="Arial" w:hAnsi="Arial"/>
                <w:i/>
                <w:iCs/>
                <w:color w:val="555555"/>
                <w:sz w:val="19"/>
                <w:szCs w:val="19"/>
              </w:rPr>
              <w:t xml:space="preserve">Travailleur indépendant | Ateliers 360</w:t>
            </w:r>
          </w:p>
        </w:tc>
        <w:tc>
          <w:tcPr>
            <w:tcW w:type="dxa" w:w="5053"/>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vAlign w:val="top"/>
          </w:tcPr>
          <w:p>
            <w:pPr>
              <w:spacing w:after="60" w:before="0"/>
              <w:jc w:val="left"/>
            </w:pPr>
            <w:r>
              <w:rPr>
                <w:rFonts w:ascii="Arial" w:cs="Arial" w:eastAsia="Arial" w:hAnsi="Arial"/>
                <w:b/>
                <w:bCs/>
                <w:color w:val="2D6FAF"/>
                <w:sz w:val="20"/>
                <w:szCs w:val="20"/>
              </w:rPr>
              <w:t xml:space="preserve">Contact</w:t>
            </w:r>
          </w:p>
          <w:p>
            <w:pPr>
              <w:spacing w:after="40" w:before="0"/>
              <w:jc w:val="left"/>
            </w:pPr>
            <w:r>
              <w:rPr>
                <w:rFonts w:ascii="Arial" w:cs="Arial" w:eastAsia="Arial" w:hAnsi="Arial"/>
                <w:color w:val="000000"/>
                <w:sz w:val="20"/>
                <w:szCs w:val="20"/>
              </w:rPr>
              <w:t xml:space="preserve">07 53 61 24 71</w:t>
            </w:r>
          </w:p>
          <w:p>
            <w:pPr>
              <w:spacing w:after="40" w:before="0"/>
              <w:jc w:val="left"/>
            </w:pPr>
            <w:r>
              <w:rPr>
                <w:rFonts w:ascii="Arial" w:cs="Arial" w:eastAsia="Arial" w:hAnsi="Arial"/>
                <w:color w:val="000000"/>
                <w:sz w:val="20"/>
                <w:szCs w:val="20"/>
              </w:rPr>
              <w:t xml:space="preserve">nathan.imogo@outlook.fr</w:t>
            </w:r>
          </w:p>
          <w:p>
            <w:pPr>
              <w:spacing w:after="40" w:before="0"/>
              <w:jc w:val="left"/>
            </w:pPr>
            <w:r>
              <w:rPr>
                <w:rFonts w:ascii="Arial" w:cs="Arial" w:eastAsia="Arial" w:hAnsi="Arial"/>
                <w:color w:val="2D6FAF"/>
                <w:sz w:val="20"/>
                <w:szCs w:val="20"/>
              </w:rPr>
              <w:t xml:space="preserve">www.ateliers360.fr</w:t>
            </w:r>
          </w:p>
          <w:p>
            <w:pPr>
              <w:spacing w:after="80" w:before="0"/>
              <w:jc w:val="left"/>
            </w:pPr>
            <w:r>
              <w:rPr>
                <w:rFonts w:ascii="Arial" w:cs="Arial" w:eastAsia="Arial" w:hAnsi="Arial"/>
                <w:color w:val="555555"/>
                <w:sz w:val="20"/>
                <w:szCs w:val="20"/>
              </w:rPr>
              <w:t xml:space="preserve">Esch-sur-Alzette, Luxembourg</w:t>
            </w:r>
          </w:p>
        </w:tc>
      </w:tr>
    </w:tbl>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d1be24edcd7d6380a238109c843cfba86c9f6b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2026-07-30T12:59:39.651Z</dcterms:created>
  <dcterms:modified xsi:type="dcterms:W3CDTF">2026-07-30T12:59:39.653Z</dcterms:modified>
</cp:coreProperties>
</file>

<file path=docProps/custom.xml><?xml version="1.0" encoding="utf-8"?>
<Properties xmlns="http://schemas.openxmlformats.org/officeDocument/2006/custom-properties" xmlns:vt="http://schemas.openxmlformats.org/officeDocument/2006/docPropsVTypes"/>
</file>