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571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710"/>
      </w:tblGrid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71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sz w:val="20"/>
                <w:szCs w:val="20"/>
                <w:rtl w:val="0"/>
                <w:lang w:val="fr-FR"/>
              </w:rPr>
              <w:t>Groupe</w:t>
            </w:r>
            <w:r>
              <w:rPr>
                <w:rStyle w:val="Aucune"/>
                <w:rFonts w:ascii="Arial" w:hAnsi="Arial" w:hint="default"/>
                <w:sz w:val="20"/>
                <w:szCs w:val="20"/>
                <w:rtl w:val="0"/>
                <w:lang w:val="fr-FR"/>
              </w:rPr>
              <w:t> </w:t>
            </w:r>
            <w:r>
              <w:rPr>
                <w:rStyle w:val="Aucune"/>
                <w:rFonts w:ascii="Arial" w:hAnsi="Arial"/>
                <w:sz w:val="20"/>
                <w:szCs w:val="20"/>
                <w:rtl w:val="0"/>
                <w:lang w:val="fr-FR"/>
              </w:rPr>
              <w:t>:</w:t>
            </w:r>
          </w:p>
        </w:tc>
      </w:tr>
    </w:tbl>
    <w:p>
      <w:pPr>
        <w:pStyle w:val="Normal.0"/>
        <w:ind w:left="216" w:hanging="216"/>
        <w:rPr>
          <w:rStyle w:val="Aucune"/>
          <w:rFonts w:ascii="Arial" w:cs="Arial" w:hAnsi="Arial" w:eastAsia="Arial"/>
        </w:rPr>
      </w:pPr>
    </w:p>
    <w:p>
      <w:pPr>
        <w:pStyle w:val="Text Body"/>
        <w:spacing w:after="0"/>
        <w:rPr>
          <w:rStyle w:val="Aucune"/>
          <w:rFonts w:ascii="Arial" w:cs="Arial" w:hAnsi="Arial" w:eastAsia="Arial"/>
          <w:sz w:val="20"/>
          <w:szCs w:val="20"/>
        </w:rPr>
      </w:pPr>
    </w:p>
    <w:p>
      <w:pPr>
        <w:pStyle w:val="Text Body"/>
        <w:spacing w:after="0"/>
      </w:pPr>
      <w:r>
        <w:rPr>
          <w:rStyle w:val="Aucune"/>
          <w:rFonts w:ascii="Arial" w:hAnsi="Arial"/>
          <w:b w:val="1"/>
          <w:bCs w:val="1"/>
          <w:sz w:val="20"/>
          <w:szCs w:val="20"/>
          <w:rtl w:val="0"/>
          <w:lang w:val="fr-FR"/>
        </w:rPr>
        <w:t>Fonctionnalit</w:t>
      </w:r>
      <w:r>
        <w:rPr>
          <w:rStyle w:val="Aucune"/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e"/>
          <w:rFonts w:ascii="Arial" w:hAnsi="Arial"/>
          <w:b w:val="1"/>
          <w:bCs w:val="1"/>
          <w:sz w:val="20"/>
          <w:szCs w:val="20"/>
          <w:rtl w:val="0"/>
          <w:lang w:val="fr-FR"/>
        </w:rPr>
        <w:t>s Syst</w:t>
      </w:r>
      <w:r>
        <w:rPr>
          <w:rStyle w:val="Aucune"/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è</w:t>
      </w:r>
      <w:r>
        <w:rPr>
          <w:rStyle w:val="Aucune"/>
          <w:rFonts w:ascii="Arial" w:hAnsi="Arial"/>
          <w:b w:val="1"/>
          <w:bCs w:val="1"/>
          <w:sz w:val="20"/>
          <w:szCs w:val="20"/>
          <w:rtl w:val="0"/>
          <w:lang w:val="fr-FR"/>
        </w:rPr>
        <w:t>me Partie 1</w:t>
      </w:r>
    </w:p>
    <w:tbl>
      <w:tblPr>
        <w:tblW w:w="1548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20"/>
        <w:gridCol w:w="3802"/>
        <w:gridCol w:w="3065"/>
      </w:tblGrid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b w:val="1"/>
                <w:bCs w:val="1"/>
                <w:i w:val="1"/>
                <w:iCs w:val="1"/>
                <w:sz w:val="18"/>
                <w:szCs w:val="18"/>
                <w:rtl w:val="0"/>
                <w:lang w:val="fr-FR"/>
              </w:rPr>
              <w:t>Fonctionnalit</w:t>
            </w:r>
            <w:r>
              <w:rPr>
                <w:rStyle w:val="Aucune"/>
                <w:rFonts w:ascii="Arial" w:hAnsi="Arial" w:hint="default"/>
                <w:b w:val="1"/>
                <w:bCs w:val="1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b w:val="1"/>
                <w:bCs w:val="1"/>
                <w:i w:val="1"/>
                <w:iCs w:val="1"/>
                <w:sz w:val="18"/>
                <w:szCs w:val="18"/>
                <w:rtl w:val="0"/>
                <w:lang w:val="fr-FR"/>
              </w:rPr>
              <w:t>s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 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R</w:t>
            </w:r>
            <w:r>
              <w:rPr>
                <w:rStyle w:val="Aucune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ponses</w:t>
            </w:r>
          </w:p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Partie r</w:t>
            </w:r>
            <w:r>
              <w:rPr>
                <w:rStyle w:val="Aucune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serv</w:t>
            </w:r>
            <w:r>
              <w:rPr>
                <w:rStyle w:val="Aucune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e Enseignant</w:t>
            </w:r>
          </w:p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Authentification (JWT, OAuth2, 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…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)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Bases de donn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es utilis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es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Canevas Web utilis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s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Nombre de ressources 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Nombre de Entity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Nombre de Schedule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Transaction XA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Echanges Client-Serveur (Websocket, REST, Stream (Kafka, RabbitMQ) ...)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Gestion des m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dias (BD, File Systems, Caches, CDN, ...)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Caching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Ouitls collaboratifs (scm git, bug tracker, code review,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…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)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M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thodologies de test (unitaire, int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gration, e2e, performance,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…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) 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Frameworks de test client (swagger, 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…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)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Performances : injection et supervision (JMeter, Gatling, 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…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)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Gestion des d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pendances (cot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serveur, cot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client,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…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)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Int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gration en continue/ D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ploiement en continue (CD-CI)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Livraison en continue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862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Cloud utilis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(Azure, AWS, Heroku, GCP, OVH, on premise ...)</w:t>
            </w:r>
          </w:p>
        </w:tc>
        <w:tc>
          <w:tcPr>
            <w:tcW w:type="dxa" w:w="380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Body"/>
        <w:spacing w:after="0" w:line="240" w:lineRule="auto"/>
        <w:ind w:left="216" w:hanging="216"/>
      </w:pPr>
    </w:p>
    <w:p>
      <w:pPr>
        <w:pStyle w:val="Text Body"/>
        <w:spacing w:after="0"/>
        <w:rPr>
          <w:rStyle w:val="Aucune"/>
          <w:rFonts w:ascii="Arial" w:cs="Arial" w:hAnsi="Arial" w:eastAsia="Arial"/>
          <w:sz w:val="20"/>
          <w:szCs w:val="20"/>
        </w:rPr>
      </w:pPr>
    </w:p>
    <w:p>
      <w:pPr>
        <w:pStyle w:val="Text Body"/>
        <w:spacing w:after="0"/>
      </w:pPr>
      <w:r>
        <w:rPr>
          <w:rStyle w:val="Aucune"/>
          <w:rFonts w:ascii="Arial" w:hAnsi="Arial"/>
          <w:b w:val="1"/>
          <w:bCs w:val="1"/>
          <w:sz w:val="20"/>
          <w:szCs w:val="20"/>
          <w:rtl w:val="0"/>
          <w:lang w:val="fr-FR"/>
        </w:rPr>
        <w:t>Fonctionnalit</w:t>
      </w:r>
      <w:r>
        <w:rPr>
          <w:rStyle w:val="Aucune"/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e"/>
          <w:rFonts w:ascii="Arial" w:hAnsi="Arial"/>
          <w:b w:val="1"/>
          <w:bCs w:val="1"/>
          <w:sz w:val="20"/>
          <w:szCs w:val="20"/>
          <w:rtl w:val="0"/>
          <w:lang w:val="fr-FR"/>
        </w:rPr>
        <w:t>s Syst</w:t>
      </w:r>
      <w:r>
        <w:rPr>
          <w:rStyle w:val="Aucune"/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è</w:t>
      </w:r>
      <w:r>
        <w:rPr>
          <w:rStyle w:val="Aucune"/>
          <w:rFonts w:ascii="Arial" w:hAnsi="Arial"/>
          <w:b w:val="1"/>
          <w:bCs w:val="1"/>
          <w:sz w:val="20"/>
          <w:szCs w:val="20"/>
          <w:rtl w:val="0"/>
          <w:lang w:val="fr-FR"/>
        </w:rPr>
        <w:t>me Partie 2</w:t>
      </w:r>
    </w:p>
    <w:tbl>
      <w:tblPr>
        <w:tblW w:w="1548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44"/>
        <w:gridCol w:w="3019"/>
        <w:gridCol w:w="3224"/>
      </w:tblGrid>
      <w:tr>
        <w:tblPrEx>
          <w:shd w:val="clear" w:color="auto" w:fill="ced7e7"/>
        </w:tblPrEx>
        <w:trPr>
          <w:trHeight w:val="479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rtl w:val="0"/>
                <w:lang w:val="fr-FR"/>
              </w:rPr>
              <w:t>Fonctionnalit</w:t>
            </w:r>
            <w:r>
              <w:rPr>
                <w:rStyle w:val="Aucune"/>
                <w:rFonts w:ascii="Arial" w:hAnsi="Arial" w:hint="default"/>
                <w:b w:val="1"/>
                <w:bCs w:val="1"/>
                <w:i w:val="1"/>
                <w:i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rtl w:val="0"/>
                <w:lang w:val="fr-FR"/>
              </w:rPr>
              <w:t xml:space="preserve">s 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R</w:t>
            </w:r>
            <w:r>
              <w:rPr>
                <w:rStyle w:val="Aucune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ponses (Non/Oui + commentaires si oui)</w:t>
            </w:r>
          </w:p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Partie r</w:t>
            </w:r>
            <w:r>
              <w:rPr>
                <w:rStyle w:val="Aucune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serv</w:t>
            </w:r>
            <w:r>
              <w:rPr>
                <w:rStyle w:val="Aucune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e Enseignant</w:t>
            </w:r>
          </w:p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Haute disponibilit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M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canismes pour le d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ploiement automatis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(Docker, Docker Compose, Kubernetes, Swarm, Rancher, ...)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D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ploiement automatis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sur une plateforme cloud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9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Interface CLI ou Shell pour l'administration et le bulk loading (initialisation du catalogue du service, l'ajout de nouveaux produits). Vous pouvez utiliser l'interface EJB facade directement ou bien une interface </w: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instrText xml:space="preserve"> HYPERLINK "http://air.imag.fr/index.php?title=RESTful&amp;action=edit&amp;redlink=1"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RESTful</w:t>
            </w:r>
            <w:r>
              <w:rPr/>
              <w:fldChar w:fldCharType="end" w:fldLock="0"/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. 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9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Gestion de l'internationalisation (i18n) des applications web et mobiles. Remarque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 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: vous pouvez utiliser les principes et outils appris dans l'UE Communication Langagi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è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re. 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Gestion de la confidentialit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avec </w: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instrText xml:space="preserve"> HYPERLINK "http://air.imag.fr/index.php?title=SSL/TLS&amp;action=edit&amp;redlink=1"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SSL/TLS</w:t>
            </w:r>
            <w:r>
              <w:rPr/>
              <w:fldChar w:fldCharType="end" w:fldLock="0"/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 lors des phases de login, signin, et de paiement, RGPD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Gestion de la concurrence et de la reprise sur panne avec des transactions ACID 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Gestion asynchrone et transactionnelle de l'envoi des courriels via AMPQ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Suivi du click stream avec des Filters en vue d'une analyse </w: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instrText xml:space="preserve"> HYPERLINK "http://air.imag.fr/index.php/Big_Data"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Big Data</w:t>
            </w:r>
            <w:r>
              <w:rPr/>
              <w:fldChar w:fldCharType="end" w:fldLock="0"/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 avec un </w: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instrText xml:space="preserve"> HYPERLINK "http://air.imag.fr/index.php?title=ESP&amp;action=edit&amp;redlink=1"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ESP</w:t>
            </w:r>
            <w:r>
              <w:rPr/>
              <w:fldChar w:fldCharType="end" w:fldLock="0"/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 (Click Analytics, </w: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instrText xml:space="preserve"> HYPERLINK "https://github.com/pmerienne/iterative-cf"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Recommender System</w:t>
            </w:r>
            <w:r>
              <w:rPr/>
              <w:fldChar w:fldCharType="end" w:fldLock="0"/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). 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Framework d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’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automatisation des tests (Junit, ...)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Int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gration en continue (par exemple avec Jenkins, </w: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instrText xml:space="preserve"> HYPERLINK "http://docs.travis-ci.com/user/languages/java/"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Travis-CI sur GitHub</w:t>
            </w:r>
            <w:r>
              <w:rPr/>
              <w:fldChar w:fldCharType="end" w:fldLock="0"/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) 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Livraison en continue (Rolling update)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Injection de Pannes (Netflix Simian Army, ...)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Reprise sur panne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Performances (r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sultat du injection de charge avec </w: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instrText xml:space="preserve"> HYPERLINK "http://air.imag.fr/index.php?title=Apache_JMeter&amp;action=edit&amp;redlink=1"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Apache JMeter</w:t>
            </w:r>
            <w:r>
              <w:rPr/>
              <w:fldChar w:fldCharType="end" w:fldLock="0"/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 ou Gatling)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Infrastructure de supervision du syst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è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me (Telegraf, Prometheus ...)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Validation des services REST (Swagger, ...)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Renseignement de la </w: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instrText xml:space="preserve"> HYPERLINK "http://air.imag.fr/index.php/Privacy_policy_guidelines"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 xml:space="preserve">notice relative </w:t>
            </w:r>
            <w:r>
              <w:rPr>
                <w:rStyle w:val="Hyperlink.0"/>
                <w:rFonts w:ascii="Arial" w:hAnsi="Arial" w:hint="default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 xml:space="preserve">à </w:t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la protection de la vie priv</w:t>
            </w:r>
            <w:r>
              <w:rPr>
                <w:rStyle w:val="Hyperlink.0"/>
                <w:rFonts w:ascii="Arial" w:hAnsi="Arial" w:hint="default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é</w:t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e</w:t>
            </w:r>
            <w:r>
              <w:rPr/>
              <w:fldChar w:fldCharType="end" w:fldLock="0"/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. (RGPD 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…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)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Utilisation de </w: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instrText xml:space="preserve"> HYPERLINK "http://air.imag.fr/index.php/OAuth"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OAuth</w:t>
            </w:r>
            <w:r>
              <w:rPr/>
              <w:fldChar w:fldCharType="end" w:fldLock="0"/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 ou </w: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instrText xml:space="preserve"> HYPERLINK "http://air.imag.fr/index.php/OpenID"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color w:val="000080"/>
                <w:sz w:val="18"/>
                <w:szCs w:val="18"/>
                <w:u w:val="single" w:color="000080"/>
                <w:lang w:val="fr-FR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color w:val="000080"/>
                <w:sz w:val="18"/>
                <w:szCs w:val="18"/>
                <w:u w:val="single" w:color="000080"/>
                <w:rtl w:val="0"/>
                <w:lang w:val="fr-FR"/>
              </w:rPr>
              <w:t>OpenID</w:t>
            </w:r>
            <w:r>
              <w:rPr/>
              <w:fldChar w:fldCharType="end" w:fldLock="0"/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 pour le login 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8" w:hRule="atLeast"/>
        </w:trPr>
        <w:tc>
          <w:tcPr>
            <w:tcW w:type="dxa" w:w="924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</w:pPr>
            <w:r>
              <w:rPr>
                <w:rStyle w:val="Aucune"/>
                <w:i w:val="1"/>
                <w:iCs w:val="1"/>
                <w:sz w:val="18"/>
                <w:szCs w:val="18"/>
                <w:rtl w:val="0"/>
                <w:lang w:val="en-US"/>
              </w:rPr>
              <w:t>Utilisation d</w:t>
            </w:r>
            <w:r>
              <w:rPr>
                <w:rStyle w:val="Aucune"/>
                <w:i w:val="1"/>
                <w:iCs w:val="1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Style w:val="Aucune"/>
                <w:i w:val="1"/>
                <w:iCs w:val="1"/>
                <w:sz w:val="18"/>
                <w:szCs w:val="18"/>
                <w:rtl w:val="0"/>
                <w:lang w:val="en-US"/>
              </w:rPr>
              <w:t>API tiers (Stripe, PubNub, Firebase, Google analytics, GeoIP, Criteo</w:t>
            </w:r>
            <w:r>
              <w:rPr>
                <w:rStyle w:val="Aucune"/>
                <w:i w:val="1"/>
                <w:iCs w:val="1"/>
                <w:sz w:val="18"/>
                <w:szCs w:val="18"/>
                <w:rtl w:val="0"/>
                <w:lang w:val="en-US"/>
              </w:rPr>
              <w:t>…</w:t>
            </w:r>
            <w:r>
              <w:rPr>
                <w:rStyle w:val="Aucune"/>
                <w:i w:val="1"/>
                <w:iCs w:val="1"/>
                <w:sz w:val="18"/>
                <w:szCs w:val="18"/>
                <w:rtl w:val="0"/>
                <w:lang w:val="en-US"/>
              </w:rPr>
              <w:t>)</w:t>
            </w:r>
          </w:p>
        </w:tc>
        <w:tc>
          <w:tcPr>
            <w:tcW w:type="dxa" w:w="3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481" w:hRule="atLeast"/>
        </w:trPr>
        <w:tc>
          <w:tcPr>
            <w:tcW w:type="dxa" w:w="12263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ody"/>
              <w:spacing w:after="0"/>
            </w:pP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Autres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  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(listez les autres fonctionnalit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s int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gr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es)</w:t>
            </w:r>
            <w:r>
              <w:rPr>
                <w:rStyle w:val="Aucune"/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fr-FR"/>
              </w:rPr>
              <w:t> </w:t>
            </w:r>
            <w:r>
              <w:rPr>
                <w:rStyle w:val="Aucune"/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:</w:t>
            </w:r>
          </w:p>
        </w:tc>
        <w:tc>
          <w:tcPr>
            <w:tcW w:type="dxa" w:w="322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Body"/>
        <w:spacing w:after="0" w:line="240" w:lineRule="auto"/>
        <w:ind w:left="216" w:hanging="216"/>
      </w:pPr>
      <w:r/>
    </w:p>
    <w:sectPr>
      <w:headerReference w:type="default" r:id="rId4"/>
      <w:footerReference w:type="default" r:id="rId5"/>
      <w:pgSz w:w="16840" w:h="11900" w:orient="landscape"/>
      <w:pgMar w:top="567" w:right="567" w:bottom="1126" w:left="567" w:header="720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5686"/>
        <w:tab w:val="clear" w:pos="15704"/>
      </w:tabs>
    </w:pPr>
    <w:r>
      <w:rPr>
        <w:rtl w:val="0"/>
        <w:lang w:val="fr-FR"/>
      </w:rPr>
      <w:t>Groupe &amp; Th</w:t>
    </w:r>
    <w:r>
      <w:rPr>
        <w:rtl w:val="0"/>
        <w:lang w:val="fr-FR"/>
      </w:rPr>
      <w:t>è</w:t>
    </w:r>
    <w:r>
      <w:rPr>
        <w:rtl w:val="0"/>
        <w:lang w:val="fr-FR"/>
      </w:rPr>
      <w:t>me du service</w:t>
    </w:r>
    <w:r>
      <w:rPr>
        <w:rtl w:val="0"/>
        <w:lang w:val="fr-FR"/>
      </w:rPr>
      <w:t> </w:t>
    </w:r>
    <w:r>
      <w:rPr>
        <w:rtl w:val="0"/>
        <w:lang w:val="fr-FR"/>
      </w:rPr>
      <w:t xml:space="preserve">: </w:t>
      <w:tab/>
      <w:tab/>
      <w:t>p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7852"/>
        <w:tab w:val="right" w:pos="157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fr-FR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fr-FR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fr-FR"/>
    </w:rPr>
  </w:style>
  <w:style w:type="character" w:styleId="Aucune">
    <w:name w:val="Aucune"/>
    <w:rPr>
      <w:lang w:val="fr-FR"/>
    </w:rPr>
  </w:style>
  <w:style w:type="character" w:styleId="Hyperlink.0">
    <w:name w:val="Hyperlink.0"/>
    <w:basedOn w:val="Aucune"/>
    <w:next w:val="Hyperlink.0"/>
    <w:rPr>
      <w:rFonts w:ascii="Arial" w:cs="Arial" w:hAnsi="Arial" w:eastAsia="Arial"/>
      <w:i w:val="1"/>
      <w:iCs w:val="1"/>
      <w:color w:val="000080"/>
      <w:sz w:val="18"/>
      <w:szCs w:val="18"/>
      <w:u w:val="single" w:color="000080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