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Nome: </w:t>
      </w:r>
      <w:r>
        <w:rPr>
          <w:rFonts w:ascii="Arial" w:hAnsi="Arial" w:cs="Arial"/>
          <w:b/>
          <w:color w:val="ff0000"/>
        </w:rPr>
        <w:t>XXXX</w:t>
      </w:r>
      <w:r>
        <w:rPr>
          <w:rFonts w:ascii="Arial" w:hAnsi="Arial" w:cs="Arial"/>
          <w:b/>
          <w:color w:val="ff0000"/>
        </w:rPr>
      </w:r>
    </w:p>
    <w:p>
      <w:pPr>
        <w:rPr>
          <w:rFonts w:ascii="Arial" w:hAnsi="Arial" w:cs="Arial"/>
          <w:b/>
        </w:rPr>
      </w:pPr>
      <w:r>
        <w:rPr>
          <w:rFonts w:ascii="Arial" w:hAnsi="Arial" w:eastAsia="Times New Roman" w:cs="Arial"/>
          <w:szCs w:val="20"/>
        </w:rPr>
        <w:t>O acrônimo em inglês VARK representa: V (</w:t>
      </w:r>
      <w:r>
        <w:rPr>
          <w:rFonts w:ascii="Arial" w:hAnsi="Arial" w:eastAsia="Times New Roman" w:cs="Arial"/>
          <w:i/>
          <w:szCs w:val="20"/>
        </w:rPr>
        <w:t>Visual</w:t>
      </w:r>
      <w:r>
        <w:rPr>
          <w:rFonts w:ascii="Arial" w:hAnsi="Arial" w:eastAsia="Times New Roman" w:cs="Arial"/>
          <w:szCs w:val="20"/>
        </w:rPr>
        <w:t>), A (</w:t>
      </w:r>
      <w:r>
        <w:rPr>
          <w:rFonts w:ascii="Arial" w:hAnsi="Arial" w:eastAsia="Times New Roman" w:cs="Arial"/>
          <w:i/>
          <w:szCs w:val="20"/>
        </w:rPr>
        <w:t>Aural</w:t>
      </w:r>
      <w:r>
        <w:rPr>
          <w:rFonts w:ascii="Arial" w:hAnsi="Arial" w:eastAsia="Times New Roman" w:cs="Arial"/>
          <w:szCs w:val="20"/>
        </w:rPr>
        <w:t>), R (</w:t>
      </w:r>
      <w:r>
        <w:rPr>
          <w:rFonts w:ascii="Arial" w:hAnsi="Arial" w:eastAsia="Times New Roman" w:cs="Arial"/>
          <w:i/>
          <w:szCs w:val="20"/>
        </w:rPr>
        <w:t>Read/Write</w:t>
      </w:r>
      <w:r>
        <w:rPr>
          <w:rFonts w:ascii="Arial" w:hAnsi="Arial" w:eastAsia="Times New Roman" w:cs="Arial"/>
          <w:szCs w:val="20"/>
        </w:rPr>
        <w:t>) e K (</w:t>
      </w:r>
      <w:r>
        <w:rPr>
          <w:rFonts w:ascii="Arial" w:hAnsi="Arial" w:eastAsia="Times New Roman" w:cs="Arial"/>
          <w:i/>
          <w:szCs w:val="20"/>
        </w:rPr>
        <w:t>Kinesthetic</w:t>
      </w:r>
      <w:r>
        <w:rPr>
          <w:rFonts w:ascii="Arial" w:hAnsi="Arial" w:eastAsia="Times New Roman" w:cs="Arial"/>
          <w:szCs w:val="20"/>
        </w:rPr>
        <w:t xml:space="preserve">). </w:t>
      </w:r>
      <w:r>
        <w:rPr>
          <w:rFonts w:ascii="Arial" w:hAnsi="Arial" w:cs="Arial"/>
          <w:b/>
        </w:rPr>
        <w:t>Cálculo</w:t>
      </w:r>
      <w:r>
        <w:rPr>
          <w:rFonts w:ascii="Arial" w:hAnsi="Arial" w:cs="Arial"/>
          <w:b/>
        </w:rPr>
        <w:t xml:space="preserve"> da pontuação obtida em relação às respostas.</w:t>
      </w:r>
      <w:r>
        <w:rPr>
          <w:rFonts w:ascii="Arial" w:hAnsi="Arial" w:cs="Arial"/>
          <w:b/>
        </w:rPr>
      </w:r>
    </w:p>
    <w:tbl>
      <w:tblPr>
        <w:tblStyle w:val="TableGrid"/>
        <w:name w:val="Tabela1"/>
        <w:tabOrder w:val="0"/>
        <w:jc w:val="left"/>
        <w:tblInd w:w="0" w:type="dxa"/>
        <w:tblW w:w="3652" w:type="dxa"/>
        <w:tblLook w:val="04A0" w:firstRow="1" w:lastRow="0" w:firstColumn="1" w:lastColumn="0" w:noHBand="0" w:noVBand="1"/>
      </w:tblPr>
      <w:tblGrid>
        <w:gridCol w:w="2518"/>
        <w:gridCol w:w="1134"/>
      </w:tblGrid>
      <w:tr>
        <w:trPr>
          <w:cantSplit w:val="0"/>
          <w:trHeight w:val="0" w:hRule="auto"/>
        </w:trPr>
        <w:tc>
          <w:tcPr>
            <w:tcW w:w="2518" w:type="dxa"/>
            <w:tmTcPr id="1636076836" protected="0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de V circulados </w:t>
            </w:r>
          </w:p>
        </w:tc>
        <w:tc>
          <w:tcPr>
            <w:tcW w:w="1134" w:type="dxa"/>
            <w:tmTcPr id="1636076836" protected="0"/>
          </w:tcPr>
          <w:p>
            <w:pPr>
              <w:spacing/>
              <w:jc w:val="center"/>
              <w:rPr>
                <w:rFonts w:ascii="Arial" w:hAnsi="Arial" w:cs="Arial"/>
                <w:b/>
              </w:rPr>
            </w:pPr>
            <w:r/>
            <w:bookmarkStart w:id="0" w:name="_GoBack"/>
            <w:bookmarkEnd w:id="0"/>
            <w:r/>
            <w:r>
              <w:rPr>
                <w:rFonts w:ascii="Arial" w:hAnsi="Arial" w:cs="Arial"/>
                <w:b/>
              </w:rPr>
              <w:t>xx</w:t>
            </w:r>
          </w:p>
        </w:tc>
      </w:tr>
      <w:tr>
        <w:trPr>
          <w:cantSplit w:val="0"/>
          <w:trHeight w:val="0" w:hRule="auto"/>
        </w:trPr>
        <w:tc>
          <w:tcPr>
            <w:tcW w:w="2518" w:type="dxa"/>
            <w:tmTcPr id="1636076836" protected="0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de A circuladas</w:t>
            </w:r>
          </w:p>
        </w:tc>
        <w:tc>
          <w:tcPr>
            <w:tcW w:w="1134" w:type="dxa"/>
            <w:tmTcPr id="1636076836" protected="0"/>
          </w:tcPr>
          <w:p>
            <w:pPr/>
            <w:r>
              <w:t>xx</w:t>
            </w:r>
          </w:p>
        </w:tc>
      </w:tr>
      <w:tr>
        <w:trPr>
          <w:cantSplit w:val="0"/>
          <w:trHeight w:val="0" w:hRule="auto"/>
        </w:trPr>
        <w:tc>
          <w:tcPr>
            <w:tcW w:w="2518" w:type="dxa"/>
            <w:tmTcPr id="1636076836" protected="0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de R circulados</w:t>
            </w:r>
          </w:p>
        </w:tc>
        <w:tc>
          <w:tcPr>
            <w:tcW w:w="1134" w:type="dxa"/>
            <w:tmTcPr id="1636076836" protected="0"/>
          </w:tcPr>
          <w:p>
            <w:pPr/>
            <w:r>
              <w:t>xx</w:t>
            </w:r>
          </w:p>
        </w:tc>
      </w:tr>
      <w:tr>
        <w:trPr>
          <w:cantSplit w:val="0"/>
          <w:trHeight w:val="0" w:hRule="auto"/>
        </w:trPr>
        <w:tc>
          <w:tcPr>
            <w:tcW w:w="2518" w:type="dxa"/>
            <w:tmTcPr id="1636076836" protected="0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de K circulados</w:t>
            </w:r>
          </w:p>
        </w:tc>
        <w:tc>
          <w:tcPr>
            <w:tcW w:w="1134" w:type="dxa"/>
            <w:tmTcPr id="1636076836" protected="0"/>
          </w:tcPr>
          <w:p>
            <w:pPr/>
            <w:r>
              <w:t>xx</w:t>
            </w:r>
          </w:p>
        </w:tc>
      </w:tr>
    </w:tbl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Seu Estilo de Aprendizagem predominante é: </w:t>
      </w:r>
      <w:r>
        <w:rPr>
          <w:rFonts w:ascii="Arial" w:hAnsi="Arial" w:cs="Arial"/>
          <w:b/>
          <w:color w:val="ff0000"/>
          <w:sz w:val="20"/>
          <w:szCs w:val="20"/>
          <w:u w:color="auto" w:val="single"/>
        </w:rPr>
        <w:t>xxxx</w:t>
      </w:r>
      <w:r>
        <w:rPr>
          <w:rFonts w:ascii="Arial" w:hAnsi="Arial" w:cs="Arial"/>
          <w:b/>
          <w:color w:val="ff0000"/>
          <w:sz w:val="20"/>
          <w:szCs w:val="20"/>
        </w:rPr>
        <w:t>.</w:t>
      </w:r>
    </w:p>
    <w:p>
      <w:pPr>
        <w: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Visual:</w:t>
      </w:r>
      <w:r>
        <w:rPr>
          <w:rFonts w:ascii="Arial" w:hAnsi="Arial" w:cs="Arial"/>
          <w:sz w:val="20"/>
          <w:szCs w:val="20"/>
        </w:rPr>
        <w:t xml:space="preserve"> Pessoas desse estilo de aprendizagem preferem aprender utilizando recursos gráficos, ou seja, símbolos visuais para apresentar conceitos, raciocínios ou ideias e as relações entre esses recursos. </w:t>
      </w:r>
    </w:p>
    <w:p>
      <w:pPr>
        <w:pStyle w:val="para1"/>
        <w:numPr>
          <w:ilvl w:val="0"/>
          <w:numId w:val="2"/>
        </w:numPr>
        <w:ind w:left="72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Algumas atividades:</w:t>
      </w:r>
      <w:r>
        <w:rPr>
          <w:rFonts w:ascii="Arial" w:hAnsi="Arial" w:cs="Arial"/>
          <w:sz w:val="20"/>
          <w:szCs w:val="20"/>
        </w:rPr>
        <w:t xml:space="preserve"> mapas, diagramas, gráficos, esquemas, cores, textos escritos com destaques em cores e fontes, diferentes fontes em relação a cores e tamanho, desenhos, mapas mentais e/ou mapa conceitual. </w:t>
      </w:r>
    </w:p>
    <w:p>
      <w:pPr>
        <w:pStyle w:val="para1"/>
        <w:numPr>
          <w:ilvl w:val="0"/>
          <w:numId w:val="2"/>
        </w:numPr>
        <w:ind w:left="72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Estratégias</w:t>
      </w:r>
      <w:r>
        <w:rPr>
          <w:rFonts w:ascii="Arial" w:hAnsi="Arial" w:cs="Arial"/>
          <w:sz w:val="20"/>
          <w:szCs w:val="20"/>
        </w:rPr>
        <w:t xml:space="preserve">: Utilizar imagens para ajudar recordar ideias ou conceitos. Mapas mentais e/ou conceituais podem ser uma maneira intuitiva para representar um fluxo de pensamento. </w:t>
      </w:r>
      <w:r>
        <w:rPr>
          <w:rFonts w:ascii="Arial" w:hAnsi="Arial" w:cs="Arial"/>
          <w:i/>
          <w:sz w:val="20"/>
          <w:szCs w:val="20"/>
        </w:rPr>
        <w:t>Flashcards</w:t>
      </w:r>
      <w:r>
        <w:rPr>
          <w:rFonts w:ascii="Arial" w:hAnsi="Arial" w:cs="Arial"/>
          <w:sz w:val="20"/>
          <w:szCs w:val="20"/>
        </w:rPr>
        <w:t xml:space="preserve"> (conjunto de cartões que trazem informações, como palavras ou números, em um ou em ambos os lados) com imagens pode ser muito útil no estudo e memorização.</w:t>
      </w:r>
    </w:p>
    <w:p>
      <w:pPr>
        <w: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</w:p>
    <w:p>
      <w:pPr>
        <w: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Auditivo: </w:t>
      </w:r>
      <w:r>
        <w:rPr>
          <w:rFonts w:ascii="Arial" w:hAnsi="Arial" w:cs="Arial"/>
          <w:sz w:val="20"/>
          <w:szCs w:val="20"/>
        </w:rPr>
        <w:t xml:space="preserve">Pessoas desse estilo de aprendizagem preferem ouvir e falar. Utilizam variações no tom de voz de quem fala para recordar e entender a mensagem. </w:t>
      </w:r>
    </w:p>
    <w:p>
      <w:pPr>
        <w:pStyle w:val="para1"/>
        <w:numPr>
          <w:ilvl w:val="0"/>
          <w:numId w:val="2"/>
        </w:numPr>
        <w:ind w:left="72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Algumas atividades</w:t>
      </w:r>
      <w:r>
        <w:rPr>
          <w:rFonts w:ascii="Arial" w:hAnsi="Arial" w:cs="Arial"/>
          <w:sz w:val="20"/>
          <w:szCs w:val="20"/>
        </w:rPr>
        <w:t xml:space="preserve">: palestras, apresentações, </w:t>
      </w:r>
      <w:r>
        <w:rPr>
          <w:rFonts w:ascii="Arial" w:hAnsi="Arial" w:cs="Arial"/>
          <w:i/>
          <w:sz w:val="20"/>
          <w:szCs w:val="20"/>
        </w:rPr>
        <w:t>podcasts</w:t>
      </w:r>
      <w:r>
        <w:rPr>
          <w:rFonts w:ascii="Arial" w:hAnsi="Arial" w:cs="Arial"/>
          <w:sz w:val="20"/>
          <w:szCs w:val="20"/>
        </w:rPr>
        <w:t>, grupos de discussão, programas de rádio, telefone, conversas, vídeo + áudio, seminários e música.</w:t>
      </w:r>
    </w:p>
    <w:p>
      <w:pPr>
        <w:pStyle w:val="para1"/>
        <w:numPr>
          <w:ilvl w:val="0"/>
          <w:numId w:val="2"/>
        </w:numPr>
        <w:ind w:left="72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Estratégias</w:t>
      </w:r>
      <w:r>
        <w:rPr>
          <w:rFonts w:ascii="Arial" w:hAnsi="Arial" w:cs="Arial"/>
          <w:sz w:val="20"/>
          <w:szCs w:val="20"/>
        </w:rPr>
        <w:t>: Gravar as aulas e estudar o conteúdo posteriormente e complementar os estudos com vídeos disponíveis na internet. Incluir vídeos ou arquivos de voz as suas anotações. Esse estilo de aprendizagem, teoricamente seja o que mais representa o modelo tradicional de estudo na sala de aula.</w:t>
      </w:r>
    </w:p>
    <w:p>
      <w:pPr>
        <w:pStyle w:val="para1"/>
        <w: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</w:p>
    <w:p>
      <w:pPr>
        <w: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Leitor/Escritor: </w:t>
      </w:r>
      <w:r>
        <w:rPr>
          <w:rFonts w:ascii="Arial" w:hAnsi="Arial" w:cs="Arial"/>
          <w:sz w:val="20"/>
          <w:szCs w:val="20"/>
        </w:rPr>
        <w:t xml:space="preserve">Pessoas desse estilo de aprendizagem preferem as informações apresentadas por meio de palavras na forma de texto, como artigos, manuais e relatórios. </w:t>
      </w:r>
    </w:p>
    <w:p>
      <w:pPr>
        <w:pStyle w:val="para1"/>
        <w:numPr>
          <w:ilvl w:val="0"/>
          <w:numId w:val="1"/>
        </w:numPr>
        <w:ind w:left="72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Algumas atividades:</w:t>
      </w:r>
      <w:r>
        <w:rPr>
          <w:rFonts w:ascii="Arial" w:hAnsi="Arial" w:cs="Arial"/>
          <w:sz w:val="20"/>
          <w:szCs w:val="20"/>
        </w:rPr>
        <w:t xml:space="preserve"> dicionários, periódicos, enciclopédias, páginas da internet que apresenta muito texto escrito, livros, textos, apostilas, leitura, feedback por escrito, anotações e redação.</w:t>
      </w:r>
    </w:p>
    <w:p>
      <w:pPr>
        <w:pStyle w:val="para1"/>
        <w:numPr>
          <w:ilvl w:val="0"/>
          <w:numId w:val="1"/>
        </w:numPr>
        <w:ind w:left="72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Estratégias:</w:t>
      </w:r>
      <w:r>
        <w:rPr>
          <w:rFonts w:ascii="Arial" w:hAnsi="Arial" w:cs="Arial"/>
          <w:sz w:val="20"/>
          <w:szCs w:val="20"/>
        </w:rPr>
        <w:t xml:space="preserve"> Organizar o conhecimento no formato de listas, glossários e notas, inclusive transformando gráficos e diagramas em frases escritas. Sugere-se a leitura do material e a reescrita do mesmo de maneira diferente. Esse estilo de aprendizagem é o mais popular no ambiente acadêmico, em que ler e escrever são habilidades valorizadas por professores e alunos. </w:t>
      </w:r>
    </w:p>
    <w:p>
      <w:pPr>
        <w:pStyle w:val="para1"/>
        <w: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</w:p>
    <w:p>
      <w:pPr>
        <w: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Cinestésico:</w:t>
      </w:r>
      <w:r>
        <w:rPr>
          <w:rFonts w:ascii="Arial" w:hAnsi="Arial" w:cs="Arial"/>
          <w:sz w:val="20"/>
          <w:szCs w:val="20"/>
        </w:rPr>
        <w:t xml:space="preserve"> Pessoas desse estilo de aprendizagem </w:t>
      </w:r>
      <w:r>
        <w:rPr>
          <w:rFonts w:ascii="Arial" w:hAnsi="Arial" w:eastAsia="Times New Roman" w:cs="Arial"/>
          <w:sz w:val="20"/>
          <w:szCs w:val="20"/>
        </w:rPr>
        <w:t>preferem atividades práticas</w:t>
      </w:r>
      <w:r>
        <w:rPr>
          <w:rFonts w:ascii="Arial" w:hAnsi="Arial" w:cs="Arial"/>
          <w:sz w:val="20"/>
          <w:szCs w:val="20"/>
        </w:rPr>
        <w:t xml:space="preserve"> e movimentos. Caracterizam-se pessoas que utilizam o corpo para criar ou fazer algo.</w:t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Algumas atividades</w:t>
      </w:r>
      <w:r>
        <w:rPr>
          <w:rFonts w:ascii="Arial" w:hAnsi="Arial" w:cs="Arial"/>
          <w:sz w:val="20"/>
          <w:szCs w:val="20"/>
        </w:rPr>
        <w:t xml:space="preserve">: executar ao contrário de ver ou ouvir os outros fazendo, palestras, demonstrações, atividade esportiva, encenação, atividades com experiências em laboratórios, </w:t>
      </w:r>
      <w:r>
        <w:rPr>
          <w:rFonts w:ascii="Arial" w:hAnsi="Arial" w:cs="Arial"/>
          <w:i/>
          <w:sz w:val="20"/>
          <w:szCs w:val="20"/>
        </w:rPr>
        <w:t xml:space="preserve">role playing </w:t>
      </w:r>
      <w:r>
        <w:rPr>
          <w:rFonts w:ascii="Arial" w:hAnsi="Arial" w:cs="Arial"/>
          <w:sz w:val="20"/>
          <w:szCs w:val="20"/>
        </w:rPr>
        <w:t>(é um jogo em que os jogadores as vezes fingem ser outra pessoa, em épocas diferentes ou nos dias atuais), e qualquer outra atividade que possibilita o movimento do corpo.</w:t>
      </w:r>
    </w:p>
    <w:p>
      <w:pPr>
        <w:pStyle w:val="para1"/>
        <w: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Estratégias: </w:t>
      </w:r>
      <w:r>
        <w:rPr>
          <w:rFonts w:ascii="Arial" w:hAnsi="Arial" w:cs="Arial"/>
          <w:sz w:val="20"/>
          <w:szCs w:val="20"/>
        </w:rPr>
        <w:t>Organizar as informações de seu modo para ajudar nos estudos. Construir um ambiente imersivo de estudo (por exemplo: simulador da vida real em ambientes virtuais). Pessoas desse estilo de aprendizagem possui muita energia e geralmente realizam outras atividades paralelas ao processo de aprendizado.</w:t>
      </w:r>
    </w:p>
    <w:p>
      <w:pPr>
        <w:spacing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144"/>
    </w:tmLastPosCaret>
    <w:tmLastPosAnchor>
      <w:tmLastPosPgfIdx w:val="0"/>
      <w:tmLastPosIdx w:val="0"/>
    </w:tmLastPosAnchor>
    <w:tmLastPosTblRect w:left="0" w:top="0" w:right="0" w:bottom="0"/>
  </w:tmLastPos>
  <w:tmAppRevision w:date="163607683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Franciene</dc:creator>
  <cp:keywords/>
  <dc:description/>
  <cp:lastModifiedBy/>
  <cp:revision>3</cp:revision>
  <dcterms:created xsi:type="dcterms:W3CDTF">2021-10-27T21:22:00Z</dcterms:created>
  <dcterms:modified xsi:type="dcterms:W3CDTF">2021-11-05T01:47:16Z</dcterms:modified>
</cp:coreProperties>
</file>