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8C8A" w14:textId="2736D3AA" w:rsidR="002340B9" w:rsidRDefault="002340B9">
      <w:r>
        <w:t>Determination of freezing point depression and eutectic point of p-dichlorobenzene and naphthalene mixture</w:t>
      </w:r>
    </w:p>
    <w:p w14:paraId="38CB22C8" w14:textId="785E4046" w:rsidR="002340B9" w:rsidRDefault="002340B9">
      <w:r>
        <w:t>Nathan Gillispie. Lab Partners: Chloe Jones, Brian Kellogg</w:t>
      </w:r>
    </w:p>
    <w:p w14:paraId="5DFD2896" w14:textId="24873559" w:rsidR="002340B9" w:rsidRDefault="002340B9">
      <w:r>
        <w:t>Date of experiment: October 12, 2022</w:t>
      </w:r>
    </w:p>
    <w:p w14:paraId="7E643B0C" w14:textId="0B129739" w:rsidR="0096679E" w:rsidRPr="00760201" w:rsidRDefault="0096679E">
      <w:pPr>
        <w:rPr>
          <w:sz w:val="32"/>
          <w:szCs w:val="32"/>
        </w:rPr>
      </w:pPr>
      <w:r w:rsidRPr="00760201">
        <w:rPr>
          <w:sz w:val="32"/>
          <w:szCs w:val="32"/>
        </w:rPr>
        <w:t>Intro</w:t>
      </w:r>
      <w:r w:rsidR="008E1463">
        <w:rPr>
          <w:sz w:val="32"/>
          <w:szCs w:val="32"/>
        </w:rPr>
        <w:t>duction</w:t>
      </w:r>
    </w:p>
    <w:p w14:paraId="0FF24505" w14:textId="530BB336" w:rsidR="00752D89" w:rsidRDefault="00752D89" w:rsidP="008E1463">
      <w:pPr>
        <w:ind w:firstLine="720"/>
      </w:pPr>
      <w:r>
        <w:t xml:space="preserve">The melting point </w:t>
      </w:r>
      <w:r w:rsidR="00922A65">
        <w:t>of a pure substance is decreased by impurities given by the equation</w:t>
      </w:r>
      <w:r w:rsidR="00954F97">
        <w:t>:</w:t>
      </w:r>
    </w:p>
    <w:p w14:paraId="4F84568A" w14:textId="6D8E1862" w:rsidR="00922A65" w:rsidRDefault="00922A65" w:rsidP="00922A65">
      <w:pPr>
        <w:jc w:val="center"/>
      </w:pPr>
      <w:r>
        <w:t>ΔT=</w:t>
      </w:r>
      <w:proofErr w:type="spellStart"/>
      <w:r>
        <w:t>K</w:t>
      </w:r>
      <w:r w:rsidRPr="00922A65">
        <w:rPr>
          <w:vertAlign w:val="subscript"/>
        </w:rPr>
        <w:t>f</w:t>
      </w:r>
      <w:r>
        <w:t>m</w:t>
      </w:r>
      <w:proofErr w:type="spellEnd"/>
    </w:p>
    <w:p w14:paraId="7F4A5106" w14:textId="2F8291CA" w:rsidR="00922A65" w:rsidRDefault="00922A65" w:rsidP="00922A65">
      <w:pPr>
        <w:jc w:val="right"/>
      </w:pPr>
      <w:r>
        <w:t>(1)</w:t>
      </w:r>
    </w:p>
    <w:p w14:paraId="4E36A3B5" w14:textId="7FCFAC81" w:rsidR="00922A65" w:rsidRDefault="00954F97" w:rsidP="00922A65">
      <w:pPr>
        <w:jc w:val="left"/>
      </w:pPr>
      <w:r>
        <w:t>w</w:t>
      </w:r>
      <w:r w:rsidR="00922A65">
        <w:t xml:space="preserve">here </w:t>
      </w:r>
      <w:proofErr w:type="spellStart"/>
      <w:r w:rsidR="00922A65">
        <w:t>K</w:t>
      </w:r>
      <w:r w:rsidR="00922A65" w:rsidRPr="00922A65">
        <w:rPr>
          <w:vertAlign w:val="subscript"/>
        </w:rPr>
        <w:t>f</w:t>
      </w:r>
      <w:proofErr w:type="spellEnd"/>
      <w:r w:rsidR="00922A65">
        <w:rPr>
          <w:vertAlign w:val="subscript"/>
        </w:rPr>
        <w:t xml:space="preserve"> </w:t>
      </w:r>
      <w:r w:rsidR="00922A65">
        <w:t xml:space="preserve">is the cryoscopic constant and m is the molality of solute. </w:t>
      </w:r>
      <w:r>
        <w:t xml:space="preserve">Note that the identity of the solute is not required. </w:t>
      </w:r>
      <w:r w:rsidR="00922A65">
        <w:t xml:space="preserve">ΔT is </w:t>
      </w:r>
      <w:r>
        <w:t xml:space="preserve">how much the </w:t>
      </w:r>
      <w:r w:rsidR="00922A65">
        <w:t xml:space="preserve">melting point is lowered from its pure value. </w:t>
      </w:r>
      <w:r w:rsidR="00260EAE">
        <w:t>The cryoscopic</w:t>
      </w:r>
      <w:r w:rsidR="00922A65">
        <w:t xml:space="preserve"> constant</w:t>
      </w:r>
      <w:r w:rsidR="00260EAE">
        <w:t xml:space="preserve"> is typically tabulated but</w:t>
      </w:r>
      <w:r w:rsidR="00922A65">
        <w:t xml:space="preserve"> can </w:t>
      </w:r>
      <w:r w:rsidR="00352213">
        <w:t>be calculated using the following formula:</w:t>
      </w:r>
    </w:p>
    <w:p w14:paraId="4D98D780" w14:textId="7D50AC3F" w:rsidR="00352213" w:rsidRPr="00352213" w:rsidRDefault="00352213" w:rsidP="00922A65">
      <w:pPr>
        <w:jc w:val="left"/>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MR</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num>
            <m:den>
              <m:sSub>
                <m:sSubPr>
                  <m:ctrlPr>
                    <w:rPr>
                      <w:rFonts w:ascii="Cambria Math" w:hAnsi="Cambria Math"/>
                    </w:rPr>
                  </m:ctrlPr>
                </m:sSubPr>
                <m:e>
                  <m:r>
                    <m:rPr>
                      <m:sty m:val="p"/>
                    </m:rPr>
                    <w:rPr>
                      <w:rFonts w:ascii="Cambria Math" w:hAnsi="Cambria Math"/>
                    </w:rPr>
                    <m:t>ΔH</m:t>
                  </m:r>
                </m:e>
                <m:sub>
                  <m:r>
                    <w:rPr>
                      <w:rFonts w:ascii="Cambria Math" w:hAnsi="Cambria Math"/>
                    </w:rPr>
                    <m:t>fus</m:t>
                  </m:r>
                </m:sub>
              </m:sSub>
            </m:den>
          </m:f>
        </m:oMath>
      </m:oMathPara>
    </w:p>
    <w:p w14:paraId="1AECD57D" w14:textId="1D9D1E3E" w:rsidR="00352213" w:rsidRDefault="00352213" w:rsidP="00352213">
      <w:pPr>
        <w:jc w:val="right"/>
        <w:rPr>
          <w:rFonts w:eastAsiaTheme="minorEastAsia"/>
        </w:rPr>
      </w:pPr>
      <w:r>
        <w:rPr>
          <w:rFonts w:eastAsiaTheme="minorEastAsia"/>
        </w:rPr>
        <w:t>(2)</w:t>
      </w:r>
    </w:p>
    <w:p w14:paraId="4BC96808" w14:textId="398C364B" w:rsidR="00352213" w:rsidRDefault="00352213" w:rsidP="00922A65">
      <w:pPr>
        <w:jc w:val="left"/>
      </w:pPr>
      <w:r>
        <w:t xml:space="preserve">M is the molar mass of the solvent in kg/mol, </w:t>
      </w:r>
      <w:proofErr w:type="spellStart"/>
      <w:r>
        <w:t>T</w:t>
      </w:r>
      <w:r w:rsidRPr="00352213">
        <w:rPr>
          <w:vertAlign w:val="subscript"/>
        </w:rPr>
        <w:t>f</w:t>
      </w:r>
      <w:proofErr w:type="spellEnd"/>
      <w:r>
        <w:t xml:space="preserve"> is the freezing point of the pure solvent, R is the gas constant in J/mol and </w:t>
      </w:r>
      <w:proofErr w:type="spellStart"/>
      <w:r>
        <w:t>ΔH</w:t>
      </w:r>
      <w:r w:rsidRPr="00352213">
        <w:rPr>
          <w:vertAlign w:val="subscript"/>
        </w:rPr>
        <w:t>fus</w:t>
      </w:r>
      <w:proofErr w:type="spellEnd"/>
      <w:r>
        <w:rPr>
          <w:i/>
          <w:iCs/>
          <w:vertAlign w:val="subscript"/>
        </w:rPr>
        <w:t xml:space="preserve"> </w:t>
      </w:r>
      <w:r>
        <w:t>is the enthalpy of fusion in J/mo</w:t>
      </w:r>
      <w:r w:rsidR="00483AE7">
        <w:t>l.</w:t>
      </w:r>
      <w:r w:rsidR="00954F97">
        <w:t xml:space="preserve"> This lab will allow us to calculate the cryogenic constant from eq. 1 and calculate the enthalpy of fusion from eq. 2 which can be compared to literature values. This will also allow us to construct a binary phase diagram which has the general form found below.</w:t>
      </w:r>
    </w:p>
    <w:p w14:paraId="46042A42" w14:textId="77777777" w:rsidR="004645BE" w:rsidRDefault="00922A65" w:rsidP="004645BE">
      <w:pPr>
        <w:keepNext/>
        <w:jc w:val="center"/>
      </w:pPr>
      <w:r w:rsidRPr="00922A65">
        <w:drawing>
          <wp:inline distT="0" distB="0" distL="0" distR="0" wp14:anchorId="7C024581" wp14:editId="4BAB49FC">
            <wp:extent cx="3460090" cy="2156696"/>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3463611" cy="2158890"/>
                    </a:xfrm>
                    <a:prstGeom prst="rect">
                      <a:avLst/>
                    </a:prstGeom>
                  </pic:spPr>
                </pic:pic>
              </a:graphicData>
            </a:graphic>
          </wp:inline>
        </w:drawing>
      </w:r>
    </w:p>
    <w:p w14:paraId="38C62623" w14:textId="53121827" w:rsidR="004645BE" w:rsidRPr="004645BE" w:rsidRDefault="004645BE" w:rsidP="004645BE">
      <w:pPr>
        <w:pStyle w:val="Caption"/>
        <w:jc w:val="center"/>
        <w:rPr>
          <w:i w:val="0"/>
          <w:color w:val="auto"/>
          <w:sz w:val="22"/>
        </w:rPr>
      </w:pPr>
      <w:r w:rsidRPr="004645BE">
        <w:rPr>
          <w:rStyle w:val="IntenseEmphasis"/>
          <w:i w:val="0"/>
          <w:iCs/>
        </w:rPr>
        <w:t xml:space="preserve">Figure </w:t>
      </w:r>
      <w:r w:rsidRPr="004645BE">
        <w:rPr>
          <w:rStyle w:val="IntenseEmphasis"/>
          <w:i w:val="0"/>
          <w:iCs/>
        </w:rPr>
        <w:fldChar w:fldCharType="begin"/>
      </w:r>
      <w:r w:rsidRPr="004645BE">
        <w:rPr>
          <w:rStyle w:val="IntenseEmphasis"/>
          <w:i w:val="0"/>
          <w:iCs/>
        </w:rPr>
        <w:instrText xml:space="preserve"> SEQ Figure \* ARABIC </w:instrText>
      </w:r>
      <w:r w:rsidRPr="004645BE">
        <w:rPr>
          <w:rStyle w:val="IntenseEmphasis"/>
          <w:i w:val="0"/>
          <w:iCs/>
        </w:rPr>
        <w:fldChar w:fldCharType="separate"/>
      </w:r>
      <w:r w:rsidR="00034512">
        <w:rPr>
          <w:rStyle w:val="IntenseEmphasis"/>
          <w:i w:val="0"/>
          <w:iCs/>
          <w:noProof/>
        </w:rPr>
        <w:t>1</w:t>
      </w:r>
      <w:r w:rsidRPr="004645BE">
        <w:rPr>
          <w:rStyle w:val="IntenseEmphasis"/>
          <w:i w:val="0"/>
          <w:iCs/>
        </w:rPr>
        <w:fldChar w:fldCharType="end"/>
      </w:r>
      <w:r w:rsidRPr="004645BE">
        <w:rPr>
          <w:rStyle w:val="IntenseEmphasis"/>
          <w:i w:val="0"/>
          <w:iCs/>
        </w:rPr>
        <w:t>: General binary phase diagram. β is solid B, α is solid A and L is a liquid mixture of both A and B.</w:t>
      </w:r>
    </w:p>
    <w:p w14:paraId="23BCAABC" w14:textId="5256CB28" w:rsidR="0096679E" w:rsidRPr="00760201" w:rsidRDefault="0096679E">
      <w:pPr>
        <w:rPr>
          <w:sz w:val="32"/>
          <w:szCs w:val="32"/>
        </w:rPr>
      </w:pPr>
      <w:r w:rsidRPr="00760201">
        <w:rPr>
          <w:sz w:val="32"/>
          <w:szCs w:val="32"/>
        </w:rPr>
        <w:t>Methods</w:t>
      </w:r>
    </w:p>
    <w:p w14:paraId="66BCA980" w14:textId="7635CAF0" w:rsidR="0096679E" w:rsidRDefault="009A2357" w:rsidP="00760201">
      <w:pPr>
        <w:ind w:firstLine="720"/>
      </w:pPr>
      <w:r>
        <w:lastRenderedPageBreak/>
        <w:t xml:space="preserve">Prior to the experiment, a sand bath was prepared and a digital thermometer was placed in a test tube. </w:t>
      </w:r>
      <w:r w:rsidR="00B35CF3">
        <w:t>N</w:t>
      </w:r>
      <w:r w:rsidR="00B35CF3">
        <w:t>aphthalene</w:t>
      </w:r>
      <w:r w:rsidR="00B35CF3">
        <w:t xml:space="preserve"> was chosen as the solvent for the group. </w:t>
      </w:r>
      <w:r>
        <w:t>Five grams of solvent was placed in a test tube. The solvent was melted by holding the test tube in a flask of boiling water. When the solvent had reached about 95</w:t>
      </w:r>
      <w:r w:rsidR="00255EFB">
        <w:t>°C</w:t>
      </w:r>
      <w:r>
        <w:t xml:space="preserve"> (15</w:t>
      </w:r>
      <w:r w:rsidR="00255EFB">
        <w:t>°C</w:t>
      </w:r>
      <w:r w:rsidR="00255EFB">
        <w:t xml:space="preserve"> </w:t>
      </w:r>
      <w:r>
        <w:t>above its melting point), it was removed from the hot water bath and quickly placed in the sand bath, a timer started and a member of the group recorded the temperatures every two seconds. The test tube was continually stirred. Once the solvent had fully solidified, about 0.5 grams of the paradichlorobenzene, or solute, was added. This mixture was melted using the same process.</w:t>
      </w:r>
      <w:r w:rsidR="00255EFB">
        <w:t xml:space="preserve"> Once it had reached about 95</w:t>
      </w:r>
      <w:r w:rsidR="00255EFB">
        <w:t>°C</w:t>
      </w:r>
      <w:r w:rsidR="00255EFB">
        <w:t xml:space="preserve">, </w:t>
      </w:r>
      <w:r w:rsidR="0016494B">
        <w:t xml:space="preserve">the cooling procedure was repeated. The addition procedure was repeated for another two </w:t>
      </w:r>
      <w:proofErr w:type="gramStart"/>
      <w:r w:rsidR="0016494B">
        <w:t>0.5 gram</w:t>
      </w:r>
      <w:proofErr w:type="gramEnd"/>
      <w:r w:rsidR="0016494B">
        <w:t xml:space="preserve"> additions for a total of four measurements. The mixture in the test tube was melted and placed in the appropriate container. </w:t>
      </w:r>
    </w:p>
    <w:p w14:paraId="4519A301" w14:textId="7D78D538" w:rsidR="0096679E" w:rsidRDefault="0096679E">
      <w:pPr>
        <w:rPr>
          <w:sz w:val="32"/>
          <w:szCs w:val="32"/>
        </w:rPr>
      </w:pPr>
      <w:r w:rsidRPr="00760201">
        <w:rPr>
          <w:sz w:val="32"/>
          <w:szCs w:val="32"/>
        </w:rPr>
        <w:t>Data and Results</w:t>
      </w:r>
    </w:p>
    <w:p w14:paraId="37CCC2FC" w14:textId="65A2257D" w:rsidR="006B3A1B" w:rsidRPr="00F815F1" w:rsidRDefault="006B3A1B" w:rsidP="006B3A1B">
      <w:pPr>
        <w:pStyle w:val="Caption"/>
        <w:keepNext/>
        <w:jc w:val="center"/>
        <w:rPr>
          <w:rStyle w:val="IntenseEmphasis"/>
          <w:i w:val="0"/>
          <w:iCs/>
        </w:rPr>
      </w:pPr>
      <w:r w:rsidRPr="00F815F1">
        <w:rPr>
          <w:rStyle w:val="IntenseEmphasis"/>
          <w:b/>
          <w:bCs/>
          <w:i w:val="0"/>
          <w:iCs/>
        </w:rPr>
        <w:t xml:space="preserve">Table </w:t>
      </w:r>
      <w:r w:rsidRPr="00F815F1">
        <w:rPr>
          <w:rStyle w:val="IntenseEmphasis"/>
          <w:b/>
          <w:bCs/>
          <w:i w:val="0"/>
          <w:iCs/>
        </w:rPr>
        <w:fldChar w:fldCharType="begin"/>
      </w:r>
      <w:r w:rsidRPr="00F815F1">
        <w:rPr>
          <w:rStyle w:val="IntenseEmphasis"/>
          <w:b/>
          <w:bCs/>
          <w:i w:val="0"/>
          <w:iCs/>
        </w:rPr>
        <w:instrText xml:space="preserve"> SEQ Table \* ARABIC </w:instrText>
      </w:r>
      <w:r w:rsidRPr="00F815F1">
        <w:rPr>
          <w:rStyle w:val="IntenseEmphasis"/>
          <w:b/>
          <w:bCs/>
          <w:i w:val="0"/>
          <w:iCs/>
        </w:rPr>
        <w:fldChar w:fldCharType="separate"/>
      </w:r>
      <w:r w:rsidR="00034512">
        <w:rPr>
          <w:rStyle w:val="IntenseEmphasis"/>
          <w:b/>
          <w:bCs/>
          <w:i w:val="0"/>
          <w:iCs/>
          <w:noProof/>
        </w:rPr>
        <w:t>1</w:t>
      </w:r>
      <w:r w:rsidRPr="00F815F1">
        <w:rPr>
          <w:rStyle w:val="IntenseEmphasis"/>
          <w:b/>
          <w:bCs/>
          <w:i w:val="0"/>
          <w:iCs/>
        </w:rPr>
        <w:fldChar w:fldCharType="end"/>
      </w:r>
      <w:r w:rsidRPr="00F815F1">
        <w:rPr>
          <w:rStyle w:val="IntenseEmphasis"/>
          <w:b/>
          <w:bCs/>
          <w:i w:val="0"/>
          <w:iCs/>
        </w:rPr>
        <w:t xml:space="preserve">: </w:t>
      </w:r>
      <w:r w:rsidRPr="00F815F1">
        <w:rPr>
          <w:rStyle w:val="IntenseEmphasis"/>
          <w:i w:val="0"/>
          <w:iCs/>
        </w:rPr>
        <w:t xml:space="preserve">Collected and calculated data. The first four trials were obtained by the author and their partners while the last four sets were obtained from a separate group that did not include all relevant calculations. Uncertainties of mole fraction were </w:t>
      </w:r>
      <w:r w:rsidR="00F815F1" w:rsidRPr="00F815F1">
        <w:rPr>
          <w:rStyle w:val="IntenseEmphasis"/>
          <w:i w:val="0"/>
          <w:iCs/>
        </w:rPr>
        <w:t>estimated from similar measurements</w:t>
      </w:r>
      <w:r w:rsidR="00F815F1">
        <w:rPr>
          <w:rStyle w:val="IntenseEmphasis"/>
          <w:i w:val="0"/>
          <w:iCs/>
        </w:rPr>
        <w:t>.</w:t>
      </w:r>
    </w:p>
    <w:tbl>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520"/>
        <w:gridCol w:w="2075"/>
        <w:gridCol w:w="1217"/>
        <w:gridCol w:w="1327"/>
        <w:gridCol w:w="1327"/>
      </w:tblGrid>
      <w:tr w:rsidR="00390043" w:rsidRPr="000308B0" w14:paraId="35C7BA0B" w14:textId="39AB4CCA" w:rsidTr="003C0C6A">
        <w:trPr>
          <w:trHeight w:val="315"/>
          <w:jc w:val="center"/>
        </w:trPr>
        <w:tc>
          <w:tcPr>
            <w:tcW w:w="1525" w:type="dxa"/>
            <w:shd w:val="clear" w:color="auto" w:fill="auto"/>
            <w:noWrap/>
            <w:vAlign w:val="center"/>
            <w:hideMark/>
          </w:tcPr>
          <w:p w14:paraId="19C5B27C" w14:textId="77777777" w:rsidR="00390043" w:rsidRPr="000308B0" w:rsidRDefault="00390043" w:rsidP="000308B0">
            <w:pPr>
              <w:spacing w:after="0" w:line="240" w:lineRule="auto"/>
              <w:jc w:val="center"/>
              <w:rPr>
                <w:rFonts w:eastAsia="Times New Roman"/>
              </w:rPr>
            </w:pPr>
          </w:p>
        </w:tc>
        <w:tc>
          <w:tcPr>
            <w:tcW w:w="2520" w:type="dxa"/>
            <w:shd w:val="clear" w:color="auto" w:fill="auto"/>
            <w:noWrap/>
            <w:vAlign w:val="center"/>
            <w:hideMark/>
          </w:tcPr>
          <w:p w14:paraId="505CEF73" w14:textId="77777777" w:rsidR="00390043" w:rsidRPr="000308B0" w:rsidRDefault="00390043" w:rsidP="000308B0">
            <w:pPr>
              <w:spacing w:after="0" w:line="240" w:lineRule="auto"/>
              <w:jc w:val="center"/>
              <w:rPr>
                <w:rFonts w:eastAsia="Times New Roman"/>
                <w:color w:val="000000"/>
              </w:rPr>
            </w:pPr>
            <w:r w:rsidRPr="000308B0">
              <w:rPr>
                <w:rFonts w:eastAsia="Times New Roman"/>
                <w:color w:val="000000"/>
              </w:rPr>
              <w:t>Melting Temperature (K)</w:t>
            </w:r>
          </w:p>
        </w:tc>
        <w:tc>
          <w:tcPr>
            <w:tcW w:w="2075" w:type="dxa"/>
            <w:shd w:val="clear" w:color="auto" w:fill="auto"/>
            <w:noWrap/>
            <w:vAlign w:val="center"/>
            <w:hideMark/>
          </w:tcPr>
          <w:p w14:paraId="185AF5A8" w14:textId="77777777" w:rsidR="00390043" w:rsidRPr="000308B0" w:rsidRDefault="00390043" w:rsidP="000308B0">
            <w:pPr>
              <w:spacing w:after="0" w:line="240" w:lineRule="auto"/>
              <w:jc w:val="center"/>
              <w:rPr>
                <w:rFonts w:eastAsia="Times New Roman"/>
                <w:color w:val="000000"/>
              </w:rPr>
            </w:pPr>
            <w:r w:rsidRPr="000308B0">
              <w:rPr>
                <w:rFonts w:eastAsia="Times New Roman"/>
                <w:color w:val="000000"/>
              </w:rPr>
              <w:t>Mole Fraction of p-dichlorobenzene</w:t>
            </w:r>
          </w:p>
        </w:tc>
        <w:tc>
          <w:tcPr>
            <w:tcW w:w="1217" w:type="dxa"/>
            <w:shd w:val="clear" w:color="auto" w:fill="auto"/>
            <w:noWrap/>
            <w:vAlign w:val="center"/>
            <w:hideMark/>
          </w:tcPr>
          <w:p w14:paraId="748EF091" w14:textId="54C09C6E" w:rsidR="00390043" w:rsidRPr="000308B0" w:rsidRDefault="00390043" w:rsidP="000308B0">
            <w:pPr>
              <w:spacing w:after="0" w:line="240" w:lineRule="auto"/>
              <w:jc w:val="center"/>
              <w:rPr>
                <w:rFonts w:eastAsia="Times New Roman"/>
                <w:color w:val="000000"/>
              </w:rPr>
            </w:pPr>
            <w:r w:rsidRPr="000308B0">
              <w:rPr>
                <w:rFonts w:eastAsia="Times New Roman"/>
                <w:color w:val="000000"/>
              </w:rPr>
              <w:t xml:space="preserve">ΔT </w:t>
            </w:r>
            <w:r>
              <w:rPr>
                <w:rFonts w:eastAsia="Times New Roman"/>
                <w:color w:val="000000"/>
              </w:rPr>
              <w:t>relative to</w:t>
            </w:r>
            <w:r w:rsidRPr="000308B0">
              <w:rPr>
                <w:rFonts w:eastAsia="Times New Roman"/>
                <w:color w:val="000000"/>
              </w:rPr>
              <w:t xml:space="preserve"> pure solvent</w:t>
            </w:r>
            <w:r>
              <w:rPr>
                <w:rFonts w:eastAsia="Times New Roman"/>
                <w:color w:val="000000"/>
              </w:rPr>
              <w:t xml:space="preserve"> (K)</w:t>
            </w:r>
          </w:p>
        </w:tc>
        <w:tc>
          <w:tcPr>
            <w:tcW w:w="1327" w:type="dxa"/>
            <w:shd w:val="clear" w:color="auto" w:fill="auto"/>
            <w:noWrap/>
            <w:vAlign w:val="center"/>
            <w:hideMark/>
          </w:tcPr>
          <w:p w14:paraId="2AAFCFE8" w14:textId="335C3CA8" w:rsidR="00390043" w:rsidRPr="000308B0" w:rsidRDefault="00390043" w:rsidP="000308B0">
            <w:pPr>
              <w:spacing w:after="0" w:line="240" w:lineRule="auto"/>
              <w:jc w:val="center"/>
              <w:rPr>
                <w:rFonts w:eastAsia="Times New Roman"/>
                <w:color w:val="000000"/>
              </w:rPr>
            </w:pPr>
            <w:proofErr w:type="spellStart"/>
            <w:r>
              <w:rPr>
                <w:rFonts w:eastAsia="Times New Roman"/>
                <w:color w:val="000000"/>
              </w:rPr>
              <w:t>ΔH</w:t>
            </w:r>
            <w:r w:rsidRPr="000308B0">
              <w:rPr>
                <w:rFonts w:eastAsia="Times New Roman"/>
                <w:color w:val="000000"/>
                <w:vertAlign w:val="subscript"/>
              </w:rPr>
              <w:t>fus</w:t>
            </w:r>
            <w:proofErr w:type="spellEnd"/>
            <w:r>
              <w:rPr>
                <w:rFonts w:eastAsia="Times New Roman"/>
                <w:color w:val="000000"/>
                <w:vertAlign w:val="subscript"/>
              </w:rPr>
              <w:t xml:space="preserve"> </w:t>
            </w:r>
            <w:r>
              <w:rPr>
                <w:rFonts w:eastAsia="Times New Roman"/>
                <w:color w:val="000000"/>
              </w:rPr>
              <w:t>(J/mol)</w:t>
            </w:r>
          </w:p>
        </w:tc>
        <w:tc>
          <w:tcPr>
            <w:tcW w:w="1327" w:type="dxa"/>
          </w:tcPr>
          <w:p w14:paraId="7BADC5B5" w14:textId="69A87305" w:rsidR="00390043" w:rsidRPr="00390043" w:rsidRDefault="00390043" w:rsidP="000308B0">
            <w:pPr>
              <w:spacing w:after="0" w:line="240" w:lineRule="auto"/>
              <w:jc w:val="center"/>
              <w:rPr>
                <w:rFonts w:eastAsia="Times New Roman"/>
                <w:color w:val="000000"/>
              </w:rPr>
            </w:pPr>
            <w:proofErr w:type="spellStart"/>
            <w:r>
              <w:rPr>
                <w:rFonts w:eastAsia="Times New Roman"/>
                <w:color w:val="000000"/>
              </w:rPr>
              <w:t>K</w:t>
            </w:r>
            <w:r w:rsidRPr="00390043">
              <w:rPr>
                <w:rFonts w:eastAsia="Times New Roman"/>
                <w:color w:val="000000"/>
                <w:vertAlign w:val="subscript"/>
              </w:rPr>
              <w:t>f</w:t>
            </w:r>
            <w:proofErr w:type="spellEnd"/>
            <w:r>
              <w:rPr>
                <w:rFonts w:eastAsia="Times New Roman"/>
                <w:color w:val="000000"/>
                <w:vertAlign w:val="subscript"/>
              </w:rPr>
              <w:t xml:space="preserve"> </w:t>
            </w:r>
            <w:r>
              <w:rPr>
                <w:rFonts w:eastAsia="Times New Roman"/>
                <w:color w:val="000000"/>
              </w:rPr>
              <w:t>(Km)</w:t>
            </w:r>
          </w:p>
        </w:tc>
      </w:tr>
      <w:tr w:rsidR="00390043" w:rsidRPr="000308B0" w14:paraId="0A6374B4" w14:textId="5486B946" w:rsidTr="003C0C6A">
        <w:trPr>
          <w:trHeight w:val="315"/>
          <w:jc w:val="center"/>
        </w:trPr>
        <w:tc>
          <w:tcPr>
            <w:tcW w:w="1525" w:type="dxa"/>
            <w:shd w:val="clear" w:color="auto" w:fill="auto"/>
            <w:noWrap/>
            <w:vAlign w:val="center"/>
            <w:hideMark/>
          </w:tcPr>
          <w:p w14:paraId="4A390BC4" w14:textId="77777777" w:rsidR="00390043" w:rsidRPr="000308B0" w:rsidRDefault="00390043" w:rsidP="000308B0">
            <w:pPr>
              <w:spacing w:after="0" w:line="240" w:lineRule="auto"/>
              <w:jc w:val="center"/>
              <w:rPr>
                <w:rFonts w:eastAsia="Times New Roman"/>
                <w:color w:val="000000"/>
              </w:rPr>
            </w:pPr>
            <w:r w:rsidRPr="000308B0">
              <w:rPr>
                <w:rFonts w:eastAsia="Times New Roman"/>
                <w:color w:val="000000"/>
              </w:rPr>
              <w:t>Trial 1, ours</w:t>
            </w:r>
          </w:p>
        </w:tc>
        <w:tc>
          <w:tcPr>
            <w:tcW w:w="2520" w:type="dxa"/>
            <w:shd w:val="clear" w:color="auto" w:fill="auto"/>
            <w:noWrap/>
            <w:vAlign w:val="center"/>
            <w:hideMark/>
          </w:tcPr>
          <w:p w14:paraId="09853AE5" w14:textId="2F913179" w:rsidR="00390043" w:rsidRPr="000308B0" w:rsidRDefault="00390043" w:rsidP="000308B0">
            <w:pPr>
              <w:spacing w:after="0" w:line="240" w:lineRule="auto"/>
              <w:jc w:val="right"/>
              <w:rPr>
                <w:rFonts w:eastAsia="Times New Roman"/>
                <w:color w:val="000000"/>
              </w:rPr>
            </w:pPr>
            <w:r w:rsidRPr="000308B0">
              <w:rPr>
                <w:rFonts w:eastAsia="Times New Roman"/>
                <w:color w:val="000000"/>
              </w:rPr>
              <w:t>35</w:t>
            </w:r>
            <w:r w:rsidR="007E3542">
              <w:rPr>
                <w:rFonts w:eastAsia="Times New Roman"/>
                <w:color w:val="000000"/>
              </w:rPr>
              <w:t>4</w:t>
            </w:r>
            <w:r w:rsidRPr="000308B0">
              <w:rPr>
                <w:rFonts w:eastAsia="Times New Roman"/>
                <w:color w:val="000000"/>
              </w:rPr>
              <w:t>.</w:t>
            </w:r>
            <w:r w:rsidR="007E3542">
              <w:rPr>
                <w:rFonts w:eastAsia="Times New Roman"/>
                <w:color w:val="000000"/>
              </w:rPr>
              <w:t>0</w:t>
            </w:r>
            <w:r w:rsidRPr="000308B0">
              <w:rPr>
                <w:rFonts w:eastAsia="Times New Roman"/>
                <w:color w:val="000000"/>
              </w:rPr>
              <w:t>±0.</w:t>
            </w:r>
            <w:r w:rsidR="007E3542">
              <w:rPr>
                <w:rFonts w:eastAsia="Times New Roman"/>
                <w:color w:val="000000"/>
              </w:rPr>
              <w:t>6</w:t>
            </w:r>
          </w:p>
        </w:tc>
        <w:tc>
          <w:tcPr>
            <w:tcW w:w="2075" w:type="dxa"/>
            <w:shd w:val="clear" w:color="auto" w:fill="auto"/>
            <w:noWrap/>
            <w:vAlign w:val="center"/>
            <w:hideMark/>
          </w:tcPr>
          <w:p w14:paraId="57310AC1"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0.00000</w:t>
            </w:r>
          </w:p>
        </w:tc>
        <w:tc>
          <w:tcPr>
            <w:tcW w:w="1217" w:type="dxa"/>
            <w:shd w:val="clear" w:color="auto" w:fill="auto"/>
            <w:noWrap/>
            <w:vAlign w:val="center"/>
            <w:hideMark/>
          </w:tcPr>
          <w:p w14:paraId="0F76645C" w14:textId="1F521F6C" w:rsidR="00390043" w:rsidRPr="000308B0" w:rsidRDefault="00390043" w:rsidP="000308B0">
            <w:pPr>
              <w:spacing w:after="0" w:line="240" w:lineRule="auto"/>
              <w:jc w:val="right"/>
              <w:rPr>
                <w:rFonts w:eastAsia="Times New Roman"/>
                <w:color w:val="000000"/>
              </w:rPr>
            </w:pPr>
            <w:r>
              <w:rPr>
                <w:rFonts w:eastAsia="Times New Roman"/>
                <w:color w:val="000000"/>
              </w:rPr>
              <w:t>N/A</w:t>
            </w:r>
          </w:p>
        </w:tc>
        <w:tc>
          <w:tcPr>
            <w:tcW w:w="1327" w:type="dxa"/>
            <w:shd w:val="clear" w:color="auto" w:fill="auto"/>
            <w:noWrap/>
            <w:vAlign w:val="center"/>
            <w:hideMark/>
          </w:tcPr>
          <w:p w14:paraId="4BF4D385" w14:textId="672CB12E" w:rsidR="00390043" w:rsidRPr="000308B0" w:rsidRDefault="00390043" w:rsidP="000308B0">
            <w:pPr>
              <w:spacing w:after="0" w:line="240" w:lineRule="auto"/>
              <w:jc w:val="right"/>
              <w:rPr>
                <w:rFonts w:eastAsia="Times New Roman"/>
                <w:color w:val="000000"/>
              </w:rPr>
            </w:pPr>
            <w:r>
              <w:rPr>
                <w:rFonts w:eastAsia="Times New Roman"/>
                <w:color w:val="000000"/>
              </w:rPr>
              <w:t>N/A</w:t>
            </w:r>
          </w:p>
        </w:tc>
        <w:tc>
          <w:tcPr>
            <w:tcW w:w="1327" w:type="dxa"/>
          </w:tcPr>
          <w:p w14:paraId="4F7E8A78" w14:textId="3FC3B002" w:rsidR="00390043" w:rsidRPr="000308B0" w:rsidRDefault="00390043" w:rsidP="000308B0">
            <w:pPr>
              <w:spacing w:after="0" w:line="240" w:lineRule="auto"/>
              <w:jc w:val="right"/>
              <w:rPr>
                <w:rFonts w:eastAsia="Times New Roman"/>
                <w:color w:val="000000"/>
              </w:rPr>
            </w:pPr>
            <w:r>
              <w:rPr>
                <w:rFonts w:eastAsia="Times New Roman"/>
                <w:color w:val="000000"/>
              </w:rPr>
              <w:t>N/A</w:t>
            </w:r>
          </w:p>
        </w:tc>
      </w:tr>
      <w:tr w:rsidR="00390043" w:rsidRPr="000308B0" w14:paraId="0A2DC25E" w14:textId="449307D8" w:rsidTr="003C0C6A">
        <w:trPr>
          <w:trHeight w:val="315"/>
          <w:jc w:val="center"/>
        </w:trPr>
        <w:tc>
          <w:tcPr>
            <w:tcW w:w="1525" w:type="dxa"/>
            <w:shd w:val="clear" w:color="auto" w:fill="auto"/>
            <w:noWrap/>
            <w:vAlign w:val="center"/>
            <w:hideMark/>
          </w:tcPr>
          <w:p w14:paraId="2480D9A3" w14:textId="77777777" w:rsidR="00390043" w:rsidRPr="000308B0" w:rsidRDefault="00390043" w:rsidP="000308B0">
            <w:pPr>
              <w:spacing w:after="0" w:line="240" w:lineRule="auto"/>
              <w:jc w:val="center"/>
              <w:rPr>
                <w:rFonts w:eastAsia="Times New Roman"/>
                <w:color w:val="000000"/>
              </w:rPr>
            </w:pPr>
            <w:r w:rsidRPr="000308B0">
              <w:rPr>
                <w:rFonts w:eastAsia="Times New Roman"/>
                <w:color w:val="000000"/>
              </w:rPr>
              <w:t>Trial 2, ours</w:t>
            </w:r>
          </w:p>
        </w:tc>
        <w:tc>
          <w:tcPr>
            <w:tcW w:w="2520" w:type="dxa"/>
            <w:shd w:val="clear" w:color="auto" w:fill="auto"/>
            <w:noWrap/>
            <w:vAlign w:val="center"/>
            <w:hideMark/>
          </w:tcPr>
          <w:p w14:paraId="7E29F730" w14:textId="2E4AE2B4" w:rsidR="00390043" w:rsidRPr="000308B0" w:rsidRDefault="00390043" w:rsidP="000308B0">
            <w:pPr>
              <w:spacing w:after="0" w:line="240" w:lineRule="auto"/>
              <w:jc w:val="right"/>
              <w:rPr>
                <w:rFonts w:eastAsia="Times New Roman"/>
                <w:color w:val="000000"/>
              </w:rPr>
            </w:pPr>
            <w:r w:rsidRPr="000308B0">
              <w:rPr>
                <w:rFonts w:eastAsia="Times New Roman"/>
                <w:color w:val="000000"/>
              </w:rPr>
              <w:t>348.3±0.</w:t>
            </w:r>
            <w:r w:rsidR="007E3542">
              <w:rPr>
                <w:rFonts w:eastAsia="Times New Roman"/>
                <w:color w:val="000000"/>
              </w:rPr>
              <w:t>4</w:t>
            </w:r>
          </w:p>
        </w:tc>
        <w:tc>
          <w:tcPr>
            <w:tcW w:w="2075" w:type="dxa"/>
            <w:shd w:val="clear" w:color="auto" w:fill="auto"/>
            <w:noWrap/>
            <w:vAlign w:val="center"/>
            <w:hideMark/>
          </w:tcPr>
          <w:p w14:paraId="2AFCD663"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0.08252±1e-5</w:t>
            </w:r>
          </w:p>
        </w:tc>
        <w:tc>
          <w:tcPr>
            <w:tcW w:w="1217" w:type="dxa"/>
            <w:shd w:val="clear" w:color="auto" w:fill="auto"/>
            <w:noWrap/>
            <w:vAlign w:val="center"/>
            <w:hideMark/>
          </w:tcPr>
          <w:p w14:paraId="40B967CF"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5.62±0.01</w:t>
            </w:r>
          </w:p>
        </w:tc>
        <w:tc>
          <w:tcPr>
            <w:tcW w:w="1327" w:type="dxa"/>
            <w:shd w:val="clear" w:color="auto" w:fill="auto"/>
            <w:noWrap/>
            <w:vAlign w:val="center"/>
            <w:hideMark/>
          </w:tcPr>
          <w:p w14:paraId="23D053DB" w14:textId="678DB321" w:rsidR="00390043" w:rsidRPr="000308B0" w:rsidRDefault="000A6E72" w:rsidP="000308B0">
            <w:pPr>
              <w:spacing w:after="0" w:line="240" w:lineRule="auto"/>
              <w:jc w:val="right"/>
              <w:rPr>
                <w:rFonts w:eastAsia="Times New Roman"/>
                <w:color w:val="000000"/>
              </w:rPr>
            </w:pPr>
            <w:r>
              <w:rPr>
                <w:rFonts w:eastAsia="Times New Roman"/>
                <w:color w:val="000000"/>
              </w:rPr>
              <w:t>16100±200</w:t>
            </w:r>
          </w:p>
        </w:tc>
        <w:tc>
          <w:tcPr>
            <w:tcW w:w="1327" w:type="dxa"/>
          </w:tcPr>
          <w:p w14:paraId="57A0B2AC" w14:textId="31410F30" w:rsidR="00390043" w:rsidRPr="000308B0" w:rsidRDefault="00390043" w:rsidP="000308B0">
            <w:pPr>
              <w:spacing w:after="0" w:line="240" w:lineRule="auto"/>
              <w:jc w:val="right"/>
              <w:rPr>
                <w:rFonts w:eastAsia="Times New Roman"/>
                <w:color w:val="000000"/>
              </w:rPr>
            </w:pPr>
            <w:r>
              <w:rPr>
                <w:rFonts w:eastAsia="Times New Roman"/>
                <w:color w:val="000000"/>
              </w:rPr>
              <w:t>8.01</w:t>
            </w:r>
            <w:r w:rsidR="004B4D6D">
              <w:rPr>
                <w:rFonts w:eastAsia="Times New Roman"/>
                <w:color w:val="000000"/>
              </w:rPr>
              <w:t>±</w:t>
            </w:r>
            <w:r>
              <w:rPr>
                <w:rFonts w:eastAsia="Times New Roman"/>
                <w:color w:val="000000"/>
              </w:rPr>
              <w:t>0.01</w:t>
            </w:r>
          </w:p>
        </w:tc>
      </w:tr>
      <w:tr w:rsidR="00390043" w:rsidRPr="000308B0" w14:paraId="7571A6EE" w14:textId="4AF35C15" w:rsidTr="003C0C6A">
        <w:trPr>
          <w:trHeight w:val="315"/>
          <w:jc w:val="center"/>
        </w:trPr>
        <w:tc>
          <w:tcPr>
            <w:tcW w:w="1525" w:type="dxa"/>
            <w:shd w:val="clear" w:color="auto" w:fill="auto"/>
            <w:noWrap/>
            <w:vAlign w:val="center"/>
            <w:hideMark/>
          </w:tcPr>
          <w:p w14:paraId="18864068" w14:textId="77777777" w:rsidR="00390043" w:rsidRPr="000308B0" w:rsidRDefault="00390043" w:rsidP="000308B0">
            <w:pPr>
              <w:spacing w:after="0" w:line="240" w:lineRule="auto"/>
              <w:jc w:val="center"/>
              <w:rPr>
                <w:rFonts w:eastAsia="Times New Roman"/>
                <w:color w:val="000000"/>
              </w:rPr>
            </w:pPr>
            <w:r w:rsidRPr="000308B0">
              <w:rPr>
                <w:rFonts w:eastAsia="Times New Roman"/>
                <w:color w:val="000000"/>
              </w:rPr>
              <w:t>Trial 3, ours</w:t>
            </w:r>
          </w:p>
        </w:tc>
        <w:tc>
          <w:tcPr>
            <w:tcW w:w="2520" w:type="dxa"/>
            <w:shd w:val="clear" w:color="auto" w:fill="auto"/>
            <w:noWrap/>
            <w:vAlign w:val="center"/>
            <w:hideMark/>
          </w:tcPr>
          <w:p w14:paraId="7161885B" w14:textId="3D98442E" w:rsidR="00390043" w:rsidRPr="000308B0" w:rsidRDefault="00390043" w:rsidP="000308B0">
            <w:pPr>
              <w:spacing w:after="0" w:line="240" w:lineRule="auto"/>
              <w:jc w:val="right"/>
              <w:rPr>
                <w:rFonts w:eastAsia="Times New Roman"/>
                <w:color w:val="000000"/>
              </w:rPr>
            </w:pPr>
            <w:r w:rsidRPr="000308B0">
              <w:rPr>
                <w:rFonts w:eastAsia="Times New Roman"/>
                <w:color w:val="000000"/>
              </w:rPr>
              <w:t>346±</w:t>
            </w:r>
            <w:r w:rsidR="007E3542">
              <w:rPr>
                <w:rFonts w:eastAsia="Times New Roman"/>
                <w:color w:val="000000"/>
              </w:rPr>
              <w:t>5</w:t>
            </w:r>
          </w:p>
        </w:tc>
        <w:tc>
          <w:tcPr>
            <w:tcW w:w="2075" w:type="dxa"/>
            <w:shd w:val="clear" w:color="auto" w:fill="auto"/>
            <w:noWrap/>
            <w:vAlign w:val="center"/>
            <w:hideMark/>
          </w:tcPr>
          <w:p w14:paraId="45B8FC33"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0.15036±1e-5</w:t>
            </w:r>
          </w:p>
        </w:tc>
        <w:tc>
          <w:tcPr>
            <w:tcW w:w="1217" w:type="dxa"/>
            <w:shd w:val="clear" w:color="auto" w:fill="auto"/>
            <w:noWrap/>
            <w:vAlign w:val="center"/>
            <w:hideMark/>
          </w:tcPr>
          <w:p w14:paraId="64B01527"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7.80±0.01</w:t>
            </w:r>
          </w:p>
        </w:tc>
        <w:tc>
          <w:tcPr>
            <w:tcW w:w="1327" w:type="dxa"/>
            <w:shd w:val="clear" w:color="auto" w:fill="auto"/>
            <w:noWrap/>
            <w:vAlign w:val="center"/>
            <w:hideMark/>
          </w:tcPr>
          <w:p w14:paraId="52287732" w14:textId="45F0F8BE" w:rsidR="00390043" w:rsidRPr="000308B0" w:rsidRDefault="00321864" w:rsidP="000308B0">
            <w:pPr>
              <w:spacing w:after="0" w:line="240" w:lineRule="auto"/>
              <w:jc w:val="right"/>
              <w:rPr>
                <w:rFonts w:eastAsia="Times New Roman"/>
                <w:color w:val="000000"/>
              </w:rPr>
            </w:pPr>
            <w:r>
              <w:rPr>
                <w:rFonts w:eastAsia="Times New Roman"/>
                <w:color w:val="000000"/>
              </w:rPr>
              <w:t>21200±300</w:t>
            </w:r>
          </w:p>
        </w:tc>
        <w:tc>
          <w:tcPr>
            <w:tcW w:w="1327" w:type="dxa"/>
          </w:tcPr>
          <w:p w14:paraId="7520652C" w14:textId="4630FCA3" w:rsidR="00390043" w:rsidRPr="000308B0" w:rsidRDefault="00390043" w:rsidP="000308B0">
            <w:pPr>
              <w:spacing w:after="0" w:line="240" w:lineRule="auto"/>
              <w:jc w:val="right"/>
              <w:rPr>
                <w:rFonts w:eastAsia="Times New Roman"/>
                <w:color w:val="000000"/>
              </w:rPr>
            </w:pPr>
            <w:r>
              <w:rPr>
                <w:rFonts w:eastAsia="Times New Roman"/>
                <w:color w:val="000000"/>
              </w:rPr>
              <w:t>5.649±0.007</w:t>
            </w:r>
          </w:p>
        </w:tc>
      </w:tr>
      <w:tr w:rsidR="00390043" w:rsidRPr="000308B0" w14:paraId="7A72BC4C" w14:textId="76D63720" w:rsidTr="003C0C6A">
        <w:trPr>
          <w:trHeight w:val="315"/>
          <w:jc w:val="center"/>
        </w:trPr>
        <w:tc>
          <w:tcPr>
            <w:tcW w:w="1525" w:type="dxa"/>
            <w:shd w:val="clear" w:color="auto" w:fill="auto"/>
            <w:noWrap/>
            <w:vAlign w:val="center"/>
            <w:hideMark/>
          </w:tcPr>
          <w:p w14:paraId="241DFCA3" w14:textId="77777777" w:rsidR="00390043" w:rsidRPr="000308B0" w:rsidRDefault="00390043" w:rsidP="000308B0">
            <w:pPr>
              <w:spacing w:after="0" w:line="240" w:lineRule="auto"/>
              <w:jc w:val="center"/>
              <w:rPr>
                <w:rFonts w:eastAsia="Times New Roman"/>
                <w:color w:val="000000"/>
              </w:rPr>
            </w:pPr>
            <w:r w:rsidRPr="000308B0">
              <w:rPr>
                <w:rFonts w:eastAsia="Times New Roman"/>
                <w:color w:val="000000"/>
              </w:rPr>
              <w:t>Trial 4, ours</w:t>
            </w:r>
          </w:p>
        </w:tc>
        <w:tc>
          <w:tcPr>
            <w:tcW w:w="2520" w:type="dxa"/>
            <w:shd w:val="clear" w:color="auto" w:fill="auto"/>
            <w:noWrap/>
            <w:vAlign w:val="center"/>
            <w:hideMark/>
          </w:tcPr>
          <w:p w14:paraId="2D71BC94" w14:textId="2AB3455E" w:rsidR="00390043" w:rsidRPr="000308B0" w:rsidRDefault="00390043" w:rsidP="000308B0">
            <w:pPr>
              <w:spacing w:after="0" w:line="240" w:lineRule="auto"/>
              <w:jc w:val="right"/>
              <w:rPr>
                <w:rFonts w:eastAsia="Times New Roman"/>
                <w:color w:val="000000"/>
              </w:rPr>
            </w:pPr>
            <w:r w:rsidRPr="000308B0">
              <w:rPr>
                <w:rFonts w:eastAsia="Times New Roman"/>
                <w:color w:val="000000"/>
              </w:rPr>
              <w:t>341.45±0.</w:t>
            </w:r>
            <w:r w:rsidR="007E3542">
              <w:rPr>
                <w:rFonts w:eastAsia="Times New Roman"/>
                <w:color w:val="000000"/>
              </w:rPr>
              <w:t>73</w:t>
            </w:r>
          </w:p>
        </w:tc>
        <w:tc>
          <w:tcPr>
            <w:tcW w:w="2075" w:type="dxa"/>
            <w:shd w:val="clear" w:color="auto" w:fill="auto"/>
            <w:noWrap/>
            <w:vAlign w:val="center"/>
            <w:hideMark/>
          </w:tcPr>
          <w:p w14:paraId="7F5C388D"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0.20813±1e-5</w:t>
            </w:r>
          </w:p>
        </w:tc>
        <w:tc>
          <w:tcPr>
            <w:tcW w:w="1217" w:type="dxa"/>
            <w:shd w:val="clear" w:color="auto" w:fill="auto"/>
            <w:noWrap/>
            <w:vAlign w:val="center"/>
            <w:hideMark/>
          </w:tcPr>
          <w:p w14:paraId="0FF281AC"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12.50±0.01</w:t>
            </w:r>
          </w:p>
        </w:tc>
        <w:tc>
          <w:tcPr>
            <w:tcW w:w="1327" w:type="dxa"/>
            <w:shd w:val="clear" w:color="auto" w:fill="auto"/>
            <w:noWrap/>
            <w:vAlign w:val="center"/>
            <w:hideMark/>
          </w:tcPr>
          <w:p w14:paraId="65654E1E" w14:textId="05F06EEF" w:rsidR="00390043" w:rsidRPr="000308B0" w:rsidRDefault="001B03A9" w:rsidP="000308B0">
            <w:pPr>
              <w:spacing w:after="0" w:line="240" w:lineRule="auto"/>
              <w:jc w:val="right"/>
              <w:rPr>
                <w:rFonts w:eastAsia="Times New Roman"/>
                <w:color w:val="000000"/>
              </w:rPr>
            </w:pPr>
            <w:r>
              <w:rPr>
                <w:rFonts w:eastAsia="Times New Roman"/>
                <w:color w:val="000000"/>
              </w:rPr>
              <w:t>20</w:t>
            </w:r>
            <w:r w:rsidR="0066777A">
              <w:rPr>
                <w:rFonts w:eastAsia="Times New Roman"/>
                <w:color w:val="000000"/>
              </w:rPr>
              <w:t>0</w:t>
            </w:r>
            <w:r>
              <w:rPr>
                <w:rFonts w:eastAsia="Times New Roman"/>
                <w:color w:val="000000"/>
              </w:rPr>
              <w:t>00±10</w:t>
            </w:r>
            <w:r w:rsidR="0066777A">
              <w:rPr>
                <w:rFonts w:eastAsia="Times New Roman"/>
                <w:color w:val="000000"/>
              </w:rPr>
              <w:t>0</w:t>
            </w:r>
            <w:r>
              <w:rPr>
                <w:rFonts w:eastAsia="Times New Roman"/>
                <w:color w:val="000000"/>
              </w:rPr>
              <w:t>0</w:t>
            </w:r>
          </w:p>
        </w:tc>
        <w:tc>
          <w:tcPr>
            <w:tcW w:w="1327" w:type="dxa"/>
          </w:tcPr>
          <w:p w14:paraId="130DC76E" w14:textId="214E06A3" w:rsidR="00390043" w:rsidRPr="000308B0" w:rsidRDefault="00390043" w:rsidP="00390043">
            <w:pPr>
              <w:spacing w:after="0" w:line="240" w:lineRule="auto"/>
              <w:jc w:val="right"/>
              <w:rPr>
                <w:rFonts w:eastAsia="Times New Roman"/>
                <w:color w:val="000000"/>
              </w:rPr>
            </w:pPr>
            <w:r>
              <w:rPr>
                <w:rFonts w:eastAsia="Times New Roman"/>
                <w:color w:val="000000"/>
              </w:rPr>
              <w:t>6.096±0.005</w:t>
            </w:r>
          </w:p>
        </w:tc>
      </w:tr>
      <w:tr w:rsidR="00390043" w:rsidRPr="000308B0" w14:paraId="3F7D5C07" w14:textId="12A883BB" w:rsidTr="003C0C6A">
        <w:trPr>
          <w:trHeight w:val="315"/>
          <w:jc w:val="center"/>
        </w:trPr>
        <w:tc>
          <w:tcPr>
            <w:tcW w:w="1525" w:type="dxa"/>
            <w:shd w:val="clear" w:color="auto" w:fill="auto"/>
            <w:noWrap/>
            <w:vAlign w:val="center"/>
            <w:hideMark/>
          </w:tcPr>
          <w:p w14:paraId="1EAEA2ED" w14:textId="77777777" w:rsidR="00390043" w:rsidRPr="000308B0" w:rsidRDefault="00390043" w:rsidP="000308B0">
            <w:pPr>
              <w:spacing w:after="0" w:line="240" w:lineRule="auto"/>
              <w:jc w:val="center"/>
              <w:rPr>
                <w:rFonts w:eastAsia="Times New Roman"/>
                <w:color w:val="000000"/>
              </w:rPr>
            </w:pPr>
            <w:r w:rsidRPr="000308B0">
              <w:rPr>
                <w:rFonts w:eastAsia="Times New Roman"/>
                <w:color w:val="000000"/>
              </w:rPr>
              <w:t>Trial 1, theirs</w:t>
            </w:r>
          </w:p>
        </w:tc>
        <w:tc>
          <w:tcPr>
            <w:tcW w:w="2520" w:type="dxa"/>
            <w:shd w:val="clear" w:color="auto" w:fill="auto"/>
            <w:noWrap/>
            <w:vAlign w:val="center"/>
            <w:hideMark/>
          </w:tcPr>
          <w:p w14:paraId="2CAD268E"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311.12±0.01</w:t>
            </w:r>
          </w:p>
        </w:tc>
        <w:tc>
          <w:tcPr>
            <w:tcW w:w="2075" w:type="dxa"/>
            <w:shd w:val="clear" w:color="auto" w:fill="auto"/>
            <w:noWrap/>
            <w:vAlign w:val="center"/>
            <w:hideMark/>
          </w:tcPr>
          <w:p w14:paraId="09ACE1DE" w14:textId="68D41AA0" w:rsidR="00390043" w:rsidRPr="000308B0" w:rsidRDefault="00390043" w:rsidP="000308B0">
            <w:pPr>
              <w:spacing w:after="0" w:line="240" w:lineRule="auto"/>
              <w:jc w:val="right"/>
              <w:rPr>
                <w:rFonts w:eastAsia="Times New Roman"/>
                <w:color w:val="000000"/>
              </w:rPr>
            </w:pPr>
            <w:r w:rsidRPr="000308B0">
              <w:rPr>
                <w:rFonts w:eastAsia="Times New Roman"/>
                <w:color w:val="000000"/>
              </w:rPr>
              <w:t>0.7440</w:t>
            </w:r>
            <w:r>
              <w:rPr>
                <w:rFonts w:eastAsia="Times New Roman"/>
                <w:color w:val="000000"/>
              </w:rPr>
              <w:t>±0.0001</w:t>
            </w:r>
          </w:p>
        </w:tc>
        <w:tc>
          <w:tcPr>
            <w:tcW w:w="1217" w:type="dxa"/>
            <w:shd w:val="clear" w:color="auto" w:fill="auto"/>
            <w:noWrap/>
            <w:vAlign w:val="center"/>
            <w:hideMark/>
          </w:tcPr>
          <w:p w14:paraId="4861B1AD" w14:textId="77777777" w:rsidR="00390043" w:rsidRPr="000308B0" w:rsidRDefault="00390043" w:rsidP="000308B0">
            <w:pPr>
              <w:spacing w:after="0" w:line="240" w:lineRule="auto"/>
              <w:jc w:val="right"/>
              <w:rPr>
                <w:rFonts w:eastAsia="Times New Roman"/>
                <w:color w:val="000000"/>
              </w:rPr>
            </w:pPr>
          </w:p>
        </w:tc>
        <w:tc>
          <w:tcPr>
            <w:tcW w:w="1327" w:type="dxa"/>
            <w:shd w:val="clear" w:color="auto" w:fill="auto"/>
            <w:noWrap/>
            <w:vAlign w:val="center"/>
            <w:hideMark/>
          </w:tcPr>
          <w:p w14:paraId="66EA243E" w14:textId="77777777" w:rsidR="00390043" w:rsidRPr="000308B0" w:rsidRDefault="00390043" w:rsidP="000308B0">
            <w:pPr>
              <w:spacing w:after="0" w:line="240" w:lineRule="auto"/>
              <w:jc w:val="right"/>
              <w:rPr>
                <w:rFonts w:eastAsia="Times New Roman"/>
              </w:rPr>
            </w:pPr>
          </w:p>
        </w:tc>
        <w:tc>
          <w:tcPr>
            <w:tcW w:w="1327" w:type="dxa"/>
          </w:tcPr>
          <w:p w14:paraId="65D25C52" w14:textId="77777777" w:rsidR="00390043" w:rsidRPr="000308B0" w:rsidRDefault="00390043" w:rsidP="000308B0">
            <w:pPr>
              <w:spacing w:after="0" w:line="240" w:lineRule="auto"/>
              <w:jc w:val="right"/>
              <w:rPr>
                <w:rFonts w:eastAsia="Times New Roman"/>
              </w:rPr>
            </w:pPr>
          </w:p>
        </w:tc>
      </w:tr>
      <w:tr w:rsidR="00390043" w:rsidRPr="000308B0" w14:paraId="5BBF62D9" w14:textId="522CA941" w:rsidTr="003C0C6A">
        <w:trPr>
          <w:trHeight w:val="315"/>
          <w:jc w:val="center"/>
        </w:trPr>
        <w:tc>
          <w:tcPr>
            <w:tcW w:w="1525" w:type="dxa"/>
            <w:shd w:val="clear" w:color="auto" w:fill="auto"/>
            <w:noWrap/>
            <w:vAlign w:val="center"/>
            <w:hideMark/>
          </w:tcPr>
          <w:p w14:paraId="47405BE6" w14:textId="77777777" w:rsidR="00390043" w:rsidRPr="000308B0" w:rsidRDefault="00390043" w:rsidP="000308B0">
            <w:pPr>
              <w:spacing w:after="0" w:line="240" w:lineRule="auto"/>
              <w:jc w:val="center"/>
              <w:rPr>
                <w:rFonts w:eastAsia="Times New Roman"/>
                <w:color w:val="000000"/>
              </w:rPr>
            </w:pPr>
            <w:r w:rsidRPr="000308B0">
              <w:rPr>
                <w:rFonts w:eastAsia="Times New Roman"/>
                <w:color w:val="000000"/>
              </w:rPr>
              <w:t>Trial 2, theirs</w:t>
            </w:r>
          </w:p>
        </w:tc>
        <w:tc>
          <w:tcPr>
            <w:tcW w:w="2520" w:type="dxa"/>
            <w:shd w:val="clear" w:color="auto" w:fill="auto"/>
            <w:noWrap/>
            <w:vAlign w:val="center"/>
            <w:hideMark/>
          </w:tcPr>
          <w:p w14:paraId="0B125ADA"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316.89±0.01</w:t>
            </w:r>
          </w:p>
        </w:tc>
        <w:tc>
          <w:tcPr>
            <w:tcW w:w="2075" w:type="dxa"/>
            <w:shd w:val="clear" w:color="auto" w:fill="auto"/>
            <w:noWrap/>
            <w:vAlign w:val="center"/>
            <w:hideMark/>
          </w:tcPr>
          <w:p w14:paraId="5A341DEF" w14:textId="3E031659" w:rsidR="00390043" w:rsidRPr="000308B0" w:rsidRDefault="00390043" w:rsidP="000308B0">
            <w:pPr>
              <w:spacing w:after="0" w:line="240" w:lineRule="auto"/>
              <w:jc w:val="right"/>
              <w:rPr>
                <w:rFonts w:eastAsia="Times New Roman"/>
                <w:color w:val="000000"/>
              </w:rPr>
            </w:pPr>
            <w:r w:rsidRPr="000308B0">
              <w:rPr>
                <w:rFonts w:eastAsia="Times New Roman"/>
                <w:color w:val="000000"/>
              </w:rPr>
              <w:t>0.8134</w:t>
            </w:r>
            <w:r>
              <w:rPr>
                <w:rFonts w:eastAsia="Times New Roman"/>
                <w:color w:val="000000"/>
              </w:rPr>
              <w:t>±0.0001</w:t>
            </w:r>
          </w:p>
        </w:tc>
        <w:tc>
          <w:tcPr>
            <w:tcW w:w="1217" w:type="dxa"/>
            <w:shd w:val="clear" w:color="auto" w:fill="auto"/>
            <w:noWrap/>
            <w:vAlign w:val="center"/>
            <w:hideMark/>
          </w:tcPr>
          <w:p w14:paraId="1C6D3145" w14:textId="77777777" w:rsidR="00390043" w:rsidRPr="000308B0" w:rsidRDefault="00390043" w:rsidP="000308B0">
            <w:pPr>
              <w:spacing w:after="0" w:line="240" w:lineRule="auto"/>
              <w:jc w:val="right"/>
              <w:rPr>
                <w:rFonts w:eastAsia="Times New Roman"/>
                <w:color w:val="000000"/>
              </w:rPr>
            </w:pPr>
          </w:p>
        </w:tc>
        <w:tc>
          <w:tcPr>
            <w:tcW w:w="1327" w:type="dxa"/>
            <w:shd w:val="clear" w:color="auto" w:fill="auto"/>
            <w:noWrap/>
            <w:vAlign w:val="center"/>
            <w:hideMark/>
          </w:tcPr>
          <w:p w14:paraId="2407D692" w14:textId="77777777" w:rsidR="00390043" w:rsidRPr="000308B0" w:rsidRDefault="00390043" w:rsidP="000308B0">
            <w:pPr>
              <w:spacing w:after="0" w:line="240" w:lineRule="auto"/>
              <w:jc w:val="right"/>
              <w:rPr>
                <w:rFonts w:eastAsia="Times New Roman"/>
              </w:rPr>
            </w:pPr>
          </w:p>
        </w:tc>
        <w:tc>
          <w:tcPr>
            <w:tcW w:w="1327" w:type="dxa"/>
          </w:tcPr>
          <w:p w14:paraId="1665F8EF" w14:textId="77777777" w:rsidR="00390043" w:rsidRPr="000308B0" w:rsidRDefault="00390043" w:rsidP="000308B0">
            <w:pPr>
              <w:spacing w:after="0" w:line="240" w:lineRule="auto"/>
              <w:jc w:val="right"/>
              <w:rPr>
                <w:rFonts w:eastAsia="Times New Roman"/>
              </w:rPr>
            </w:pPr>
          </w:p>
        </w:tc>
      </w:tr>
      <w:tr w:rsidR="00390043" w:rsidRPr="000308B0" w14:paraId="72CCF8CE" w14:textId="610BA5E4" w:rsidTr="003C0C6A">
        <w:trPr>
          <w:trHeight w:val="315"/>
          <w:jc w:val="center"/>
        </w:trPr>
        <w:tc>
          <w:tcPr>
            <w:tcW w:w="1525" w:type="dxa"/>
            <w:shd w:val="clear" w:color="auto" w:fill="auto"/>
            <w:noWrap/>
            <w:vAlign w:val="center"/>
            <w:hideMark/>
          </w:tcPr>
          <w:p w14:paraId="5840076E" w14:textId="77777777" w:rsidR="00390043" w:rsidRPr="000308B0" w:rsidRDefault="00390043" w:rsidP="000308B0">
            <w:pPr>
              <w:spacing w:after="0" w:line="240" w:lineRule="auto"/>
              <w:jc w:val="center"/>
              <w:rPr>
                <w:rFonts w:eastAsia="Times New Roman"/>
                <w:color w:val="000000"/>
              </w:rPr>
            </w:pPr>
            <w:r w:rsidRPr="000308B0">
              <w:rPr>
                <w:rFonts w:eastAsia="Times New Roman"/>
                <w:color w:val="000000"/>
              </w:rPr>
              <w:t>Trial 3, theirs</w:t>
            </w:r>
          </w:p>
        </w:tc>
        <w:tc>
          <w:tcPr>
            <w:tcW w:w="2520" w:type="dxa"/>
            <w:shd w:val="clear" w:color="auto" w:fill="auto"/>
            <w:noWrap/>
            <w:vAlign w:val="center"/>
            <w:hideMark/>
          </w:tcPr>
          <w:p w14:paraId="2B69F6AE"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321.04±0.01</w:t>
            </w:r>
          </w:p>
        </w:tc>
        <w:tc>
          <w:tcPr>
            <w:tcW w:w="2075" w:type="dxa"/>
            <w:shd w:val="clear" w:color="auto" w:fill="auto"/>
            <w:noWrap/>
            <w:vAlign w:val="center"/>
            <w:hideMark/>
          </w:tcPr>
          <w:p w14:paraId="1B294462" w14:textId="177D3A16" w:rsidR="00390043" w:rsidRPr="000308B0" w:rsidRDefault="00390043" w:rsidP="000308B0">
            <w:pPr>
              <w:spacing w:after="0" w:line="240" w:lineRule="auto"/>
              <w:jc w:val="right"/>
              <w:rPr>
                <w:rFonts w:eastAsia="Times New Roman"/>
                <w:color w:val="000000"/>
              </w:rPr>
            </w:pPr>
            <w:r w:rsidRPr="000308B0">
              <w:rPr>
                <w:rFonts w:eastAsia="Times New Roman"/>
                <w:color w:val="000000"/>
              </w:rPr>
              <w:t>0.8971</w:t>
            </w:r>
            <w:r>
              <w:rPr>
                <w:rFonts w:eastAsia="Times New Roman"/>
                <w:color w:val="000000"/>
              </w:rPr>
              <w:t>±0.0001</w:t>
            </w:r>
          </w:p>
        </w:tc>
        <w:tc>
          <w:tcPr>
            <w:tcW w:w="1217" w:type="dxa"/>
            <w:shd w:val="clear" w:color="auto" w:fill="auto"/>
            <w:noWrap/>
            <w:vAlign w:val="center"/>
            <w:hideMark/>
          </w:tcPr>
          <w:p w14:paraId="19312EE8" w14:textId="77777777" w:rsidR="00390043" w:rsidRPr="000308B0" w:rsidRDefault="00390043" w:rsidP="000308B0">
            <w:pPr>
              <w:spacing w:after="0" w:line="240" w:lineRule="auto"/>
              <w:jc w:val="right"/>
              <w:rPr>
                <w:rFonts w:eastAsia="Times New Roman"/>
                <w:color w:val="000000"/>
              </w:rPr>
            </w:pPr>
          </w:p>
        </w:tc>
        <w:tc>
          <w:tcPr>
            <w:tcW w:w="1327" w:type="dxa"/>
            <w:shd w:val="clear" w:color="auto" w:fill="auto"/>
            <w:noWrap/>
            <w:vAlign w:val="center"/>
            <w:hideMark/>
          </w:tcPr>
          <w:p w14:paraId="0EE142D1" w14:textId="77777777" w:rsidR="00390043" w:rsidRPr="000308B0" w:rsidRDefault="00390043" w:rsidP="000308B0">
            <w:pPr>
              <w:spacing w:after="0" w:line="240" w:lineRule="auto"/>
              <w:jc w:val="right"/>
              <w:rPr>
                <w:rFonts w:eastAsia="Times New Roman"/>
              </w:rPr>
            </w:pPr>
          </w:p>
        </w:tc>
        <w:tc>
          <w:tcPr>
            <w:tcW w:w="1327" w:type="dxa"/>
          </w:tcPr>
          <w:p w14:paraId="16E7F718" w14:textId="77777777" w:rsidR="00390043" w:rsidRPr="000308B0" w:rsidRDefault="00390043" w:rsidP="000308B0">
            <w:pPr>
              <w:spacing w:after="0" w:line="240" w:lineRule="auto"/>
              <w:jc w:val="right"/>
              <w:rPr>
                <w:rFonts w:eastAsia="Times New Roman"/>
              </w:rPr>
            </w:pPr>
          </w:p>
        </w:tc>
      </w:tr>
      <w:tr w:rsidR="00390043" w:rsidRPr="000308B0" w14:paraId="508DFE1A" w14:textId="5BFF1056" w:rsidTr="003C0C6A">
        <w:trPr>
          <w:trHeight w:val="315"/>
          <w:jc w:val="center"/>
        </w:trPr>
        <w:tc>
          <w:tcPr>
            <w:tcW w:w="1525" w:type="dxa"/>
            <w:shd w:val="clear" w:color="auto" w:fill="auto"/>
            <w:noWrap/>
            <w:vAlign w:val="center"/>
            <w:hideMark/>
          </w:tcPr>
          <w:p w14:paraId="3C71EF79" w14:textId="77777777" w:rsidR="00390043" w:rsidRPr="000308B0" w:rsidRDefault="00390043" w:rsidP="000308B0">
            <w:pPr>
              <w:spacing w:after="0" w:line="240" w:lineRule="auto"/>
              <w:jc w:val="center"/>
              <w:rPr>
                <w:rFonts w:eastAsia="Times New Roman"/>
                <w:color w:val="000000"/>
              </w:rPr>
            </w:pPr>
            <w:r w:rsidRPr="000308B0">
              <w:rPr>
                <w:rFonts w:eastAsia="Times New Roman"/>
                <w:color w:val="000000"/>
              </w:rPr>
              <w:t>Trial 4, theirs</w:t>
            </w:r>
          </w:p>
        </w:tc>
        <w:tc>
          <w:tcPr>
            <w:tcW w:w="2520" w:type="dxa"/>
            <w:shd w:val="clear" w:color="auto" w:fill="auto"/>
            <w:noWrap/>
            <w:vAlign w:val="center"/>
            <w:hideMark/>
          </w:tcPr>
          <w:p w14:paraId="79FCB983" w14:textId="77777777" w:rsidR="00390043" w:rsidRPr="000308B0" w:rsidRDefault="00390043" w:rsidP="000308B0">
            <w:pPr>
              <w:spacing w:after="0" w:line="240" w:lineRule="auto"/>
              <w:jc w:val="right"/>
              <w:rPr>
                <w:rFonts w:eastAsia="Times New Roman"/>
                <w:color w:val="000000"/>
              </w:rPr>
            </w:pPr>
            <w:r w:rsidRPr="000308B0">
              <w:rPr>
                <w:rFonts w:eastAsia="Times New Roman"/>
                <w:color w:val="000000"/>
              </w:rPr>
              <w:t>327.75±0.01</w:t>
            </w:r>
          </w:p>
        </w:tc>
        <w:tc>
          <w:tcPr>
            <w:tcW w:w="2075" w:type="dxa"/>
            <w:shd w:val="clear" w:color="auto" w:fill="auto"/>
            <w:noWrap/>
            <w:vAlign w:val="center"/>
            <w:hideMark/>
          </w:tcPr>
          <w:p w14:paraId="6F65DE82" w14:textId="3A2A2B18" w:rsidR="00390043" w:rsidRPr="000308B0" w:rsidRDefault="00390043" w:rsidP="000308B0">
            <w:pPr>
              <w:spacing w:after="0" w:line="240" w:lineRule="auto"/>
              <w:jc w:val="right"/>
              <w:rPr>
                <w:rFonts w:eastAsia="Times New Roman"/>
                <w:color w:val="000000"/>
              </w:rPr>
            </w:pPr>
            <w:r w:rsidRPr="000308B0">
              <w:rPr>
                <w:rFonts w:eastAsia="Times New Roman"/>
                <w:color w:val="000000"/>
              </w:rPr>
              <w:t>1.0000</w:t>
            </w:r>
            <w:r>
              <w:rPr>
                <w:rFonts w:eastAsia="Times New Roman"/>
                <w:color w:val="000000"/>
              </w:rPr>
              <w:t>±0.0001</w:t>
            </w:r>
          </w:p>
        </w:tc>
        <w:tc>
          <w:tcPr>
            <w:tcW w:w="1217" w:type="dxa"/>
            <w:shd w:val="clear" w:color="auto" w:fill="auto"/>
            <w:noWrap/>
            <w:vAlign w:val="center"/>
            <w:hideMark/>
          </w:tcPr>
          <w:p w14:paraId="32160E40" w14:textId="6C68959D" w:rsidR="00390043" w:rsidRPr="000308B0" w:rsidRDefault="0066777A" w:rsidP="004C2BA6">
            <w:pPr>
              <w:spacing w:after="0" w:line="240" w:lineRule="auto"/>
              <w:jc w:val="right"/>
              <w:rPr>
                <w:rFonts w:eastAsia="Times New Roman"/>
                <w:color w:val="000000"/>
              </w:rPr>
            </w:pPr>
            <w:r>
              <w:rPr>
                <w:rFonts w:eastAsia="Times New Roman"/>
                <w:color w:val="000000"/>
              </w:rPr>
              <w:t>N/A</w:t>
            </w:r>
          </w:p>
        </w:tc>
        <w:tc>
          <w:tcPr>
            <w:tcW w:w="1327" w:type="dxa"/>
            <w:shd w:val="clear" w:color="auto" w:fill="auto"/>
            <w:noWrap/>
            <w:vAlign w:val="center"/>
            <w:hideMark/>
          </w:tcPr>
          <w:p w14:paraId="132D6BD1" w14:textId="3451B56D" w:rsidR="00390043" w:rsidRPr="000308B0" w:rsidRDefault="0066777A" w:rsidP="000308B0">
            <w:pPr>
              <w:spacing w:after="0" w:line="240" w:lineRule="auto"/>
              <w:jc w:val="right"/>
              <w:rPr>
                <w:rFonts w:eastAsia="Times New Roman"/>
              </w:rPr>
            </w:pPr>
            <w:r>
              <w:rPr>
                <w:rFonts w:eastAsia="Times New Roman"/>
              </w:rPr>
              <w:t>N/A</w:t>
            </w:r>
          </w:p>
        </w:tc>
        <w:tc>
          <w:tcPr>
            <w:tcW w:w="1327" w:type="dxa"/>
          </w:tcPr>
          <w:p w14:paraId="63228B0E" w14:textId="234909B9" w:rsidR="00390043" w:rsidRPr="000308B0" w:rsidRDefault="0066777A" w:rsidP="000308B0">
            <w:pPr>
              <w:spacing w:after="0" w:line="240" w:lineRule="auto"/>
              <w:jc w:val="right"/>
              <w:rPr>
                <w:rFonts w:eastAsia="Times New Roman"/>
              </w:rPr>
            </w:pPr>
            <w:r>
              <w:rPr>
                <w:rFonts w:eastAsia="Times New Roman"/>
              </w:rPr>
              <w:t>N/A</w:t>
            </w:r>
          </w:p>
        </w:tc>
      </w:tr>
      <w:tr w:rsidR="00022326" w:rsidRPr="000308B0" w14:paraId="04B593EE" w14:textId="77777777" w:rsidTr="003C0C6A">
        <w:trPr>
          <w:trHeight w:val="315"/>
          <w:jc w:val="center"/>
        </w:trPr>
        <w:tc>
          <w:tcPr>
            <w:tcW w:w="1525" w:type="dxa"/>
            <w:shd w:val="clear" w:color="auto" w:fill="auto"/>
            <w:noWrap/>
            <w:vAlign w:val="center"/>
          </w:tcPr>
          <w:p w14:paraId="2D5F0B84" w14:textId="2DB73B08" w:rsidR="00022326" w:rsidRPr="000308B0" w:rsidRDefault="00022326" w:rsidP="000308B0">
            <w:pPr>
              <w:spacing w:after="0" w:line="240" w:lineRule="auto"/>
              <w:jc w:val="center"/>
              <w:rPr>
                <w:rFonts w:eastAsia="Times New Roman"/>
                <w:color w:val="000000"/>
              </w:rPr>
            </w:pPr>
            <w:r>
              <w:rPr>
                <w:rFonts w:eastAsia="Times New Roman"/>
                <w:color w:val="000000"/>
              </w:rPr>
              <w:t>Average</w:t>
            </w:r>
          </w:p>
        </w:tc>
        <w:tc>
          <w:tcPr>
            <w:tcW w:w="2520" w:type="dxa"/>
            <w:shd w:val="clear" w:color="auto" w:fill="auto"/>
            <w:noWrap/>
            <w:vAlign w:val="center"/>
          </w:tcPr>
          <w:p w14:paraId="324990AF" w14:textId="6960772C" w:rsidR="00022326" w:rsidRPr="000308B0" w:rsidRDefault="00022326" w:rsidP="000308B0">
            <w:pPr>
              <w:spacing w:after="0" w:line="240" w:lineRule="auto"/>
              <w:jc w:val="right"/>
              <w:rPr>
                <w:rFonts w:eastAsia="Times New Roman"/>
                <w:color w:val="000000"/>
              </w:rPr>
            </w:pPr>
            <w:r>
              <w:rPr>
                <w:rFonts w:eastAsia="Times New Roman"/>
                <w:color w:val="000000"/>
              </w:rPr>
              <w:t>-</w:t>
            </w:r>
          </w:p>
        </w:tc>
        <w:tc>
          <w:tcPr>
            <w:tcW w:w="2075" w:type="dxa"/>
            <w:shd w:val="clear" w:color="auto" w:fill="auto"/>
            <w:noWrap/>
            <w:vAlign w:val="center"/>
          </w:tcPr>
          <w:p w14:paraId="4B405939" w14:textId="34C8C7F3" w:rsidR="00022326" w:rsidRPr="000308B0" w:rsidRDefault="00022326" w:rsidP="000308B0">
            <w:pPr>
              <w:spacing w:after="0" w:line="240" w:lineRule="auto"/>
              <w:jc w:val="right"/>
              <w:rPr>
                <w:rFonts w:eastAsia="Times New Roman"/>
                <w:color w:val="000000"/>
              </w:rPr>
            </w:pPr>
            <w:r>
              <w:rPr>
                <w:rFonts w:eastAsia="Times New Roman"/>
                <w:color w:val="000000"/>
              </w:rPr>
              <w:t>-</w:t>
            </w:r>
          </w:p>
        </w:tc>
        <w:tc>
          <w:tcPr>
            <w:tcW w:w="1217" w:type="dxa"/>
            <w:shd w:val="clear" w:color="auto" w:fill="auto"/>
            <w:noWrap/>
            <w:vAlign w:val="center"/>
          </w:tcPr>
          <w:p w14:paraId="7EABBCC4" w14:textId="15AB7D83" w:rsidR="00022326" w:rsidRDefault="00022326" w:rsidP="004C2BA6">
            <w:pPr>
              <w:spacing w:after="0" w:line="240" w:lineRule="auto"/>
              <w:jc w:val="right"/>
              <w:rPr>
                <w:rFonts w:eastAsia="Times New Roman"/>
                <w:color w:val="000000"/>
              </w:rPr>
            </w:pPr>
            <w:r>
              <w:rPr>
                <w:rFonts w:eastAsia="Times New Roman"/>
                <w:color w:val="000000"/>
              </w:rPr>
              <w:t>-</w:t>
            </w:r>
          </w:p>
        </w:tc>
        <w:tc>
          <w:tcPr>
            <w:tcW w:w="1327" w:type="dxa"/>
            <w:shd w:val="clear" w:color="auto" w:fill="auto"/>
            <w:noWrap/>
            <w:vAlign w:val="center"/>
          </w:tcPr>
          <w:p w14:paraId="1D759BF9" w14:textId="7314E3D6" w:rsidR="00022326" w:rsidRDefault="00022326" w:rsidP="000308B0">
            <w:pPr>
              <w:spacing w:after="0" w:line="240" w:lineRule="auto"/>
              <w:jc w:val="right"/>
              <w:rPr>
                <w:rFonts w:eastAsia="Times New Roman"/>
              </w:rPr>
            </w:pPr>
            <w:r>
              <w:rPr>
                <w:rFonts w:eastAsia="Times New Roman"/>
              </w:rPr>
              <w:t>19000±1000</w:t>
            </w:r>
          </w:p>
        </w:tc>
        <w:tc>
          <w:tcPr>
            <w:tcW w:w="1327" w:type="dxa"/>
          </w:tcPr>
          <w:p w14:paraId="43ED612B" w14:textId="77777777" w:rsidR="00022326" w:rsidRDefault="00022326" w:rsidP="000308B0">
            <w:pPr>
              <w:spacing w:after="0" w:line="240" w:lineRule="auto"/>
              <w:jc w:val="right"/>
              <w:rPr>
                <w:rFonts w:eastAsia="Times New Roman"/>
              </w:rPr>
            </w:pPr>
          </w:p>
        </w:tc>
      </w:tr>
    </w:tbl>
    <w:p w14:paraId="0FC4706F" w14:textId="77777777" w:rsidR="003C0C6A" w:rsidRDefault="003C0C6A" w:rsidP="003C0C6A">
      <w:pPr>
        <w:keepNext/>
        <w:jc w:val="center"/>
      </w:pPr>
      <w:r>
        <w:rPr>
          <w:noProof/>
        </w:rPr>
        <w:drawing>
          <wp:inline distT="0" distB="0" distL="0" distR="0" wp14:anchorId="26C072BA" wp14:editId="162D92A3">
            <wp:extent cx="3943350" cy="2466975"/>
            <wp:effectExtent l="0" t="0" r="0" b="9525"/>
            <wp:docPr id="14" name="Chart 14">
              <a:extLst xmlns:a="http://schemas.openxmlformats.org/drawingml/2006/main">
                <a:ext uri="{FF2B5EF4-FFF2-40B4-BE49-F238E27FC236}">
                  <a16:creationId xmlns:a16="http://schemas.microsoft.com/office/drawing/2014/main" id="{A79EE7CA-AD63-A4C2-64DF-D98FB6425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98CDF1" w14:textId="5048084E" w:rsidR="000308B0" w:rsidRPr="003C0C6A" w:rsidRDefault="003C0C6A" w:rsidP="003C0C6A">
      <w:pPr>
        <w:pStyle w:val="Caption"/>
        <w:jc w:val="center"/>
        <w:rPr>
          <w:rStyle w:val="IntenseEmphasis"/>
          <w:i w:val="0"/>
          <w:iCs/>
        </w:rPr>
      </w:pPr>
      <w:r w:rsidRPr="003C0C6A">
        <w:rPr>
          <w:rStyle w:val="IntenseEmphasis"/>
          <w:i w:val="0"/>
          <w:iCs/>
        </w:rPr>
        <w:t xml:space="preserve">Figure </w:t>
      </w:r>
      <w:r w:rsidRPr="003C0C6A">
        <w:rPr>
          <w:rStyle w:val="IntenseEmphasis"/>
          <w:i w:val="0"/>
          <w:iCs/>
        </w:rPr>
        <w:fldChar w:fldCharType="begin"/>
      </w:r>
      <w:r w:rsidRPr="003C0C6A">
        <w:rPr>
          <w:rStyle w:val="IntenseEmphasis"/>
          <w:i w:val="0"/>
          <w:iCs/>
        </w:rPr>
        <w:instrText xml:space="preserve"> SEQ Figure \* ARABIC </w:instrText>
      </w:r>
      <w:r w:rsidRPr="003C0C6A">
        <w:rPr>
          <w:rStyle w:val="IntenseEmphasis"/>
          <w:i w:val="0"/>
          <w:iCs/>
        </w:rPr>
        <w:fldChar w:fldCharType="separate"/>
      </w:r>
      <w:r w:rsidR="00034512">
        <w:rPr>
          <w:rStyle w:val="IntenseEmphasis"/>
          <w:i w:val="0"/>
          <w:iCs/>
          <w:noProof/>
        </w:rPr>
        <w:t>2</w:t>
      </w:r>
      <w:r w:rsidRPr="003C0C6A">
        <w:rPr>
          <w:rStyle w:val="IntenseEmphasis"/>
          <w:i w:val="0"/>
          <w:iCs/>
        </w:rPr>
        <w:fldChar w:fldCharType="end"/>
      </w:r>
      <w:r w:rsidRPr="003C0C6A">
        <w:rPr>
          <w:rStyle w:val="IntenseEmphasis"/>
          <w:i w:val="0"/>
          <w:iCs/>
        </w:rPr>
        <w:t>: Temperature over mole fraction. This graph allows us to estimate the eutectic point</w:t>
      </w:r>
      <w:r w:rsidR="00263227">
        <w:rPr>
          <w:rStyle w:val="IntenseEmphasis"/>
          <w:i w:val="0"/>
          <w:iCs/>
        </w:rPr>
        <w:t>.</w:t>
      </w:r>
    </w:p>
    <w:p w14:paraId="4D53583F" w14:textId="4B2B7948" w:rsidR="00C84933" w:rsidRPr="00C84933" w:rsidRDefault="00C84933" w:rsidP="00C84933">
      <w:pPr>
        <w:pStyle w:val="Caption"/>
        <w:keepNext/>
        <w:jc w:val="center"/>
        <w:rPr>
          <w:rStyle w:val="IntenseEmphasis"/>
          <w:i w:val="0"/>
          <w:iCs/>
        </w:rPr>
      </w:pPr>
      <w:r w:rsidRPr="00C84933">
        <w:rPr>
          <w:rStyle w:val="IntenseEmphasis"/>
          <w:i w:val="0"/>
          <w:iCs/>
        </w:rPr>
        <w:lastRenderedPageBreak/>
        <w:t xml:space="preserve">Plot </w:t>
      </w:r>
      <w:r w:rsidRPr="00C84933">
        <w:rPr>
          <w:rStyle w:val="IntenseEmphasis"/>
          <w:i w:val="0"/>
          <w:iCs/>
        </w:rPr>
        <w:fldChar w:fldCharType="begin"/>
      </w:r>
      <w:r w:rsidRPr="00C84933">
        <w:rPr>
          <w:rStyle w:val="IntenseEmphasis"/>
          <w:i w:val="0"/>
          <w:iCs/>
        </w:rPr>
        <w:instrText xml:space="preserve"> SEQ Plot \* ARABIC </w:instrText>
      </w:r>
      <w:r w:rsidRPr="00C84933">
        <w:rPr>
          <w:rStyle w:val="IntenseEmphasis"/>
          <w:i w:val="0"/>
          <w:iCs/>
        </w:rPr>
        <w:fldChar w:fldCharType="separate"/>
      </w:r>
      <w:r w:rsidR="00034512">
        <w:rPr>
          <w:rStyle w:val="IntenseEmphasis"/>
          <w:i w:val="0"/>
          <w:iCs/>
          <w:noProof/>
        </w:rPr>
        <w:t>1</w:t>
      </w:r>
      <w:r w:rsidRPr="00C84933">
        <w:rPr>
          <w:rStyle w:val="IntenseEmphasis"/>
          <w:i w:val="0"/>
          <w:iCs/>
        </w:rPr>
        <w:fldChar w:fldCharType="end"/>
      </w:r>
      <w:r>
        <w:rPr>
          <w:rStyle w:val="IntenseEmphasis"/>
          <w:i w:val="0"/>
          <w:iCs/>
        </w:rPr>
        <w:t xml:space="preserve">: Pure substance freezing. This plot shows the pure naphthalene freezing over time. </w:t>
      </w:r>
    </w:p>
    <w:p w14:paraId="1D9C1B34" w14:textId="5CD3E467" w:rsidR="000C7EAC" w:rsidRDefault="00C84933" w:rsidP="000C7EAC">
      <w:pPr>
        <w:jc w:val="center"/>
        <w:rPr>
          <w:sz w:val="32"/>
          <w:szCs w:val="32"/>
        </w:rPr>
      </w:pPr>
      <w:r w:rsidRPr="00C84933">
        <w:rPr>
          <w:rStyle w:val="IntenseEmphasis"/>
        </w:rPr>
        <w:drawing>
          <wp:inline distT="0" distB="0" distL="0" distR="0" wp14:anchorId="47EE2726" wp14:editId="1660AD95">
            <wp:extent cx="4373245" cy="2510287"/>
            <wp:effectExtent l="0" t="0" r="8255" b="4445"/>
            <wp:docPr id="1" name="Chart 1">
              <a:extLst xmlns:a="http://schemas.openxmlformats.org/drawingml/2006/main">
                <a:ext uri="{FF2B5EF4-FFF2-40B4-BE49-F238E27FC236}">
                  <a16:creationId xmlns:a16="http://schemas.microsoft.com/office/drawing/2014/main" id="{5D1FB81F-BCD3-CE47-83D1-D3C8F8FEA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44F747" w14:textId="04E651CD" w:rsidR="004D26D6" w:rsidRPr="004D26D6" w:rsidRDefault="004D26D6" w:rsidP="004D26D6">
      <w:pPr>
        <w:pStyle w:val="Caption"/>
        <w:keepNext/>
        <w:jc w:val="center"/>
        <w:rPr>
          <w:rStyle w:val="IntenseEmphasis"/>
          <w:i w:val="0"/>
          <w:iCs/>
        </w:rPr>
      </w:pPr>
      <w:r w:rsidRPr="004D26D6">
        <w:rPr>
          <w:rStyle w:val="IntenseEmphasis"/>
          <w:i w:val="0"/>
          <w:iCs/>
        </w:rPr>
        <w:t xml:space="preserve">Plot </w:t>
      </w:r>
      <w:r w:rsidRPr="004D26D6">
        <w:rPr>
          <w:rStyle w:val="IntenseEmphasis"/>
          <w:i w:val="0"/>
          <w:iCs/>
        </w:rPr>
        <w:fldChar w:fldCharType="begin"/>
      </w:r>
      <w:r w:rsidRPr="004D26D6">
        <w:rPr>
          <w:rStyle w:val="IntenseEmphasis"/>
          <w:i w:val="0"/>
          <w:iCs/>
        </w:rPr>
        <w:instrText xml:space="preserve"> SEQ Plot \* ARABIC </w:instrText>
      </w:r>
      <w:r w:rsidRPr="004D26D6">
        <w:rPr>
          <w:rStyle w:val="IntenseEmphasis"/>
          <w:i w:val="0"/>
          <w:iCs/>
        </w:rPr>
        <w:fldChar w:fldCharType="separate"/>
      </w:r>
      <w:r w:rsidR="00034512">
        <w:rPr>
          <w:rStyle w:val="IntenseEmphasis"/>
          <w:i w:val="0"/>
          <w:iCs/>
          <w:noProof/>
        </w:rPr>
        <w:t>2</w:t>
      </w:r>
      <w:r w:rsidRPr="004D26D6">
        <w:rPr>
          <w:rStyle w:val="IntenseEmphasis"/>
          <w:i w:val="0"/>
          <w:iCs/>
        </w:rPr>
        <w:fldChar w:fldCharType="end"/>
      </w:r>
      <w:r w:rsidRPr="004D26D6">
        <w:rPr>
          <w:rStyle w:val="IntenseEmphasis"/>
          <w:i w:val="0"/>
          <w:iCs/>
        </w:rPr>
        <w:t>: Mixture freezing. This plot shows the freezing of naphthalene after the first addition of p-dichlorobenzene</w:t>
      </w:r>
      <w:r>
        <w:rPr>
          <w:rStyle w:val="IntenseEmphasis"/>
          <w:i w:val="0"/>
          <w:iCs/>
        </w:rPr>
        <w:t>.</w:t>
      </w:r>
    </w:p>
    <w:p w14:paraId="65F2A0D0" w14:textId="7B912EDB" w:rsidR="000C7EAC" w:rsidRDefault="000C7EAC" w:rsidP="000C7EAC">
      <w:pPr>
        <w:jc w:val="center"/>
        <w:rPr>
          <w:sz w:val="32"/>
          <w:szCs w:val="32"/>
        </w:rPr>
      </w:pPr>
      <w:r>
        <w:rPr>
          <w:noProof/>
        </w:rPr>
        <w:drawing>
          <wp:inline distT="0" distB="0" distL="0" distR="0" wp14:anchorId="51F380D2" wp14:editId="09CE7D4F">
            <wp:extent cx="4433977" cy="2579298"/>
            <wp:effectExtent l="0" t="0" r="5080" b="12065"/>
            <wp:docPr id="3" name="Chart 3">
              <a:extLst xmlns:a="http://schemas.openxmlformats.org/drawingml/2006/main">
                <a:ext uri="{FF2B5EF4-FFF2-40B4-BE49-F238E27FC236}">
                  <a16:creationId xmlns:a16="http://schemas.microsoft.com/office/drawing/2014/main" id="{C00463AA-A1EC-2948-9A8E-A99FFD0344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CA2E89" w14:textId="7CC978DC" w:rsidR="004D26D6" w:rsidRPr="004D26D6" w:rsidRDefault="004D26D6" w:rsidP="004D26D6">
      <w:pPr>
        <w:pStyle w:val="Caption"/>
        <w:keepNext/>
        <w:jc w:val="center"/>
        <w:rPr>
          <w:rStyle w:val="IntenseEmphasis"/>
          <w:i w:val="0"/>
          <w:iCs/>
        </w:rPr>
      </w:pPr>
      <w:r w:rsidRPr="004D26D6">
        <w:rPr>
          <w:rStyle w:val="IntenseEmphasis"/>
          <w:i w:val="0"/>
          <w:iCs/>
        </w:rPr>
        <w:lastRenderedPageBreak/>
        <w:t xml:space="preserve">Plot </w:t>
      </w:r>
      <w:r w:rsidRPr="004D26D6">
        <w:rPr>
          <w:rStyle w:val="IntenseEmphasis"/>
          <w:i w:val="0"/>
          <w:iCs/>
        </w:rPr>
        <w:fldChar w:fldCharType="begin"/>
      </w:r>
      <w:r w:rsidRPr="004D26D6">
        <w:rPr>
          <w:rStyle w:val="IntenseEmphasis"/>
          <w:i w:val="0"/>
          <w:iCs/>
        </w:rPr>
        <w:instrText xml:space="preserve"> SEQ Plot \* ARABIC </w:instrText>
      </w:r>
      <w:r w:rsidRPr="004D26D6">
        <w:rPr>
          <w:rStyle w:val="IntenseEmphasis"/>
          <w:i w:val="0"/>
          <w:iCs/>
        </w:rPr>
        <w:fldChar w:fldCharType="separate"/>
      </w:r>
      <w:r w:rsidR="00034512">
        <w:rPr>
          <w:rStyle w:val="IntenseEmphasis"/>
          <w:i w:val="0"/>
          <w:iCs/>
          <w:noProof/>
        </w:rPr>
        <w:t>3</w:t>
      </w:r>
      <w:r w:rsidRPr="004D26D6">
        <w:rPr>
          <w:rStyle w:val="IntenseEmphasis"/>
          <w:i w:val="0"/>
          <w:iCs/>
        </w:rPr>
        <w:fldChar w:fldCharType="end"/>
      </w:r>
      <w:r w:rsidRPr="004D26D6">
        <w:rPr>
          <w:rStyle w:val="IntenseEmphasis"/>
          <w:i w:val="0"/>
          <w:iCs/>
        </w:rPr>
        <w:t xml:space="preserve">: </w:t>
      </w:r>
      <w:r w:rsidRPr="004D26D6">
        <w:rPr>
          <w:rStyle w:val="IntenseEmphasis"/>
          <w:i w:val="0"/>
          <w:iCs/>
        </w:rPr>
        <w:t xml:space="preserve">Mixture freezing. This plot shows the freezing of naphthalene after the </w:t>
      </w:r>
      <w:r w:rsidRPr="004D26D6">
        <w:rPr>
          <w:rStyle w:val="IntenseEmphasis"/>
          <w:i w:val="0"/>
          <w:iCs/>
        </w:rPr>
        <w:t>second</w:t>
      </w:r>
      <w:r w:rsidRPr="004D26D6">
        <w:rPr>
          <w:rStyle w:val="IntenseEmphasis"/>
          <w:i w:val="0"/>
          <w:iCs/>
        </w:rPr>
        <w:t xml:space="preserve"> addition of p-dichlorobenzene</w:t>
      </w:r>
      <w:r>
        <w:rPr>
          <w:rStyle w:val="IntenseEmphasis"/>
          <w:i w:val="0"/>
          <w:iCs/>
        </w:rPr>
        <w:t>.</w:t>
      </w:r>
    </w:p>
    <w:p w14:paraId="0BBF770E" w14:textId="303DFB65" w:rsidR="00784BC1" w:rsidRDefault="00784BC1" w:rsidP="000C7EAC">
      <w:pPr>
        <w:jc w:val="center"/>
        <w:rPr>
          <w:sz w:val="32"/>
          <w:szCs w:val="32"/>
        </w:rPr>
      </w:pPr>
      <w:r>
        <w:rPr>
          <w:noProof/>
        </w:rPr>
        <w:drawing>
          <wp:inline distT="0" distB="0" distL="0" distR="0" wp14:anchorId="70F891F4" wp14:editId="5B82492C">
            <wp:extent cx="4442604" cy="2415397"/>
            <wp:effectExtent l="0" t="0" r="15240" b="4445"/>
            <wp:docPr id="4" name="Chart 4">
              <a:extLst xmlns:a="http://schemas.openxmlformats.org/drawingml/2006/main">
                <a:ext uri="{FF2B5EF4-FFF2-40B4-BE49-F238E27FC236}">
                  <a16:creationId xmlns:a16="http://schemas.microsoft.com/office/drawing/2014/main" id="{13FDC26B-E73E-A746-B57A-280D8E8641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433645" w14:textId="3059BF00" w:rsidR="004D26D6" w:rsidRPr="004D26D6" w:rsidRDefault="004D26D6" w:rsidP="004D26D6">
      <w:pPr>
        <w:pStyle w:val="Caption"/>
        <w:keepNext/>
        <w:jc w:val="center"/>
        <w:rPr>
          <w:i w:val="0"/>
          <w:color w:val="auto"/>
          <w:sz w:val="22"/>
        </w:rPr>
      </w:pPr>
      <w:r w:rsidRPr="004D26D6">
        <w:rPr>
          <w:rStyle w:val="IntenseEmphasis"/>
          <w:i w:val="0"/>
          <w:iCs/>
        </w:rPr>
        <w:t xml:space="preserve">Plot </w:t>
      </w:r>
      <w:r w:rsidRPr="004D26D6">
        <w:rPr>
          <w:rStyle w:val="IntenseEmphasis"/>
          <w:i w:val="0"/>
          <w:iCs/>
        </w:rPr>
        <w:fldChar w:fldCharType="begin"/>
      </w:r>
      <w:r w:rsidRPr="004D26D6">
        <w:rPr>
          <w:rStyle w:val="IntenseEmphasis"/>
          <w:i w:val="0"/>
          <w:iCs/>
        </w:rPr>
        <w:instrText xml:space="preserve"> SEQ Plot \* ARABIC </w:instrText>
      </w:r>
      <w:r w:rsidRPr="004D26D6">
        <w:rPr>
          <w:rStyle w:val="IntenseEmphasis"/>
          <w:i w:val="0"/>
          <w:iCs/>
        </w:rPr>
        <w:fldChar w:fldCharType="separate"/>
      </w:r>
      <w:r w:rsidR="00034512">
        <w:rPr>
          <w:rStyle w:val="IntenseEmphasis"/>
          <w:i w:val="0"/>
          <w:iCs/>
          <w:noProof/>
        </w:rPr>
        <w:t>4</w:t>
      </w:r>
      <w:r w:rsidRPr="004D26D6">
        <w:rPr>
          <w:rStyle w:val="IntenseEmphasis"/>
          <w:i w:val="0"/>
          <w:iCs/>
        </w:rPr>
        <w:fldChar w:fldCharType="end"/>
      </w:r>
      <w:r w:rsidRPr="004D26D6">
        <w:rPr>
          <w:rStyle w:val="IntenseEmphasis"/>
          <w:i w:val="0"/>
          <w:iCs/>
        </w:rPr>
        <w:t xml:space="preserve">: </w:t>
      </w:r>
      <w:r w:rsidRPr="004D26D6">
        <w:rPr>
          <w:rStyle w:val="IntenseEmphasis"/>
          <w:i w:val="0"/>
          <w:iCs/>
        </w:rPr>
        <w:t xml:space="preserve">Mixture freezing. This plot shows the freezing of naphthalene after the </w:t>
      </w:r>
      <w:r>
        <w:rPr>
          <w:rStyle w:val="IntenseEmphasis"/>
          <w:i w:val="0"/>
          <w:iCs/>
        </w:rPr>
        <w:t>third</w:t>
      </w:r>
      <w:r w:rsidRPr="004D26D6">
        <w:rPr>
          <w:rStyle w:val="IntenseEmphasis"/>
          <w:i w:val="0"/>
          <w:iCs/>
        </w:rPr>
        <w:t xml:space="preserve"> addition of p-dichlorobenzene</w:t>
      </w:r>
      <w:r>
        <w:rPr>
          <w:rStyle w:val="IntenseEmphasis"/>
          <w:i w:val="0"/>
          <w:iCs/>
        </w:rPr>
        <w:t>.</w:t>
      </w:r>
    </w:p>
    <w:p w14:paraId="54E2266F" w14:textId="50744BFA" w:rsidR="00784BC1" w:rsidRDefault="00784BC1" w:rsidP="000C7EAC">
      <w:pPr>
        <w:jc w:val="center"/>
        <w:rPr>
          <w:sz w:val="32"/>
          <w:szCs w:val="32"/>
        </w:rPr>
      </w:pPr>
      <w:r>
        <w:rPr>
          <w:noProof/>
        </w:rPr>
        <w:drawing>
          <wp:inline distT="0" distB="0" distL="0" distR="0" wp14:anchorId="10AE331C" wp14:editId="688D7260">
            <wp:extent cx="4442604" cy="2518914"/>
            <wp:effectExtent l="0" t="0" r="15240" b="15240"/>
            <wp:docPr id="5" name="Chart 5">
              <a:extLst xmlns:a="http://schemas.openxmlformats.org/drawingml/2006/main">
                <a:ext uri="{FF2B5EF4-FFF2-40B4-BE49-F238E27FC236}">
                  <a16:creationId xmlns:a16="http://schemas.microsoft.com/office/drawing/2014/main" id="{529BD41A-AA07-854B-AB76-86F5780005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93EDC2" w14:textId="35A7AEE6" w:rsidR="00F535FE" w:rsidRPr="00F535FE" w:rsidRDefault="00F535FE" w:rsidP="00F535FE">
      <w:pPr>
        <w:pStyle w:val="Caption"/>
        <w:keepNext/>
        <w:jc w:val="center"/>
        <w:rPr>
          <w:rStyle w:val="IntenseEmphasis"/>
          <w:i w:val="0"/>
          <w:iCs/>
        </w:rPr>
      </w:pPr>
      <w:r w:rsidRPr="00F535FE">
        <w:rPr>
          <w:rStyle w:val="IntenseEmphasis"/>
          <w:i w:val="0"/>
          <w:iCs/>
        </w:rPr>
        <w:lastRenderedPageBreak/>
        <w:t xml:space="preserve">Plot </w:t>
      </w:r>
      <w:r w:rsidRPr="00F535FE">
        <w:rPr>
          <w:rStyle w:val="IntenseEmphasis"/>
          <w:i w:val="0"/>
          <w:iCs/>
        </w:rPr>
        <w:fldChar w:fldCharType="begin"/>
      </w:r>
      <w:r w:rsidRPr="00F535FE">
        <w:rPr>
          <w:rStyle w:val="IntenseEmphasis"/>
          <w:i w:val="0"/>
          <w:iCs/>
        </w:rPr>
        <w:instrText xml:space="preserve"> SEQ Plot \* ARABIC </w:instrText>
      </w:r>
      <w:r w:rsidRPr="00F535FE">
        <w:rPr>
          <w:rStyle w:val="IntenseEmphasis"/>
          <w:i w:val="0"/>
          <w:iCs/>
        </w:rPr>
        <w:fldChar w:fldCharType="separate"/>
      </w:r>
      <w:r w:rsidR="00034512">
        <w:rPr>
          <w:rStyle w:val="IntenseEmphasis"/>
          <w:i w:val="0"/>
          <w:iCs/>
          <w:noProof/>
        </w:rPr>
        <w:t>5</w:t>
      </w:r>
      <w:r w:rsidRPr="00F535FE">
        <w:rPr>
          <w:rStyle w:val="IntenseEmphasis"/>
          <w:i w:val="0"/>
          <w:iCs/>
        </w:rPr>
        <w:fldChar w:fldCharType="end"/>
      </w:r>
      <w:r>
        <w:rPr>
          <w:rStyle w:val="IntenseEmphasis"/>
          <w:i w:val="0"/>
          <w:iCs/>
        </w:rPr>
        <w:t xml:space="preserve">: Uncertainty calculation for trial 4. This plot </w:t>
      </w:r>
      <w:r w:rsidR="00C70811">
        <w:rPr>
          <w:rStyle w:val="IntenseEmphasis"/>
          <w:i w:val="0"/>
          <w:iCs/>
        </w:rPr>
        <w:t xml:space="preserve">is the best guess </w:t>
      </w:r>
      <w:r>
        <w:rPr>
          <w:rStyle w:val="IntenseEmphasis"/>
          <w:i w:val="0"/>
          <w:iCs/>
        </w:rPr>
        <w:t>melting temperatur</w:t>
      </w:r>
      <w:r w:rsidR="00C70811">
        <w:rPr>
          <w:rStyle w:val="IntenseEmphasis"/>
          <w:i w:val="0"/>
          <w:iCs/>
        </w:rPr>
        <w:t>e</w:t>
      </w:r>
      <w:r>
        <w:rPr>
          <w:rStyle w:val="IntenseEmphasis"/>
          <w:i w:val="0"/>
          <w:iCs/>
        </w:rPr>
        <w:t>.</w:t>
      </w:r>
    </w:p>
    <w:p w14:paraId="1893932F" w14:textId="17C6B84D" w:rsidR="00784BC1" w:rsidRDefault="00784BC1" w:rsidP="000C7EAC">
      <w:pPr>
        <w:jc w:val="center"/>
        <w:rPr>
          <w:sz w:val="32"/>
          <w:szCs w:val="32"/>
        </w:rPr>
      </w:pPr>
      <w:r>
        <w:rPr>
          <w:noProof/>
        </w:rPr>
        <w:drawing>
          <wp:inline distT="0" distB="0" distL="0" distR="0" wp14:anchorId="13BA5794" wp14:editId="7BB22D17">
            <wp:extent cx="4452731" cy="2512612"/>
            <wp:effectExtent l="0" t="0" r="5080" b="2540"/>
            <wp:docPr id="6" name="Chart 6">
              <a:extLst xmlns:a="http://schemas.openxmlformats.org/drawingml/2006/main">
                <a:ext uri="{FF2B5EF4-FFF2-40B4-BE49-F238E27FC236}">
                  <a16:creationId xmlns:a16="http://schemas.microsoft.com/office/drawing/2014/main" id="{B3D94D46-4C30-C784-984B-E6DDB1A2E5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CD221E" w14:textId="688ADD8C" w:rsidR="00F535FE" w:rsidRPr="00F535FE" w:rsidRDefault="00F535FE" w:rsidP="00F535FE">
      <w:pPr>
        <w:pStyle w:val="Caption"/>
        <w:keepNext/>
        <w:ind w:left="720"/>
        <w:jc w:val="center"/>
        <w:rPr>
          <w:rStyle w:val="IntenseEmphasis"/>
          <w:i w:val="0"/>
          <w:iCs/>
        </w:rPr>
      </w:pPr>
      <w:r w:rsidRPr="00F535FE">
        <w:rPr>
          <w:rStyle w:val="IntenseEmphasis"/>
          <w:i w:val="0"/>
          <w:iCs/>
        </w:rPr>
        <w:t xml:space="preserve">Plot </w:t>
      </w:r>
      <w:r w:rsidRPr="00F535FE">
        <w:rPr>
          <w:rStyle w:val="IntenseEmphasis"/>
          <w:i w:val="0"/>
          <w:iCs/>
        </w:rPr>
        <w:fldChar w:fldCharType="begin"/>
      </w:r>
      <w:r w:rsidRPr="00F535FE">
        <w:rPr>
          <w:rStyle w:val="IntenseEmphasis"/>
          <w:i w:val="0"/>
          <w:iCs/>
        </w:rPr>
        <w:instrText xml:space="preserve"> SEQ Plot \* ARABIC </w:instrText>
      </w:r>
      <w:r w:rsidRPr="00F535FE">
        <w:rPr>
          <w:rStyle w:val="IntenseEmphasis"/>
          <w:i w:val="0"/>
          <w:iCs/>
        </w:rPr>
        <w:fldChar w:fldCharType="separate"/>
      </w:r>
      <w:r w:rsidR="00034512">
        <w:rPr>
          <w:rStyle w:val="IntenseEmphasis"/>
          <w:i w:val="0"/>
          <w:iCs/>
          <w:noProof/>
        </w:rPr>
        <w:t>6</w:t>
      </w:r>
      <w:r w:rsidRPr="00F535FE">
        <w:rPr>
          <w:rStyle w:val="IntenseEmphasis"/>
          <w:i w:val="0"/>
          <w:iCs/>
        </w:rPr>
        <w:fldChar w:fldCharType="end"/>
      </w:r>
      <w:r w:rsidRPr="00F535FE">
        <w:rPr>
          <w:rStyle w:val="IntenseEmphasis"/>
          <w:i w:val="0"/>
          <w:iCs/>
        </w:rPr>
        <w:t xml:space="preserve">: Uncertainty calculation for trial 4. This attempts to minimize the melting </w:t>
      </w:r>
      <w:r>
        <w:rPr>
          <w:rStyle w:val="IntenseEmphasis"/>
          <w:i w:val="0"/>
          <w:iCs/>
        </w:rPr>
        <w:t xml:space="preserve">temperature </w:t>
      </w:r>
      <w:r w:rsidRPr="00F535FE">
        <w:rPr>
          <w:rStyle w:val="IntenseEmphasis"/>
          <w:i w:val="0"/>
          <w:iCs/>
        </w:rPr>
        <w:t xml:space="preserve">using different guesses. </w:t>
      </w:r>
    </w:p>
    <w:p w14:paraId="3D9917D9" w14:textId="09837021" w:rsidR="002E24DB" w:rsidRPr="00760201" w:rsidRDefault="002E24DB" w:rsidP="000C7EAC">
      <w:pPr>
        <w:jc w:val="center"/>
        <w:rPr>
          <w:sz w:val="32"/>
          <w:szCs w:val="32"/>
        </w:rPr>
      </w:pPr>
      <w:r>
        <w:rPr>
          <w:noProof/>
        </w:rPr>
        <w:drawing>
          <wp:inline distT="0" distB="0" distL="0" distR="0" wp14:anchorId="12714F2C" wp14:editId="39D77CD9">
            <wp:extent cx="4565388" cy="2698016"/>
            <wp:effectExtent l="0" t="0" r="6985" b="7620"/>
            <wp:docPr id="7" name="Chart 7">
              <a:extLst xmlns:a="http://schemas.openxmlformats.org/drawingml/2006/main">
                <a:ext uri="{FF2B5EF4-FFF2-40B4-BE49-F238E27FC236}">
                  <a16:creationId xmlns:a16="http://schemas.microsoft.com/office/drawing/2014/main" id="{F2710B7C-6A01-95D2-FD5D-14EDA8B32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F8EF5F" w14:textId="76EA1D56" w:rsidR="002E24DB" w:rsidRDefault="00F8372F">
      <w:r>
        <w:tab/>
      </w:r>
      <w:r w:rsidR="00180CA3">
        <w:t>The initial amount of naphthalene measured was 5.0156±0.0001g</w:t>
      </w:r>
      <w:r w:rsidR="00992B42">
        <w:t xml:space="preserve">. The first addition added 0.5174±0.0001g of paradichlorobenzene. </w:t>
      </w:r>
      <w:r w:rsidR="0036352A">
        <w:t xml:space="preserve">Calculation of mole fraction </w:t>
      </w:r>
      <w:r w:rsidR="002F57DE">
        <w:t xml:space="preserve">with uncertainty </w:t>
      </w:r>
      <w:r w:rsidR="0036352A">
        <w:t>is shown in the appendix</w:t>
      </w:r>
      <w:r w:rsidR="00A26137">
        <w:t xml:space="preserve"> as figure 3</w:t>
      </w:r>
      <w:r w:rsidR="0036352A">
        <w:t>.</w:t>
      </w:r>
    </w:p>
    <w:p w14:paraId="511B4391" w14:textId="66344138" w:rsidR="009A4E6E" w:rsidRDefault="002E24DB">
      <w:r>
        <w:tab/>
        <w:t>Uncertainties for each melting point were calculated using worst case scenario. The freezing point is calculated using a linear fit of the best two lines before and after freezing</w:t>
      </w:r>
      <w:r w:rsidR="005B0157">
        <w:t>, this is demonstrated in plot 5</w:t>
      </w:r>
      <w:r>
        <w:t>. Two other pairs of lines were selected as alternate guesses that a reasonable person could also pick to calculate the melting point with</w:t>
      </w:r>
      <w:r w:rsidR="005B0157">
        <w:t>, this was demonstrated in plot 6</w:t>
      </w:r>
      <w:r>
        <w:t>. The melting points were</w:t>
      </w:r>
      <w:r w:rsidR="000F7564">
        <w:t xml:space="preserve"> compared with the difference becoming the uncertainty for the best fit</w:t>
      </w:r>
      <w:r>
        <w:t>.</w:t>
      </w:r>
      <w:r w:rsidR="00571886">
        <w:t xml:space="preserve"> </w:t>
      </w:r>
      <w:r w:rsidR="00692A09">
        <w:t>An example calculation</w:t>
      </w:r>
      <w:r w:rsidR="00571886">
        <w:t xml:space="preserve"> </w:t>
      </w:r>
      <w:r w:rsidR="00692A09">
        <w:t>is</w:t>
      </w:r>
      <w:r w:rsidR="00571886">
        <w:t xml:space="preserve"> shown in the appendix</w:t>
      </w:r>
      <w:r w:rsidR="00A26137">
        <w:t xml:space="preserve"> as figure 4</w:t>
      </w:r>
      <w:r w:rsidR="009A4E6E">
        <w:t>.</w:t>
      </w:r>
    </w:p>
    <w:p w14:paraId="6851C8C5" w14:textId="6EB80111" w:rsidR="00CE6E50" w:rsidRDefault="009B5529">
      <w:r>
        <w:lastRenderedPageBreak/>
        <w:tab/>
        <w:t xml:space="preserve">The uncertainties in freezing point depression temperature were propagated using relative uncertainties. </w:t>
      </w:r>
      <w:r w:rsidR="00CE6E50">
        <w:t>The cryoscopic constant was calculated according to eq. 1 with worst case scenario uncertainty. An example calculation is shown in the appendix</w:t>
      </w:r>
      <w:r w:rsidR="005421E6">
        <w:t xml:space="preserve"> as figure </w:t>
      </w:r>
      <w:r w:rsidR="00A26137">
        <w:t>5</w:t>
      </w:r>
      <w:r w:rsidR="00CE6E50">
        <w:t xml:space="preserve">. </w:t>
      </w:r>
    </w:p>
    <w:p w14:paraId="4C36013B" w14:textId="42189E82" w:rsidR="009B5529" w:rsidRDefault="00CE6E50" w:rsidP="004C2BA6">
      <w:pPr>
        <w:ind w:firstLine="720"/>
      </w:pPr>
      <w:r>
        <w:t>The enthalpy of fusion was calculated according to eq. 2 and the</w:t>
      </w:r>
      <w:r w:rsidR="004C2BA6">
        <w:t xml:space="preserve"> uncertainties were </w:t>
      </w:r>
      <w:r w:rsidR="00263227">
        <w:t>propagated</w:t>
      </w:r>
      <w:r w:rsidR="004C2BA6">
        <w:t xml:space="preserve"> using worst case scenario. </w:t>
      </w:r>
      <w:r w:rsidR="004C2BA6">
        <w:t>An example calculation is shown in the appendix</w:t>
      </w:r>
      <w:r w:rsidR="005421E6">
        <w:t xml:space="preserve"> as figure </w:t>
      </w:r>
      <w:r w:rsidR="00A26137">
        <w:t>6</w:t>
      </w:r>
      <w:r w:rsidR="004C2BA6">
        <w:t xml:space="preserve">. </w:t>
      </w:r>
    </w:p>
    <w:p w14:paraId="5B63B663" w14:textId="751DED90" w:rsidR="0096679E" w:rsidRDefault="000D2C41" w:rsidP="001F5084">
      <w:r>
        <w:tab/>
        <w:t>The uncertainty in the average enthalpy of fusion value was calculated with quadrature</w:t>
      </w:r>
      <w:r w:rsidR="001F5084">
        <w:t xml:space="preserve"> from the enthalpy of fusion values found in table 1</w:t>
      </w:r>
      <w:r>
        <w:t xml:space="preserve">. </w:t>
      </w:r>
    </w:p>
    <w:p w14:paraId="78A052D8" w14:textId="3DF9B40A" w:rsidR="009B5529" w:rsidRDefault="009B5529" w:rsidP="001F5084">
      <w:pPr>
        <w:ind w:firstLine="720"/>
      </w:pPr>
      <w:r>
        <w:t>The average literature value for the enthalpy of fusion of naphthalene was 18900±700J/mol.</w:t>
      </w:r>
      <w:r w:rsidR="008D3553">
        <w:fldChar w:fldCharType="begin"/>
      </w:r>
      <w:r w:rsidR="008D3553">
        <w:instrText xml:space="preserve"> ADDIN ZOTERO_ITEM CSL_CITATION {"citationID":"1T13Ci8G","properties":{"formattedCitation":"\\super 2\\nosupersub{}","plainCitation":"2","noteIndex":0},"citationItems":[{"id":79,"uris":["http://zotero.org/users/local/YFsU4dqp/items/V6DVLYYE"],"itemData":{"id":79,"type":"post-weblog","container-title":"NIST Database","title":"Naphthalene","URL":"https://webbook.nist.gov/cgi/cbook.cgi?ID=C91203&amp;Mask=4","accessed":{"date-parts":[["2022",10,28]]}}}],"schema":"https://github.com/citation-style-language/schema/raw/master/csl-citation.json"} </w:instrText>
      </w:r>
      <w:r w:rsidR="008D3553">
        <w:fldChar w:fldCharType="separate"/>
      </w:r>
      <w:r w:rsidR="008D3553" w:rsidRPr="008D3553">
        <w:rPr>
          <w:szCs w:val="24"/>
          <w:vertAlign w:val="superscript"/>
        </w:rPr>
        <w:t>2</w:t>
      </w:r>
      <w:r w:rsidR="008D3553">
        <w:fldChar w:fldCharType="end"/>
      </w:r>
      <w:r w:rsidR="008D3553">
        <w:t xml:space="preserve"> </w:t>
      </w:r>
      <w:r w:rsidR="001F5084">
        <w:t xml:space="preserve">Using the two standard error criterion we observe the 18900J/mol falls within the average enthalpy of fusion in table 1 as  </w:t>
      </w:r>
      <w:r w:rsidR="00532C5A">
        <w:t>20000±1000 J/mol</w:t>
      </w:r>
    </w:p>
    <w:p w14:paraId="2F7CADAA" w14:textId="6744E3A8" w:rsidR="00263227" w:rsidRDefault="00263227" w:rsidP="001F5084">
      <w:pPr>
        <w:ind w:firstLine="720"/>
      </w:pPr>
      <w:r>
        <w:t xml:space="preserve">As seen in figure 2, we can estimate the eutectic temperature of the mixture between paradichlorobenzene and naphthalene </w:t>
      </w:r>
      <w:r w:rsidRPr="00263227">
        <w:t>at x of p-dichlorobenzene=0.45</w:t>
      </w:r>
      <w:r>
        <w:t>. This extrapolation was performed using a cubic polynomial.</w:t>
      </w:r>
    </w:p>
    <w:p w14:paraId="3A5D582E" w14:textId="521B1BE9" w:rsidR="0096679E" w:rsidRDefault="0096679E">
      <w:pPr>
        <w:rPr>
          <w:sz w:val="32"/>
          <w:szCs w:val="32"/>
        </w:rPr>
      </w:pPr>
      <w:r w:rsidRPr="00760201">
        <w:rPr>
          <w:sz w:val="32"/>
          <w:szCs w:val="32"/>
        </w:rPr>
        <w:t>Conclusion</w:t>
      </w:r>
    </w:p>
    <w:p w14:paraId="633EB1AF" w14:textId="54448529" w:rsidR="0096679E" w:rsidRDefault="0058102D" w:rsidP="0058102D">
      <w:pPr>
        <w:ind w:firstLine="720"/>
      </w:pPr>
      <w:r>
        <w:t>As predicted by eq</w:t>
      </w:r>
      <w:r w:rsidR="00A80469">
        <w:t>.</w:t>
      </w:r>
      <w:r>
        <w:t xml:space="preserve"> 1</w:t>
      </w:r>
      <w:r w:rsidR="00FC3DEB">
        <w:t>,</w:t>
      </w:r>
      <w:r>
        <w:t xml:space="preserve"> </w:t>
      </w:r>
      <w:r w:rsidR="00FC3DEB">
        <w:t>a</w:t>
      </w:r>
      <w:r>
        <w:t xml:space="preserve">ll our freezing points were continually lowered as we added solute. This is proven by the consistent value achieved for the cryogenic constant, the percent standard error was 19% showing the linear nature of eq. 1. </w:t>
      </w:r>
      <w:r w:rsidR="008754F9">
        <w:t xml:space="preserve">It is difficult to estimate the eutectic temperature from figure 1 as the </w:t>
      </w:r>
      <w:r w:rsidR="007A46F1">
        <w:t>fit is cubic and the falloff is much steeper than you might expect.</w:t>
      </w:r>
    </w:p>
    <w:p w14:paraId="58E4A060" w14:textId="6100C4B9" w:rsidR="008754F9" w:rsidRDefault="008754F9" w:rsidP="0058102D">
      <w:pPr>
        <w:ind w:firstLine="720"/>
      </w:pPr>
      <w:r>
        <w:t>The enthalpy of fusion was calculated and we observed a relative uncertainty of 5%, the relative uncertainty of the averaged literature values was 3.7% indicating the inconsistency in our measured values.</w:t>
      </w:r>
      <w:r w:rsidR="007A46F1">
        <w:t xml:space="preserve"> Because of this large uncertainty, we were still able to find that our values agreed with the literature within two standard error. Our </w:t>
      </w:r>
      <w:r w:rsidR="00B2287E">
        <w:t xml:space="preserve">enthalpy of fusion </w:t>
      </w:r>
      <w:r w:rsidR="007A46F1">
        <w:t xml:space="preserve">was calculated </w:t>
      </w:r>
      <w:r w:rsidR="00B2287E">
        <w:t>to be 20000±1000J/mol and the literature values were averaged to 18900J/mol with a standard deviation of 700J/mol</w:t>
      </w:r>
      <w:r w:rsidR="00451523">
        <w:t xml:space="preserve">. </w:t>
      </w:r>
    </w:p>
    <w:p w14:paraId="0DEBDBCC" w14:textId="7E57D695" w:rsidR="0096679E" w:rsidRPr="00760201" w:rsidRDefault="0096679E">
      <w:pPr>
        <w:rPr>
          <w:sz w:val="32"/>
          <w:szCs w:val="32"/>
        </w:rPr>
      </w:pPr>
      <w:r w:rsidRPr="00760201">
        <w:rPr>
          <w:sz w:val="32"/>
          <w:szCs w:val="32"/>
        </w:rPr>
        <w:t>Safety</w:t>
      </w:r>
    </w:p>
    <w:p w14:paraId="0AD017F4" w14:textId="0454D2E9" w:rsidR="0096679E" w:rsidRDefault="003E6EE3">
      <w:r>
        <w:t xml:space="preserve">Naphthalene is combustible and may be explosive with air when exposed to heat. It is carcinogenic and toxic on oral ingestion. It is </w:t>
      </w:r>
      <w:r w:rsidR="00FD40D8">
        <w:t xml:space="preserve">extremely </w:t>
      </w:r>
      <w:r>
        <w:t xml:space="preserve">toxic and </w:t>
      </w:r>
      <w:r w:rsidR="00FD40D8">
        <w:t>persists</w:t>
      </w:r>
      <w:r>
        <w:t xml:space="preserve"> in aquatic life, care should be taken to clean out all test tubes thoroughly before washing test tubes with water.</w:t>
      </w:r>
      <w:r w:rsidR="00FD40D8">
        <w:fldChar w:fldCharType="begin"/>
      </w:r>
      <w:r w:rsidR="009B5529">
        <w:instrText xml:space="preserve"> ADDIN ZOTERO_ITEM CSL_CITATION {"citationID":"61qXCGkb","properties":{"formattedCitation":"\\super 3\\nosupersub{}","plainCitation":"3","noteIndex":0},"citationItems":[{"id":74,"uris":["http://zotero.org/users/local/YFsU4dqp/items/8Z7SCTQY"],"itemData":{"id":74,"type":"webpage","title":"Naphthalene MSDS - 820846 - MilliporeSigma","URL":"https://www.emdmillipore.com/US/en/product/msds/MDA_CHEM-820846?ReferrerURL=https%3A%2F%2Fduckduckgo.com%2F&amp;bd=1","accessed":{"date-parts":[["2022",10,28]]}}}],"schema":"https://github.com/citation-style-language/schema/raw/master/csl-citation.json"} </w:instrText>
      </w:r>
      <w:r w:rsidR="00FD40D8">
        <w:fldChar w:fldCharType="separate"/>
      </w:r>
      <w:r w:rsidR="009B5529" w:rsidRPr="009B5529">
        <w:rPr>
          <w:szCs w:val="24"/>
          <w:vertAlign w:val="superscript"/>
        </w:rPr>
        <w:t>3</w:t>
      </w:r>
      <w:r w:rsidR="00FD40D8">
        <w:fldChar w:fldCharType="end"/>
      </w:r>
    </w:p>
    <w:p w14:paraId="452BEF63" w14:textId="06FAB882" w:rsidR="008D3553" w:rsidRDefault="009B5529" w:rsidP="008D3553">
      <w:r w:rsidRPr="009B5529">
        <w:rPr>
          <w:sz w:val="32"/>
          <w:szCs w:val="32"/>
        </w:rPr>
        <w:t>References</w:t>
      </w:r>
    </w:p>
    <w:p w14:paraId="7037660B" w14:textId="77777777" w:rsidR="008D3553" w:rsidRPr="008D3553" w:rsidRDefault="008D3553" w:rsidP="008D3553">
      <w:pPr>
        <w:pStyle w:val="Bibliography"/>
        <w:rPr>
          <w:szCs w:val="24"/>
        </w:rPr>
      </w:pPr>
      <w:r>
        <w:fldChar w:fldCharType="begin"/>
      </w:r>
      <w:r>
        <w:instrText xml:space="preserve"> ADDIN ZOTERO_BIBL {"uncited":[],"omitted":[],"custom":[[["http://zotero.org/users/local/YFsU4dqp/items/V6DVLYYE"],"(2)\\tab{}Naphthalene. {\\i{}NIST Database}. https://webbook.nist.gov/cgi/cbook.cgi?ID=C91203&amp;Mask=4"]]} CSL_BIBLIOGRAPHY </w:instrText>
      </w:r>
      <w:r>
        <w:fldChar w:fldCharType="separate"/>
      </w:r>
      <w:r w:rsidRPr="008D3553">
        <w:rPr>
          <w:szCs w:val="24"/>
        </w:rPr>
        <w:t>(1)</w:t>
      </w:r>
      <w:r w:rsidRPr="008D3553">
        <w:rPr>
          <w:szCs w:val="24"/>
        </w:rPr>
        <w:tab/>
      </w:r>
      <w:r w:rsidRPr="008D3553">
        <w:rPr>
          <w:i/>
          <w:iCs/>
          <w:szCs w:val="24"/>
        </w:rPr>
        <w:t>Naphthalene | C10H8 - PubChem</w:t>
      </w:r>
      <w:r w:rsidRPr="008D3553">
        <w:rPr>
          <w:szCs w:val="24"/>
        </w:rPr>
        <w:t>. https://pubchem.ncbi.nlm.nih.gov/compound/naphthalene (accessed 2022-10-28).</w:t>
      </w:r>
    </w:p>
    <w:p w14:paraId="18529C86" w14:textId="77777777" w:rsidR="008D3553" w:rsidRPr="008D3553" w:rsidRDefault="008D3553" w:rsidP="008D3553">
      <w:pPr>
        <w:pStyle w:val="Bibliography"/>
        <w:rPr>
          <w:szCs w:val="24"/>
          <w:lang w:val="de-DE"/>
        </w:rPr>
      </w:pPr>
      <w:r w:rsidRPr="008D3553">
        <w:rPr>
          <w:szCs w:val="24"/>
          <w:lang w:val="de-DE"/>
        </w:rPr>
        <w:t>(2)</w:t>
      </w:r>
      <w:r w:rsidRPr="008D3553">
        <w:rPr>
          <w:szCs w:val="24"/>
          <w:lang w:val="de-DE"/>
        </w:rPr>
        <w:tab/>
        <w:t xml:space="preserve">Naphthalene. </w:t>
      </w:r>
      <w:r w:rsidRPr="008D3553">
        <w:rPr>
          <w:i/>
          <w:iCs/>
          <w:szCs w:val="24"/>
          <w:lang w:val="de-DE"/>
        </w:rPr>
        <w:t>NIST Database</w:t>
      </w:r>
      <w:r w:rsidRPr="008D3553">
        <w:rPr>
          <w:szCs w:val="24"/>
          <w:lang w:val="de-DE"/>
        </w:rPr>
        <w:t>. https://webbook.nist.gov/cgi/cbook.cgi?ID=C91203&amp;Mask=4</w:t>
      </w:r>
    </w:p>
    <w:p w14:paraId="344B8324" w14:textId="77777777" w:rsidR="008D3553" w:rsidRPr="008D3553" w:rsidRDefault="008D3553" w:rsidP="008D3553">
      <w:pPr>
        <w:pStyle w:val="Bibliography"/>
        <w:rPr>
          <w:szCs w:val="24"/>
        </w:rPr>
      </w:pPr>
      <w:r w:rsidRPr="008D3553">
        <w:rPr>
          <w:szCs w:val="24"/>
        </w:rPr>
        <w:lastRenderedPageBreak/>
        <w:t>(3)</w:t>
      </w:r>
      <w:r w:rsidRPr="008D3553">
        <w:rPr>
          <w:szCs w:val="24"/>
        </w:rPr>
        <w:tab/>
      </w:r>
      <w:r w:rsidRPr="008D3553">
        <w:rPr>
          <w:i/>
          <w:iCs/>
          <w:szCs w:val="24"/>
        </w:rPr>
        <w:t xml:space="preserve">Naphthalene MSDS - 820846 - </w:t>
      </w:r>
      <w:proofErr w:type="spellStart"/>
      <w:r w:rsidRPr="008D3553">
        <w:rPr>
          <w:i/>
          <w:iCs/>
          <w:szCs w:val="24"/>
        </w:rPr>
        <w:t>MilliporeSigma</w:t>
      </w:r>
      <w:proofErr w:type="spellEnd"/>
      <w:r w:rsidRPr="008D3553">
        <w:rPr>
          <w:szCs w:val="24"/>
        </w:rPr>
        <w:t>. https://www.emdmillipore.com/US/en/product/msds/MDA_CHEM-820846?ReferrerURL=https%3A%2F%2Fduckduckgo.com%2F&amp;bd=1 (accessed 2022-10-28).</w:t>
      </w:r>
    </w:p>
    <w:p w14:paraId="5B85147D" w14:textId="32AF026A" w:rsidR="008D3553" w:rsidRDefault="008D3553" w:rsidP="008D3553">
      <w:r>
        <w:fldChar w:fldCharType="end"/>
      </w:r>
    </w:p>
    <w:p w14:paraId="403BE1EC" w14:textId="7DB2B908" w:rsidR="009B5529" w:rsidRDefault="009B5529"/>
    <w:p w14:paraId="2E4BB86C" w14:textId="57026776" w:rsidR="00C70811" w:rsidRDefault="00C70811">
      <w:pPr>
        <w:rPr>
          <w:sz w:val="32"/>
          <w:szCs w:val="32"/>
        </w:rPr>
      </w:pPr>
      <w:r>
        <w:rPr>
          <w:sz w:val="32"/>
          <w:szCs w:val="32"/>
        </w:rPr>
        <w:t>Appendix</w:t>
      </w:r>
    </w:p>
    <w:p w14:paraId="71A7BFF3" w14:textId="77777777" w:rsidR="00BB1FEE" w:rsidRDefault="0072006D" w:rsidP="00BB1FEE">
      <w:pPr>
        <w:keepNext/>
        <w:jc w:val="center"/>
      </w:pPr>
      <w:r w:rsidRPr="0072006D">
        <w:rPr>
          <w:sz w:val="32"/>
          <w:szCs w:val="32"/>
        </w:rPr>
        <w:drawing>
          <wp:inline distT="0" distB="0" distL="0" distR="0" wp14:anchorId="33631AF2" wp14:editId="53C3C9B4">
            <wp:extent cx="6400800" cy="2019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019935"/>
                    </a:xfrm>
                    <a:prstGeom prst="rect">
                      <a:avLst/>
                    </a:prstGeom>
                  </pic:spPr>
                </pic:pic>
              </a:graphicData>
            </a:graphic>
          </wp:inline>
        </w:drawing>
      </w:r>
    </w:p>
    <w:p w14:paraId="1247FF8C" w14:textId="490C8638" w:rsidR="0036352A" w:rsidRPr="00BB1FEE" w:rsidRDefault="00BB1FEE" w:rsidP="00BB1FEE">
      <w:pPr>
        <w:pStyle w:val="Caption"/>
        <w:jc w:val="center"/>
        <w:rPr>
          <w:rStyle w:val="IntenseEmphasis"/>
          <w:i w:val="0"/>
          <w:iCs/>
        </w:rPr>
      </w:pPr>
      <w:r w:rsidRPr="00BB1FEE">
        <w:rPr>
          <w:rStyle w:val="IntenseEmphasis"/>
          <w:i w:val="0"/>
          <w:iCs/>
        </w:rPr>
        <w:t xml:space="preserve">Figure </w:t>
      </w:r>
      <w:r w:rsidRPr="00BB1FEE">
        <w:rPr>
          <w:rStyle w:val="IntenseEmphasis"/>
          <w:i w:val="0"/>
          <w:iCs/>
        </w:rPr>
        <w:fldChar w:fldCharType="begin"/>
      </w:r>
      <w:r w:rsidRPr="00BB1FEE">
        <w:rPr>
          <w:rStyle w:val="IntenseEmphasis"/>
          <w:i w:val="0"/>
          <w:iCs/>
        </w:rPr>
        <w:instrText xml:space="preserve"> SEQ Figure \* ARABIC </w:instrText>
      </w:r>
      <w:r w:rsidRPr="00BB1FEE">
        <w:rPr>
          <w:rStyle w:val="IntenseEmphasis"/>
          <w:i w:val="0"/>
          <w:iCs/>
        </w:rPr>
        <w:fldChar w:fldCharType="separate"/>
      </w:r>
      <w:r w:rsidR="00034512">
        <w:rPr>
          <w:rStyle w:val="IntenseEmphasis"/>
          <w:i w:val="0"/>
          <w:iCs/>
          <w:noProof/>
        </w:rPr>
        <w:t>3</w:t>
      </w:r>
      <w:r w:rsidRPr="00BB1FEE">
        <w:rPr>
          <w:rStyle w:val="IntenseEmphasis"/>
          <w:i w:val="0"/>
          <w:iCs/>
        </w:rPr>
        <w:fldChar w:fldCharType="end"/>
      </w:r>
      <w:r w:rsidRPr="00BB1FEE">
        <w:rPr>
          <w:rStyle w:val="IntenseEmphasis"/>
          <w:i w:val="0"/>
          <w:iCs/>
        </w:rPr>
        <w:t>: Calculation and uncertainty of mole fraction of trial 4.</w:t>
      </w:r>
    </w:p>
    <w:p w14:paraId="7AEAF08B" w14:textId="77777777" w:rsidR="00BB1FEE" w:rsidRDefault="00BB1FEE" w:rsidP="00BB1FEE">
      <w:pPr>
        <w:keepNext/>
        <w:jc w:val="center"/>
      </w:pPr>
      <w:r w:rsidRPr="00BB1FEE">
        <w:rPr>
          <w:sz w:val="32"/>
          <w:szCs w:val="32"/>
        </w:rPr>
        <w:drawing>
          <wp:inline distT="0" distB="0" distL="0" distR="0" wp14:anchorId="352DF9E3" wp14:editId="3AF2D4B7">
            <wp:extent cx="3816231"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2059" cy="3672770"/>
                    </a:xfrm>
                    <a:prstGeom prst="rect">
                      <a:avLst/>
                    </a:prstGeom>
                  </pic:spPr>
                </pic:pic>
              </a:graphicData>
            </a:graphic>
          </wp:inline>
        </w:drawing>
      </w:r>
    </w:p>
    <w:p w14:paraId="203FEC49" w14:textId="07046F6F" w:rsidR="00BB1FEE" w:rsidRPr="00BB1FEE" w:rsidRDefault="00BB1FEE" w:rsidP="00BB1FEE">
      <w:pPr>
        <w:pStyle w:val="Caption"/>
        <w:jc w:val="center"/>
        <w:rPr>
          <w:rStyle w:val="IntenseEmphasis"/>
          <w:i w:val="0"/>
          <w:iCs/>
        </w:rPr>
      </w:pPr>
      <w:r w:rsidRPr="00BB1FEE">
        <w:rPr>
          <w:rStyle w:val="IntenseEmphasis"/>
          <w:i w:val="0"/>
          <w:iCs/>
        </w:rPr>
        <w:t xml:space="preserve">Figure </w:t>
      </w:r>
      <w:r w:rsidRPr="00BB1FEE">
        <w:rPr>
          <w:rStyle w:val="IntenseEmphasis"/>
          <w:i w:val="0"/>
          <w:iCs/>
        </w:rPr>
        <w:fldChar w:fldCharType="begin"/>
      </w:r>
      <w:r w:rsidRPr="00BB1FEE">
        <w:rPr>
          <w:rStyle w:val="IntenseEmphasis"/>
          <w:i w:val="0"/>
          <w:iCs/>
        </w:rPr>
        <w:instrText xml:space="preserve"> SEQ Figure \* ARABIC </w:instrText>
      </w:r>
      <w:r w:rsidRPr="00BB1FEE">
        <w:rPr>
          <w:rStyle w:val="IntenseEmphasis"/>
          <w:i w:val="0"/>
          <w:iCs/>
        </w:rPr>
        <w:fldChar w:fldCharType="separate"/>
      </w:r>
      <w:r w:rsidR="00034512">
        <w:rPr>
          <w:rStyle w:val="IntenseEmphasis"/>
          <w:i w:val="0"/>
          <w:iCs/>
          <w:noProof/>
        </w:rPr>
        <w:t>4</w:t>
      </w:r>
      <w:r w:rsidRPr="00BB1FEE">
        <w:rPr>
          <w:rStyle w:val="IntenseEmphasis"/>
          <w:i w:val="0"/>
          <w:iCs/>
        </w:rPr>
        <w:fldChar w:fldCharType="end"/>
      </w:r>
      <w:r w:rsidRPr="00BB1FEE">
        <w:rPr>
          <w:rStyle w:val="IntenseEmphasis"/>
          <w:i w:val="0"/>
          <w:iCs/>
        </w:rPr>
        <w:t>: Uncertainty and calculation of cryogenic constant/</w:t>
      </w:r>
    </w:p>
    <w:p w14:paraId="42D4E13D" w14:textId="77777777" w:rsidR="00BB1FEE" w:rsidRDefault="00C70811" w:rsidP="00BB1FEE">
      <w:pPr>
        <w:keepNext/>
        <w:jc w:val="center"/>
      </w:pPr>
      <w:r w:rsidRPr="00C70811">
        <w:rPr>
          <w:sz w:val="32"/>
          <w:szCs w:val="32"/>
        </w:rPr>
        <w:lastRenderedPageBreak/>
        <w:drawing>
          <wp:inline distT="0" distB="0" distL="0" distR="0" wp14:anchorId="1850BE4B" wp14:editId="78AF1D8D">
            <wp:extent cx="3862425" cy="406052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6734" cy="4096597"/>
                    </a:xfrm>
                    <a:prstGeom prst="rect">
                      <a:avLst/>
                    </a:prstGeom>
                  </pic:spPr>
                </pic:pic>
              </a:graphicData>
            </a:graphic>
          </wp:inline>
        </w:drawing>
      </w:r>
    </w:p>
    <w:p w14:paraId="37A08381" w14:textId="791F632D" w:rsidR="00C70811" w:rsidRDefault="00BB1FEE" w:rsidP="00BB1FEE">
      <w:pPr>
        <w:pStyle w:val="Caption"/>
        <w:jc w:val="center"/>
        <w:rPr>
          <w:rStyle w:val="IntenseEmphasis"/>
          <w:i w:val="0"/>
          <w:iCs/>
        </w:rPr>
      </w:pPr>
      <w:r w:rsidRPr="00BB1FEE">
        <w:rPr>
          <w:rStyle w:val="IntenseEmphasis"/>
          <w:i w:val="0"/>
          <w:iCs/>
        </w:rPr>
        <w:t xml:space="preserve">Figure </w:t>
      </w:r>
      <w:r w:rsidRPr="00BB1FEE">
        <w:rPr>
          <w:rStyle w:val="IntenseEmphasis"/>
          <w:i w:val="0"/>
          <w:iCs/>
        </w:rPr>
        <w:fldChar w:fldCharType="begin"/>
      </w:r>
      <w:r w:rsidRPr="00BB1FEE">
        <w:rPr>
          <w:rStyle w:val="IntenseEmphasis"/>
          <w:i w:val="0"/>
          <w:iCs/>
        </w:rPr>
        <w:instrText xml:space="preserve"> SEQ Figure \* ARABIC </w:instrText>
      </w:r>
      <w:r w:rsidRPr="00BB1FEE">
        <w:rPr>
          <w:rStyle w:val="IntenseEmphasis"/>
          <w:i w:val="0"/>
          <w:iCs/>
        </w:rPr>
        <w:fldChar w:fldCharType="separate"/>
      </w:r>
      <w:r w:rsidR="00034512">
        <w:rPr>
          <w:rStyle w:val="IntenseEmphasis"/>
          <w:i w:val="0"/>
          <w:iCs/>
          <w:noProof/>
        </w:rPr>
        <w:t>5</w:t>
      </w:r>
      <w:r w:rsidRPr="00BB1FEE">
        <w:rPr>
          <w:rStyle w:val="IntenseEmphasis"/>
          <w:i w:val="0"/>
          <w:iCs/>
        </w:rPr>
        <w:fldChar w:fldCharType="end"/>
      </w:r>
      <w:r w:rsidRPr="00BB1FEE">
        <w:rPr>
          <w:rStyle w:val="IntenseEmphasis"/>
          <w:i w:val="0"/>
          <w:iCs/>
        </w:rPr>
        <w:t>: Uncertainty calculation for melting temperature.</w:t>
      </w:r>
    </w:p>
    <w:p w14:paraId="71A44952" w14:textId="77777777" w:rsidR="001C6FA5" w:rsidRDefault="001C6FA5" w:rsidP="00863A0E">
      <w:pPr>
        <w:keepNext/>
        <w:jc w:val="center"/>
      </w:pPr>
      <w:r w:rsidRPr="001C6FA5">
        <w:drawing>
          <wp:inline distT="0" distB="0" distL="0" distR="0" wp14:anchorId="77813321" wp14:editId="6DCB39CC">
            <wp:extent cx="4545235" cy="3247949"/>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7726" cy="3249729"/>
                    </a:xfrm>
                    <a:prstGeom prst="rect">
                      <a:avLst/>
                    </a:prstGeom>
                  </pic:spPr>
                </pic:pic>
              </a:graphicData>
            </a:graphic>
          </wp:inline>
        </w:drawing>
      </w:r>
    </w:p>
    <w:p w14:paraId="4BAC9AA6" w14:textId="0DB3389E" w:rsidR="001C6FA5" w:rsidRPr="001C6FA5" w:rsidRDefault="001C6FA5" w:rsidP="001C6FA5">
      <w:pPr>
        <w:pStyle w:val="Caption"/>
        <w:jc w:val="center"/>
        <w:rPr>
          <w:rStyle w:val="IntenseEmphasis"/>
          <w:i w:val="0"/>
          <w:iCs/>
        </w:rPr>
      </w:pPr>
      <w:r w:rsidRPr="001C6FA5">
        <w:rPr>
          <w:rStyle w:val="IntenseEmphasis"/>
          <w:i w:val="0"/>
          <w:iCs/>
        </w:rPr>
        <w:t xml:space="preserve">Figure </w:t>
      </w:r>
      <w:r w:rsidRPr="001C6FA5">
        <w:rPr>
          <w:rStyle w:val="IntenseEmphasis"/>
          <w:i w:val="0"/>
          <w:iCs/>
        </w:rPr>
        <w:fldChar w:fldCharType="begin"/>
      </w:r>
      <w:r w:rsidRPr="001C6FA5">
        <w:rPr>
          <w:rStyle w:val="IntenseEmphasis"/>
          <w:i w:val="0"/>
          <w:iCs/>
        </w:rPr>
        <w:instrText xml:space="preserve"> SEQ Figure \* ARABIC </w:instrText>
      </w:r>
      <w:r w:rsidRPr="001C6FA5">
        <w:rPr>
          <w:rStyle w:val="IntenseEmphasis"/>
          <w:i w:val="0"/>
          <w:iCs/>
        </w:rPr>
        <w:fldChar w:fldCharType="separate"/>
      </w:r>
      <w:r w:rsidR="00034512">
        <w:rPr>
          <w:rStyle w:val="IntenseEmphasis"/>
          <w:i w:val="0"/>
          <w:iCs/>
          <w:noProof/>
        </w:rPr>
        <w:t>6</w:t>
      </w:r>
      <w:r w:rsidRPr="001C6FA5">
        <w:rPr>
          <w:rStyle w:val="IntenseEmphasis"/>
          <w:i w:val="0"/>
          <w:iCs/>
        </w:rPr>
        <w:fldChar w:fldCharType="end"/>
      </w:r>
      <w:r w:rsidRPr="001C6FA5">
        <w:rPr>
          <w:rStyle w:val="IntenseEmphasis"/>
          <w:i w:val="0"/>
          <w:iCs/>
        </w:rPr>
        <w:t>: Uncertainty calculation for enthalpy of fusion for trial 4</w:t>
      </w:r>
    </w:p>
    <w:sectPr w:rsidR="001C6FA5" w:rsidRPr="001C6FA5" w:rsidSect="00A5172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6A"/>
    <w:rsid w:val="00022326"/>
    <w:rsid w:val="000308B0"/>
    <w:rsid w:val="00034512"/>
    <w:rsid w:val="000A6E72"/>
    <w:rsid w:val="000C7EAC"/>
    <w:rsid w:val="000D2C41"/>
    <w:rsid w:val="000F7564"/>
    <w:rsid w:val="0016494B"/>
    <w:rsid w:val="00180CA3"/>
    <w:rsid w:val="001B03A9"/>
    <w:rsid w:val="001C6FA5"/>
    <w:rsid w:val="001F5084"/>
    <w:rsid w:val="002340B9"/>
    <w:rsid w:val="00255EFB"/>
    <w:rsid w:val="00260EAE"/>
    <w:rsid w:val="00263227"/>
    <w:rsid w:val="002E24DB"/>
    <w:rsid w:val="002F57DE"/>
    <w:rsid w:val="00321864"/>
    <w:rsid w:val="00352213"/>
    <w:rsid w:val="00355F44"/>
    <w:rsid w:val="0036352A"/>
    <w:rsid w:val="00390043"/>
    <w:rsid w:val="003C0C6A"/>
    <w:rsid w:val="003E6EE3"/>
    <w:rsid w:val="003F116A"/>
    <w:rsid w:val="00425FBE"/>
    <w:rsid w:val="00451523"/>
    <w:rsid w:val="004645BE"/>
    <w:rsid w:val="00483AE7"/>
    <w:rsid w:val="004B4D6D"/>
    <w:rsid w:val="004C2BA6"/>
    <w:rsid w:val="004D26D6"/>
    <w:rsid w:val="0052701E"/>
    <w:rsid w:val="00532C5A"/>
    <w:rsid w:val="005421E6"/>
    <w:rsid w:val="00571886"/>
    <w:rsid w:val="0058102D"/>
    <w:rsid w:val="005B0157"/>
    <w:rsid w:val="005C75C8"/>
    <w:rsid w:val="0066777A"/>
    <w:rsid w:val="00692A09"/>
    <w:rsid w:val="006B3A1B"/>
    <w:rsid w:val="006F2A0A"/>
    <w:rsid w:val="0072006D"/>
    <w:rsid w:val="00752D89"/>
    <w:rsid w:val="00760201"/>
    <w:rsid w:val="00784BC1"/>
    <w:rsid w:val="007A46F1"/>
    <w:rsid w:val="007E3542"/>
    <w:rsid w:val="00863A0E"/>
    <w:rsid w:val="008754F9"/>
    <w:rsid w:val="008B36B1"/>
    <w:rsid w:val="008D3553"/>
    <w:rsid w:val="008E1463"/>
    <w:rsid w:val="00903DC2"/>
    <w:rsid w:val="009060E2"/>
    <w:rsid w:val="00922A65"/>
    <w:rsid w:val="00954F97"/>
    <w:rsid w:val="0096679E"/>
    <w:rsid w:val="00992B42"/>
    <w:rsid w:val="009A2357"/>
    <w:rsid w:val="009A4E6E"/>
    <w:rsid w:val="009B5529"/>
    <w:rsid w:val="00A26137"/>
    <w:rsid w:val="00A327E8"/>
    <w:rsid w:val="00A51723"/>
    <w:rsid w:val="00A80469"/>
    <w:rsid w:val="00AF63A9"/>
    <w:rsid w:val="00B2287E"/>
    <w:rsid w:val="00B35CF3"/>
    <w:rsid w:val="00BB1FEE"/>
    <w:rsid w:val="00C70811"/>
    <w:rsid w:val="00C84933"/>
    <w:rsid w:val="00CE6E50"/>
    <w:rsid w:val="00DD3C95"/>
    <w:rsid w:val="00E56D9D"/>
    <w:rsid w:val="00F42330"/>
    <w:rsid w:val="00F535FE"/>
    <w:rsid w:val="00F815F1"/>
    <w:rsid w:val="00F8372F"/>
    <w:rsid w:val="00FC3DEB"/>
    <w:rsid w:val="00FD4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884B"/>
  <w15:chartTrackingRefBased/>
  <w15:docId w15:val="{AA08DD37-874D-45C0-A69B-517F16AD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7E8"/>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327E8"/>
    <w:rPr>
      <w:rFonts w:ascii="Times New Roman" w:hAnsi="Times New Roman"/>
      <w:i w:val="0"/>
      <w:iCs/>
      <w:color w:val="auto"/>
      <w:sz w:val="22"/>
    </w:rPr>
  </w:style>
  <w:style w:type="character" w:customStyle="1" w:styleId="Heading1Char">
    <w:name w:val="Heading 1 Char"/>
    <w:basedOn w:val="DefaultParagraphFont"/>
    <w:link w:val="Heading1"/>
    <w:uiPriority w:val="9"/>
    <w:rsid w:val="00A327E8"/>
    <w:rPr>
      <w:rFonts w:eastAsiaTheme="majorEastAsia" w:cstheme="majorBidi"/>
      <w:b/>
      <w:sz w:val="32"/>
      <w:szCs w:val="32"/>
    </w:rPr>
  </w:style>
  <w:style w:type="paragraph" w:styleId="Caption">
    <w:name w:val="caption"/>
    <w:basedOn w:val="Normal"/>
    <w:next w:val="Normal"/>
    <w:uiPriority w:val="35"/>
    <w:unhideWhenUsed/>
    <w:qFormat/>
    <w:rsid w:val="00C84933"/>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C84933"/>
    <w:rPr>
      <w:rFonts w:ascii="Times New Roman" w:hAnsi="Times New Roman"/>
      <w:i w:val="0"/>
      <w:iCs/>
      <w:color w:val="auto"/>
      <w:sz w:val="22"/>
    </w:rPr>
  </w:style>
  <w:style w:type="character" w:styleId="PlaceholderText">
    <w:name w:val="Placeholder Text"/>
    <w:basedOn w:val="DefaultParagraphFont"/>
    <w:uiPriority w:val="99"/>
    <w:semiHidden/>
    <w:rsid w:val="00352213"/>
    <w:rPr>
      <w:color w:val="808080"/>
    </w:rPr>
  </w:style>
  <w:style w:type="paragraph" w:styleId="Bibliography">
    <w:name w:val="Bibliography"/>
    <w:basedOn w:val="Normal"/>
    <w:next w:val="Normal"/>
    <w:uiPriority w:val="37"/>
    <w:unhideWhenUsed/>
    <w:rsid w:val="009B5529"/>
    <w:pPr>
      <w:tabs>
        <w:tab w:val="left" w:pos="384"/>
      </w:tabs>
      <w:spacing w:after="0" w:line="240" w:lineRule="auto"/>
      <w:ind w:left="384" w:hanging="384"/>
    </w:pPr>
  </w:style>
  <w:style w:type="character" w:styleId="Strong">
    <w:name w:val="Strong"/>
    <w:basedOn w:val="DefaultParagraphFont"/>
    <w:uiPriority w:val="22"/>
    <w:qFormat/>
    <w:rsid w:val="004D26D6"/>
    <w:rPr>
      <w:b/>
      <w:bCs/>
    </w:rPr>
  </w:style>
  <w:style w:type="table" w:styleId="TableGrid">
    <w:name w:val="Table Grid"/>
    <w:basedOn w:val="TableNormal"/>
    <w:uiPriority w:val="39"/>
    <w:rsid w:val="00030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4028">
      <w:bodyDiv w:val="1"/>
      <w:marLeft w:val="0"/>
      <w:marRight w:val="0"/>
      <w:marTop w:val="0"/>
      <w:marBottom w:val="0"/>
      <w:divBdr>
        <w:top w:val="none" w:sz="0" w:space="0" w:color="auto"/>
        <w:left w:val="none" w:sz="0" w:space="0" w:color="auto"/>
        <w:bottom w:val="none" w:sz="0" w:space="0" w:color="auto"/>
        <w:right w:val="none" w:sz="0" w:space="0" w:color="auto"/>
      </w:divBdr>
    </w:div>
    <w:div w:id="340473013">
      <w:bodyDiv w:val="1"/>
      <w:marLeft w:val="0"/>
      <w:marRight w:val="0"/>
      <w:marTop w:val="0"/>
      <w:marBottom w:val="0"/>
      <w:divBdr>
        <w:top w:val="none" w:sz="0" w:space="0" w:color="auto"/>
        <w:left w:val="none" w:sz="0" w:space="0" w:color="auto"/>
        <w:bottom w:val="none" w:sz="0" w:space="0" w:color="auto"/>
        <w:right w:val="none" w:sz="0" w:space="0" w:color="auto"/>
      </w:divBdr>
    </w:div>
    <w:div w:id="530727034">
      <w:bodyDiv w:val="1"/>
      <w:marLeft w:val="0"/>
      <w:marRight w:val="0"/>
      <w:marTop w:val="0"/>
      <w:marBottom w:val="0"/>
      <w:divBdr>
        <w:top w:val="none" w:sz="0" w:space="0" w:color="auto"/>
        <w:left w:val="none" w:sz="0" w:space="0" w:color="auto"/>
        <w:bottom w:val="none" w:sz="0" w:space="0" w:color="auto"/>
        <w:right w:val="none" w:sz="0" w:space="0" w:color="auto"/>
      </w:divBdr>
    </w:div>
    <w:div w:id="541868362">
      <w:bodyDiv w:val="1"/>
      <w:marLeft w:val="0"/>
      <w:marRight w:val="0"/>
      <w:marTop w:val="0"/>
      <w:marBottom w:val="0"/>
      <w:divBdr>
        <w:top w:val="none" w:sz="0" w:space="0" w:color="auto"/>
        <w:left w:val="none" w:sz="0" w:space="0" w:color="auto"/>
        <w:bottom w:val="none" w:sz="0" w:space="0" w:color="auto"/>
        <w:right w:val="none" w:sz="0" w:space="0" w:color="auto"/>
      </w:divBdr>
    </w:div>
    <w:div w:id="918978470">
      <w:bodyDiv w:val="1"/>
      <w:marLeft w:val="0"/>
      <w:marRight w:val="0"/>
      <w:marTop w:val="0"/>
      <w:marBottom w:val="0"/>
      <w:divBdr>
        <w:top w:val="none" w:sz="0" w:space="0" w:color="auto"/>
        <w:left w:val="none" w:sz="0" w:space="0" w:color="auto"/>
        <w:bottom w:val="none" w:sz="0" w:space="0" w:color="auto"/>
        <w:right w:val="none" w:sz="0" w:space="0" w:color="auto"/>
      </w:divBdr>
    </w:div>
    <w:div w:id="120398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repos\Courses-Fall2022\PChemLab\4%20-%20Binary%20Phase%20Diagram\Chem%20451%20Binary%20Mixture%20La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ha\repos\Courses-Fall2022\PChemLab\4%20-%20Binary%20Phase%20Diagram\Chem%20451%20Binary%20Mixture%20La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ha\repos\Courses-Fall2022\PChemLab\4%20-%20Binary%20Phase%20Diagram\Chem%20451%20Binary%20Mixture%20La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tha\repos\Courses-Fall2022\PChemLab\4%20-%20Binary%20Phase%20Diagram\Chem%20451%20Binary%20Mixture%20La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tha\repos\Courses-Fall2022\PChemLab\4%20-%20Binary%20Phase%20Diagram\Chem%20451%20Binary%20Mixture%20La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tha\repos\Courses-Fall2022\PChemLab\4%20-%20Binary%20Phase%20Diagram\Temperature%20uncertainty%20calcul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atha\repos\Courses-Fall2022\PChemLab\4%20-%20Binary%20Phase%20Diagram\Temperature%20uncertainty%20calcul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0"/>
          </c:trendline>
          <c:xVal>
            <c:numRef>
              <c:f>Sheet1!$G$3:$G$10</c:f>
              <c:numCache>
                <c:formatCode>General</c:formatCode>
                <c:ptCount val="8"/>
                <c:pt idx="0">
                  <c:v>0</c:v>
                </c:pt>
                <c:pt idx="1">
                  <c:v>8.2519999999999996E-2</c:v>
                </c:pt>
                <c:pt idx="2">
                  <c:v>0.15035999999999999</c:v>
                </c:pt>
                <c:pt idx="3">
                  <c:v>0.20813000000000001</c:v>
                </c:pt>
                <c:pt idx="4">
                  <c:v>0.74399999999999999</c:v>
                </c:pt>
                <c:pt idx="5">
                  <c:v>0.81340000000000001</c:v>
                </c:pt>
                <c:pt idx="6">
                  <c:v>0.89710000000000001</c:v>
                </c:pt>
                <c:pt idx="7">
                  <c:v>1</c:v>
                </c:pt>
              </c:numCache>
            </c:numRef>
          </c:xVal>
          <c:yVal>
            <c:numRef>
              <c:f>Sheet1!$H$3:$H$10</c:f>
              <c:numCache>
                <c:formatCode>General</c:formatCode>
                <c:ptCount val="8"/>
                <c:pt idx="0">
                  <c:v>353.95</c:v>
                </c:pt>
                <c:pt idx="1">
                  <c:v>348.33</c:v>
                </c:pt>
                <c:pt idx="2">
                  <c:v>346.15</c:v>
                </c:pt>
                <c:pt idx="3">
                  <c:v>341.45</c:v>
                </c:pt>
              </c:numCache>
            </c:numRef>
          </c:yVal>
          <c:smooth val="1"/>
          <c:extLst>
            <c:ext xmlns:c16="http://schemas.microsoft.com/office/drawing/2014/chart" uri="{C3380CC4-5D6E-409C-BE32-E72D297353CC}">
              <c16:uniqueId val="{00000001-E318-46A9-8766-56BBD36DE8EC}"/>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xVal>
            <c:numRef>
              <c:f>Sheet1!$G$3:$G$10</c:f>
              <c:numCache>
                <c:formatCode>General</c:formatCode>
                <c:ptCount val="8"/>
                <c:pt idx="0">
                  <c:v>0</c:v>
                </c:pt>
                <c:pt idx="1">
                  <c:v>8.2519999999999996E-2</c:v>
                </c:pt>
                <c:pt idx="2">
                  <c:v>0.15035999999999999</c:v>
                </c:pt>
                <c:pt idx="3">
                  <c:v>0.20813000000000001</c:v>
                </c:pt>
                <c:pt idx="4">
                  <c:v>0.74399999999999999</c:v>
                </c:pt>
                <c:pt idx="5">
                  <c:v>0.81340000000000001</c:v>
                </c:pt>
                <c:pt idx="6">
                  <c:v>0.89710000000000001</c:v>
                </c:pt>
                <c:pt idx="7">
                  <c:v>1</c:v>
                </c:pt>
              </c:numCache>
            </c:numRef>
          </c:xVal>
          <c:yVal>
            <c:numRef>
              <c:f>Sheet1!$I$3:$I$10</c:f>
              <c:numCache>
                <c:formatCode>General</c:formatCode>
                <c:ptCount val="8"/>
                <c:pt idx="4">
                  <c:v>311.12</c:v>
                </c:pt>
                <c:pt idx="5">
                  <c:v>316.89</c:v>
                </c:pt>
                <c:pt idx="6">
                  <c:v>321.04000000000002</c:v>
                </c:pt>
                <c:pt idx="7">
                  <c:v>327.75</c:v>
                </c:pt>
              </c:numCache>
            </c:numRef>
          </c:yVal>
          <c:smooth val="1"/>
          <c:extLst>
            <c:ext xmlns:c16="http://schemas.microsoft.com/office/drawing/2014/chart" uri="{C3380CC4-5D6E-409C-BE32-E72D297353CC}">
              <c16:uniqueId val="{00000003-E318-46A9-8766-56BBD36DE8EC}"/>
            </c:ext>
          </c:extLst>
        </c:ser>
        <c:dLbls>
          <c:showLegendKey val="0"/>
          <c:showVal val="0"/>
          <c:showCatName val="0"/>
          <c:showSerName val="0"/>
          <c:showPercent val="0"/>
          <c:showBubbleSize val="0"/>
        </c:dLbls>
        <c:axId val="1988458704"/>
        <c:axId val="1988459536"/>
      </c:scatterChart>
      <c:valAx>
        <c:axId val="198845870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Mole</a:t>
                </a:r>
                <a:r>
                  <a:rPr lang="en-US" baseline="0"/>
                  <a:t> fraction of p-dichlorobenzene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459536"/>
        <c:crosses val="autoZero"/>
        <c:crossBetween val="midCat"/>
      </c:valAx>
      <c:valAx>
        <c:axId val="1988459536"/>
        <c:scaling>
          <c:orientation val="minMax"/>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458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a:solidFill>
                <a:schemeClr val="accent1"/>
              </a:solidFill>
              <a:round/>
            </a:ln>
            <a:effectLst/>
          </c:spPr>
          <c:marker>
            <c:symbol val="none"/>
          </c:marker>
          <c:cat>
            <c:numRef>
              <c:f>'Trial 1 '!$A$2:$A$71</c:f>
              <c:numCache>
                <c:formatCode>General</c:formatCode>
                <c:ptCount val="7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numCache>
            </c:numRef>
          </c:cat>
          <c:val>
            <c:numRef>
              <c:f>'Trial 1 '!$B$2:$B$71</c:f>
              <c:numCache>
                <c:formatCode>General</c:formatCode>
                <c:ptCount val="70"/>
                <c:pt idx="0">
                  <c:v>96.2</c:v>
                </c:pt>
                <c:pt idx="1">
                  <c:v>91.5</c:v>
                </c:pt>
                <c:pt idx="2">
                  <c:v>89.9</c:v>
                </c:pt>
                <c:pt idx="3">
                  <c:v>88.8</c:v>
                </c:pt>
                <c:pt idx="4">
                  <c:v>88.7</c:v>
                </c:pt>
                <c:pt idx="5">
                  <c:v>87.5</c:v>
                </c:pt>
                <c:pt idx="6">
                  <c:v>86.5</c:v>
                </c:pt>
                <c:pt idx="7">
                  <c:v>85.5</c:v>
                </c:pt>
                <c:pt idx="8">
                  <c:v>84.3</c:v>
                </c:pt>
                <c:pt idx="9">
                  <c:v>83.6</c:v>
                </c:pt>
                <c:pt idx="10">
                  <c:v>82.5</c:v>
                </c:pt>
                <c:pt idx="11">
                  <c:v>81.900000000000006</c:v>
                </c:pt>
                <c:pt idx="12">
                  <c:v>81.599999999999994</c:v>
                </c:pt>
                <c:pt idx="13">
                  <c:v>81.5</c:v>
                </c:pt>
                <c:pt idx="14">
                  <c:v>81.5</c:v>
                </c:pt>
                <c:pt idx="15">
                  <c:v>81.3</c:v>
                </c:pt>
                <c:pt idx="16">
                  <c:v>81.099999999999994</c:v>
                </c:pt>
                <c:pt idx="17">
                  <c:v>81</c:v>
                </c:pt>
                <c:pt idx="18">
                  <c:v>80.8</c:v>
                </c:pt>
                <c:pt idx="19">
                  <c:v>80.7</c:v>
                </c:pt>
                <c:pt idx="20">
                  <c:v>80.5</c:v>
                </c:pt>
                <c:pt idx="21">
                  <c:v>80.400000000000006</c:v>
                </c:pt>
                <c:pt idx="22">
                  <c:v>80.3</c:v>
                </c:pt>
                <c:pt idx="23">
                  <c:v>80.2</c:v>
                </c:pt>
                <c:pt idx="24">
                  <c:v>80.099999999999994</c:v>
                </c:pt>
                <c:pt idx="25">
                  <c:v>80</c:v>
                </c:pt>
                <c:pt idx="26">
                  <c:v>80</c:v>
                </c:pt>
                <c:pt idx="27">
                  <c:v>80</c:v>
                </c:pt>
                <c:pt idx="28">
                  <c:v>80</c:v>
                </c:pt>
                <c:pt idx="29">
                  <c:v>80</c:v>
                </c:pt>
                <c:pt idx="30">
                  <c:v>80</c:v>
                </c:pt>
                <c:pt idx="31">
                  <c:v>80</c:v>
                </c:pt>
                <c:pt idx="32">
                  <c:v>80</c:v>
                </c:pt>
                <c:pt idx="33">
                  <c:v>80</c:v>
                </c:pt>
                <c:pt idx="34">
                  <c:v>80</c:v>
                </c:pt>
                <c:pt idx="35">
                  <c:v>80</c:v>
                </c:pt>
                <c:pt idx="36">
                  <c:v>80</c:v>
                </c:pt>
                <c:pt idx="37">
                  <c:v>80.099999999999994</c:v>
                </c:pt>
                <c:pt idx="38">
                  <c:v>80.099999999999994</c:v>
                </c:pt>
                <c:pt idx="39">
                  <c:v>80.099999999999994</c:v>
                </c:pt>
                <c:pt idx="40">
                  <c:v>80.099999999999994</c:v>
                </c:pt>
                <c:pt idx="41">
                  <c:v>80.099999999999994</c:v>
                </c:pt>
                <c:pt idx="42">
                  <c:v>80.099999999999994</c:v>
                </c:pt>
                <c:pt idx="43">
                  <c:v>80.099999999999994</c:v>
                </c:pt>
                <c:pt idx="44">
                  <c:v>80.099999999999994</c:v>
                </c:pt>
                <c:pt idx="45">
                  <c:v>80.099999999999994</c:v>
                </c:pt>
                <c:pt idx="46">
                  <c:v>80.099999999999994</c:v>
                </c:pt>
                <c:pt idx="47">
                  <c:v>80.099999999999994</c:v>
                </c:pt>
                <c:pt idx="48">
                  <c:v>80.099999999999994</c:v>
                </c:pt>
                <c:pt idx="49">
                  <c:v>80.099999999999994</c:v>
                </c:pt>
                <c:pt idx="50">
                  <c:v>80.099999999999994</c:v>
                </c:pt>
                <c:pt idx="51">
                  <c:v>80.099999999999994</c:v>
                </c:pt>
                <c:pt idx="52">
                  <c:v>80</c:v>
                </c:pt>
                <c:pt idx="53">
                  <c:v>80</c:v>
                </c:pt>
                <c:pt idx="54">
                  <c:v>80</c:v>
                </c:pt>
                <c:pt idx="55">
                  <c:v>80</c:v>
                </c:pt>
                <c:pt idx="56">
                  <c:v>80</c:v>
                </c:pt>
                <c:pt idx="57">
                  <c:v>80</c:v>
                </c:pt>
                <c:pt idx="58">
                  <c:v>80</c:v>
                </c:pt>
                <c:pt idx="59">
                  <c:v>80</c:v>
                </c:pt>
                <c:pt idx="60">
                  <c:v>80</c:v>
                </c:pt>
                <c:pt idx="61">
                  <c:v>80</c:v>
                </c:pt>
                <c:pt idx="62">
                  <c:v>80</c:v>
                </c:pt>
                <c:pt idx="63">
                  <c:v>79.900000000000006</c:v>
                </c:pt>
                <c:pt idx="64">
                  <c:v>79.900000000000006</c:v>
                </c:pt>
                <c:pt idx="65">
                  <c:v>79.900000000000006</c:v>
                </c:pt>
                <c:pt idx="66">
                  <c:v>79.900000000000006</c:v>
                </c:pt>
                <c:pt idx="67">
                  <c:v>79.900000000000006</c:v>
                </c:pt>
                <c:pt idx="68">
                  <c:v>79.8</c:v>
                </c:pt>
                <c:pt idx="69">
                  <c:v>79.8</c:v>
                </c:pt>
              </c:numCache>
            </c:numRef>
          </c:val>
          <c:smooth val="0"/>
          <c:extLst>
            <c:ext xmlns:c16="http://schemas.microsoft.com/office/drawing/2014/chart" uri="{C3380CC4-5D6E-409C-BE32-E72D297353CC}">
              <c16:uniqueId val="{00000000-9B8B-49B5-9492-6CE9E70D9046}"/>
            </c:ext>
          </c:extLst>
        </c:ser>
        <c:dLbls>
          <c:showLegendKey val="0"/>
          <c:showVal val="0"/>
          <c:showCatName val="0"/>
          <c:showSerName val="0"/>
          <c:showPercent val="0"/>
          <c:showBubbleSize val="0"/>
        </c:dLbls>
        <c:smooth val="0"/>
        <c:axId val="395233760"/>
        <c:axId val="395244640"/>
      </c:lineChart>
      <c:catAx>
        <c:axId val="395233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Time</a:t>
                </a:r>
                <a:r>
                  <a:rPr lang="en-US" sz="1100" baseline="0"/>
                  <a:t> (s)</a:t>
                </a:r>
                <a:endParaRPr lang="en-US" sz="1100"/>
              </a:p>
            </c:rich>
          </c:tx>
          <c:layout>
            <c:manualLayout>
              <c:xMode val="edge"/>
              <c:yMode val="edge"/>
              <c:x val="0.50141023457203926"/>
              <c:y val="0.8873816070882981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244640"/>
        <c:crosses val="autoZero"/>
        <c:auto val="1"/>
        <c:lblAlgn val="ctr"/>
        <c:lblOffset val="100"/>
        <c:noMultiLvlLbl val="1"/>
      </c:catAx>
      <c:valAx>
        <c:axId val="395244640"/>
        <c:scaling>
          <c:orientation val="minMax"/>
          <c:max val="100"/>
          <c:min val="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(Celsius)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395233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a:solidFill>
                <a:schemeClr val="accent1"/>
              </a:solidFill>
              <a:round/>
            </a:ln>
            <a:effectLst/>
          </c:spPr>
          <c:marker>
            <c:symbol val="none"/>
          </c:marker>
          <c:cat>
            <c:numRef>
              <c:f>'Trial 2 '!$A$2:$A$77</c:f>
              <c:numCache>
                <c:formatCode>General</c:formatCode>
                <c:ptCount val="76"/>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numCache>
            </c:numRef>
          </c:cat>
          <c:val>
            <c:numRef>
              <c:f>'Trial 2 '!$B$2:$B$77</c:f>
              <c:numCache>
                <c:formatCode>General</c:formatCode>
                <c:ptCount val="76"/>
                <c:pt idx="0">
                  <c:v>93.2</c:v>
                </c:pt>
                <c:pt idx="1">
                  <c:v>92.2</c:v>
                </c:pt>
                <c:pt idx="2">
                  <c:v>91.1</c:v>
                </c:pt>
                <c:pt idx="3">
                  <c:v>90</c:v>
                </c:pt>
                <c:pt idx="4">
                  <c:v>88.9</c:v>
                </c:pt>
                <c:pt idx="5">
                  <c:v>85.6</c:v>
                </c:pt>
                <c:pt idx="6">
                  <c:v>84.6</c:v>
                </c:pt>
                <c:pt idx="7">
                  <c:v>83.2</c:v>
                </c:pt>
                <c:pt idx="8">
                  <c:v>81.599999999999994</c:v>
                </c:pt>
                <c:pt idx="9">
                  <c:v>81.2</c:v>
                </c:pt>
                <c:pt idx="10">
                  <c:v>80.400000000000006</c:v>
                </c:pt>
                <c:pt idx="11">
                  <c:v>80.3</c:v>
                </c:pt>
                <c:pt idx="12">
                  <c:v>79.3</c:v>
                </c:pt>
                <c:pt idx="13">
                  <c:v>78.3</c:v>
                </c:pt>
                <c:pt idx="14">
                  <c:v>77.400000000000006</c:v>
                </c:pt>
                <c:pt idx="15">
                  <c:v>76.400000000000006</c:v>
                </c:pt>
                <c:pt idx="16">
                  <c:v>76</c:v>
                </c:pt>
                <c:pt idx="17">
                  <c:v>75.7</c:v>
                </c:pt>
                <c:pt idx="18">
                  <c:v>75.3</c:v>
                </c:pt>
                <c:pt idx="19">
                  <c:v>75.2</c:v>
                </c:pt>
                <c:pt idx="20">
                  <c:v>75.099999999999994</c:v>
                </c:pt>
                <c:pt idx="21">
                  <c:v>75.099999999999994</c:v>
                </c:pt>
                <c:pt idx="22">
                  <c:v>75.099999999999994</c:v>
                </c:pt>
                <c:pt idx="23">
                  <c:v>75</c:v>
                </c:pt>
                <c:pt idx="24">
                  <c:v>75</c:v>
                </c:pt>
                <c:pt idx="25">
                  <c:v>74.8</c:v>
                </c:pt>
                <c:pt idx="26">
                  <c:v>74.8</c:v>
                </c:pt>
                <c:pt idx="27">
                  <c:v>74.8</c:v>
                </c:pt>
                <c:pt idx="28">
                  <c:v>74.8</c:v>
                </c:pt>
                <c:pt idx="29">
                  <c:v>75</c:v>
                </c:pt>
                <c:pt idx="30">
                  <c:v>75</c:v>
                </c:pt>
                <c:pt idx="31">
                  <c:v>74.900000000000006</c:v>
                </c:pt>
                <c:pt idx="32">
                  <c:v>74.8</c:v>
                </c:pt>
                <c:pt idx="33">
                  <c:v>74.8</c:v>
                </c:pt>
                <c:pt idx="34">
                  <c:v>74.8</c:v>
                </c:pt>
                <c:pt idx="35">
                  <c:v>74.7</c:v>
                </c:pt>
                <c:pt idx="36">
                  <c:v>74.900000000000006</c:v>
                </c:pt>
                <c:pt idx="37">
                  <c:v>75</c:v>
                </c:pt>
                <c:pt idx="38">
                  <c:v>75</c:v>
                </c:pt>
                <c:pt idx="39">
                  <c:v>75</c:v>
                </c:pt>
                <c:pt idx="40">
                  <c:v>75</c:v>
                </c:pt>
                <c:pt idx="41">
                  <c:v>75</c:v>
                </c:pt>
                <c:pt idx="42">
                  <c:v>75</c:v>
                </c:pt>
                <c:pt idx="43">
                  <c:v>75</c:v>
                </c:pt>
                <c:pt idx="44">
                  <c:v>74.900000000000006</c:v>
                </c:pt>
                <c:pt idx="45">
                  <c:v>74.8</c:v>
                </c:pt>
                <c:pt idx="46">
                  <c:v>74.7</c:v>
                </c:pt>
                <c:pt idx="47">
                  <c:v>74.7</c:v>
                </c:pt>
                <c:pt idx="48">
                  <c:v>74.8</c:v>
                </c:pt>
                <c:pt idx="49">
                  <c:v>74.8</c:v>
                </c:pt>
                <c:pt idx="50">
                  <c:v>74.900000000000006</c:v>
                </c:pt>
                <c:pt idx="51">
                  <c:v>74.900000000000006</c:v>
                </c:pt>
                <c:pt idx="52">
                  <c:v>74.8</c:v>
                </c:pt>
                <c:pt idx="53">
                  <c:v>74.8</c:v>
                </c:pt>
                <c:pt idx="54">
                  <c:v>74.8</c:v>
                </c:pt>
                <c:pt idx="55">
                  <c:v>74.8</c:v>
                </c:pt>
                <c:pt idx="56">
                  <c:v>74.8</c:v>
                </c:pt>
                <c:pt idx="57">
                  <c:v>74.7</c:v>
                </c:pt>
                <c:pt idx="58">
                  <c:v>74.7</c:v>
                </c:pt>
                <c:pt idx="59">
                  <c:v>74.7</c:v>
                </c:pt>
                <c:pt idx="60">
                  <c:v>74.7</c:v>
                </c:pt>
                <c:pt idx="61">
                  <c:v>74.7</c:v>
                </c:pt>
                <c:pt idx="62">
                  <c:v>74.599999999999994</c:v>
                </c:pt>
                <c:pt idx="63">
                  <c:v>74.599999999999994</c:v>
                </c:pt>
                <c:pt idx="64">
                  <c:v>74.599999999999994</c:v>
                </c:pt>
                <c:pt idx="65">
                  <c:v>74.5</c:v>
                </c:pt>
                <c:pt idx="66">
                  <c:v>74.5</c:v>
                </c:pt>
                <c:pt idx="67">
                  <c:v>74.5</c:v>
                </c:pt>
                <c:pt idx="68">
                  <c:v>74.400000000000006</c:v>
                </c:pt>
                <c:pt idx="69">
                  <c:v>74.3</c:v>
                </c:pt>
                <c:pt idx="70">
                  <c:v>74.3</c:v>
                </c:pt>
                <c:pt idx="71">
                  <c:v>74.3</c:v>
                </c:pt>
                <c:pt idx="72">
                  <c:v>74.3</c:v>
                </c:pt>
                <c:pt idx="73">
                  <c:v>74.2</c:v>
                </c:pt>
                <c:pt idx="74">
                  <c:v>74.2</c:v>
                </c:pt>
                <c:pt idx="75">
                  <c:v>74.2</c:v>
                </c:pt>
              </c:numCache>
            </c:numRef>
          </c:val>
          <c:smooth val="0"/>
          <c:extLst>
            <c:ext xmlns:c16="http://schemas.microsoft.com/office/drawing/2014/chart" uri="{C3380CC4-5D6E-409C-BE32-E72D297353CC}">
              <c16:uniqueId val="{00000000-2935-4E39-9ED9-64C61E38AD2E}"/>
            </c:ext>
          </c:extLst>
        </c:ser>
        <c:dLbls>
          <c:showLegendKey val="0"/>
          <c:showVal val="0"/>
          <c:showCatName val="0"/>
          <c:showSerName val="0"/>
          <c:showPercent val="0"/>
          <c:showBubbleSize val="0"/>
        </c:dLbls>
        <c:smooth val="0"/>
        <c:axId val="293367040"/>
        <c:axId val="335510256"/>
      </c:lineChart>
      <c:catAx>
        <c:axId val="29336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35510256"/>
        <c:crosses val="autoZero"/>
        <c:auto val="1"/>
        <c:lblAlgn val="ctr"/>
        <c:lblOffset val="100"/>
        <c:noMultiLvlLbl val="1"/>
      </c:catAx>
      <c:valAx>
        <c:axId val="33551025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(Celsius)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67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a:solidFill>
                <a:schemeClr val="accent1"/>
              </a:solidFill>
              <a:round/>
            </a:ln>
            <a:effectLst/>
          </c:spPr>
          <c:marker>
            <c:symbol val="none"/>
          </c:marker>
          <c:cat>
            <c:numRef>
              <c:f>'Trial 3'!$A$2:$A$109</c:f>
              <c:numCache>
                <c:formatCode>General</c:formatCode>
                <c:ptCount val="108"/>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pt idx="104">
                  <c:v>210</c:v>
                </c:pt>
                <c:pt idx="105">
                  <c:v>212</c:v>
                </c:pt>
                <c:pt idx="106">
                  <c:v>214</c:v>
                </c:pt>
                <c:pt idx="107">
                  <c:v>216</c:v>
                </c:pt>
              </c:numCache>
            </c:numRef>
          </c:cat>
          <c:val>
            <c:numRef>
              <c:f>'Trial 3'!$B$2:$B$109</c:f>
              <c:numCache>
                <c:formatCode>General</c:formatCode>
                <c:ptCount val="108"/>
                <c:pt idx="0">
                  <c:v>94</c:v>
                </c:pt>
                <c:pt idx="1">
                  <c:v>91.2</c:v>
                </c:pt>
                <c:pt idx="2">
                  <c:v>90.2</c:v>
                </c:pt>
                <c:pt idx="3">
                  <c:v>88.7</c:v>
                </c:pt>
                <c:pt idx="4">
                  <c:v>87.5</c:v>
                </c:pt>
                <c:pt idx="5">
                  <c:v>86.8</c:v>
                </c:pt>
                <c:pt idx="6">
                  <c:v>85.7</c:v>
                </c:pt>
                <c:pt idx="7">
                  <c:v>84.6</c:v>
                </c:pt>
                <c:pt idx="8">
                  <c:v>83.2</c:v>
                </c:pt>
                <c:pt idx="9">
                  <c:v>82.6</c:v>
                </c:pt>
                <c:pt idx="10">
                  <c:v>81.2</c:v>
                </c:pt>
                <c:pt idx="11">
                  <c:v>80.7</c:v>
                </c:pt>
                <c:pt idx="12">
                  <c:v>80.3</c:v>
                </c:pt>
                <c:pt idx="13">
                  <c:v>79.7</c:v>
                </c:pt>
                <c:pt idx="14">
                  <c:v>79.099999999999994</c:v>
                </c:pt>
                <c:pt idx="15">
                  <c:v>78.400000000000006</c:v>
                </c:pt>
                <c:pt idx="16">
                  <c:v>77.8</c:v>
                </c:pt>
                <c:pt idx="17">
                  <c:v>75.7</c:v>
                </c:pt>
                <c:pt idx="18">
                  <c:v>74.7</c:v>
                </c:pt>
                <c:pt idx="19">
                  <c:v>73.900000000000006</c:v>
                </c:pt>
                <c:pt idx="20">
                  <c:v>73.400000000000006</c:v>
                </c:pt>
                <c:pt idx="21">
                  <c:v>72.900000000000006</c:v>
                </c:pt>
                <c:pt idx="22">
                  <c:v>72.599999999999994</c:v>
                </c:pt>
                <c:pt idx="23">
                  <c:v>71.8</c:v>
                </c:pt>
                <c:pt idx="24">
                  <c:v>71.2</c:v>
                </c:pt>
                <c:pt idx="25">
                  <c:v>70.8</c:v>
                </c:pt>
                <c:pt idx="26">
                  <c:v>70.5</c:v>
                </c:pt>
                <c:pt idx="27">
                  <c:v>70.2</c:v>
                </c:pt>
                <c:pt idx="28">
                  <c:v>69.599999999999994</c:v>
                </c:pt>
                <c:pt idx="29">
                  <c:v>69.599999999999994</c:v>
                </c:pt>
                <c:pt idx="30">
                  <c:v>68.900000000000006</c:v>
                </c:pt>
                <c:pt idx="31">
                  <c:v>68.3</c:v>
                </c:pt>
                <c:pt idx="32">
                  <c:v>68.2</c:v>
                </c:pt>
                <c:pt idx="33">
                  <c:v>68.099999999999994</c:v>
                </c:pt>
                <c:pt idx="34">
                  <c:v>67.900000000000006</c:v>
                </c:pt>
                <c:pt idx="35">
                  <c:v>67.599999999999994</c:v>
                </c:pt>
                <c:pt idx="36">
                  <c:v>67.400000000000006</c:v>
                </c:pt>
                <c:pt idx="37">
                  <c:v>67.099999999999994</c:v>
                </c:pt>
                <c:pt idx="38">
                  <c:v>67</c:v>
                </c:pt>
                <c:pt idx="39">
                  <c:v>66.5</c:v>
                </c:pt>
                <c:pt idx="40">
                  <c:v>66.3</c:v>
                </c:pt>
                <c:pt idx="41">
                  <c:v>66.099999999999994</c:v>
                </c:pt>
                <c:pt idx="42">
                  <c:v>66</c:v>
                </c:pt>
                <c:pt idx="43">
                  <c:v>65.8</c:v>
                </c:pt>
                <c:pt idx="44">
                  <c:v>65.5</c:v>
                </c:pt>
                <c:pt idx="45">
                  <c:v>65.5</c:v>
                </c:pt>
                <c:pt idx="46">
                  <c:v>65.3</c:v>
                </c:pt>
                <c:pt idx="47">
                  <c:v>65.099999999999994</c:v>
                </c:pt>
                <c:pt idx="48">
                  <c:v>65</c:v>
                </c:pt>
                <c:pt idx="49">
                  <c:v>64.900000000000006</c:v>
                </c:pt>
                <c:pt idx="50">
                  <c:v>64.5</c:v>
                </c:pt>
                <c:pt idx="51">
                  <c:v>64.3</c:v>
                </c:pt>
                <c:pt idx="52">
                  <c:v>64.2</c:v>
                </c:pt>
                <c:pt idx="53">
                  <c:v>64</c:v>
                </c:pt>
                <c:pt idx="54">
                  <c:v>63.8</c:v>
                </c:pt>
                <c:pt idx="55">
                  <c:v>63.6</c:v>
                </c:pt>
                <c:pt idx="56">
                  <c:v>63.4</c:v>
                </c:pt>
                <c:pt idx="57">
                  <c:v>63.2</c:v>
                </c:pt>
                <c:pt idx="58">
                  <c:v>63</c:v>
                </c:pt>
                <c:pt idx="59">
                  <c:v>62.8</c:v>
                </c:pt>
                <c:pt idx="60">
                  <c:v>62.6</c:v>
                </c:pt>
                <c:pt idx="61">
                  <c:v>62.4</c:v>
                </c:pt>
                <c:pt idx="62">
                  <c:v>62.3</c:v>
                </c:pt>
                <c:pt idx="63">
                  <c:v>62.2</c:v>
                </c:pt>
                <c:pt idx="64">
                  <c:v>62</c:v>
                </c:pt>
                <c:pt idx="65">
                  <c:v>61.8</c:v>
                </c:pt>
                <c:pt idx="66">
                  <c:v>61.6</c:v>
                </c:pt>
                <c:pt idx="67">
                  <c:v>61.4</c:v>
                </c:pt>
                <c:pt idx="68">
                  <c:v>61.3</c:v>
                </c:pt>
                <c:pt idx="69">
                  <c:v>61.1</c:v>
                </c:pt>
                <c:pt idx="70">
                  <c:v>60.9</c:v>
                </c:pt>
                <c:pt idx="71">
                  <c:v>60.7</c:v>
                </c:pt>
                <c:pt idx="72">
                  <c:v>60.5</c:v>
                </c:pt>
                <c:pt idx="73">
                  <c:v>60.3</c:v>
                </c:pt>
                <c:pt idx="74">
                  <c:v>60</c:v>
                </c:pt>
                <c:pt idx="75">
                  <c:v>59.8</c:v>
                </c:pt>
                <c:pt idx="76">
                  <c:v>59.4</c:v>
                </c:pt>
                <c:pt idx="77">
                  <c:v>59.3</c:v>
                </c:pt>
                <c:pt idx="78">
                  <c:v>59</c:v>
                </c:pt>
                <c:pt idx="79">
                  <c:v>58.8</c:v>
                </c:pt>
                <c:pt idx="80">
                  <c:v>58.5</c:v>
                </c:pt>
                <c:pt idx="81">
                  <c:v>58.2</c:v>
                </c:pt>
                <c:pt idx="82">
                  <c:v>58</c:v>
                </c:pt>
                <c:pt idx="83">
                  <c:v>57.9</c:v>
                </c:pt>
                <c:pt idx="84">
                  <c:v>57.6</c:v>
                </c:pt>
                <c:pt idx="85">
                  <c:v>57.4</c:v>
                </c:pt>
                <c:pt idx="86">
                  <c:v>57.2</c:v>
                </c:pt>
                <c:pt idx="87">
                  <c:v>56.9</c:v>
                </c:pt>
                <c:pt idx="88">
                  <c:v>56.8</c:v>
                </c:pt>
                <c:pt idx="89">
                  <c:v>56.5</c:v>
                </c:pt>
                <c:pt idx="90">
                  <c:v>56.3</c:v>
                </c:pt>
                <c:pt idx="91">
                  <c:v>56.1</c:v>
                </c:pt>
                <c:pt idx="92">
                  <c:v>55.9</c:v>
                </c:pt>
                <c:pt idx="93">
                  <c:v>55.7</c:v>
                </c:pt>
                <c:pt idx="94">
                  <c:v>55.5</c:v>
                </c:pt>
                <c:pt idx="95">
                  <c:v>55.3</c:v>
                </c:pt>
                <c:pt idx="96">
                  <c:v>55.2</c:v>
                </c:pt>
                <c:pt idx="97">
                  <c:v>55.1</c:v>
                </c:pt>
                <c:pt idx="98">
                  <c:v>55</c:v>
                </c:pt>
                <c:pt idx="99">
                  <c:v>54.8</c:v>
                </c:pt>
                <c:pt idx="100">
                  <c:v>54.6</c:v>
                </c:pt>
                <c:pt idx="101">
                  <c:v>54.5</c:v>
                </c:pt>
                <c:pt idx="102">
                  <c:v>54.4</c:v>
                </c:pt>
                <c:pt idx="103">
                  <c:v>54.2</c:v>
                </c:pt>
                <c:pt idx="104">
                  <c:v>54.1</c:v>
                </c:pt>
                <c:pt idx="105">
                  <c:v>54</c:v>
                </c:pt>
                <c:pt idx="106">
                  <c:v>53.9</c:v>
                </c:pt>
                <c:pt idx="107">
                  <c:v>53.8</c:v>
                </c:pt>
              </c:numCache>
            </c:numRef>
          </c:val>
          <c:smooth val="0"/>
          <c:extLst>
            <c:ext xmlns:c16="http://schemas.microsoft.com/office/drawing/2014/chart" uri="{C3380CC4-5D6E-409C-BE32-E72D297353CC}">
              <c16:uniqueId val="{00000000-5462-441B-BE34-F05FC0E8FD80}"/>
            </c:ext>
          </c:extLst>
        </c:ser>
        <c:dLbls>
          <c:showLegendKey val="0"/>
          <c:showVal val="0"/>
          <c:showCatName val="0"/>
          <c:showSerName val="0"/>
          <c:showPercent val="0"/>
          <c:showBubbleSize val="0"/>
        </c:dLbls>
        <c:smooth val="0"/>
        <c:axId val="423493280"/>
        <c:axId val="423389552"/>
      </c:lineChart>
      <c:catAx>
        <c:axId val="423493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23389552"/>
        <c:crosses val="autoZero"/>
        <c:auto val="1"/>
        <c:lblAlgn val="ctr"/>
        <c:lblOffset val="100"/>
        <c:noMultiLvlLbl val="1"/>
      </c:catAx>
      <c:valAx>
        <c:axId val="42338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(Celsius)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493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a:solidFill>
                <a:schemeClr val="accent1"/>
              </a:solidFill>
              <a:round/>
            </a:ln>
            <a:effectLst/>
          </c:spPr>
          <c:marker>
            <c:symbol val="none"/>
          </c:marker>
          <c:cat>
            <c:numRef>
              <c:f>'Trial 4 '!$A$2:$A$105</c:f>
              <c:numCache>
                <c:formatCode>General</c:formatCode>
                <c:ptCount val="104"/>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numCache>
            </c:numRef>
          </c:cat>
          <c:val>
            <c:numRef>
              <c:f>'Trial 4 '!$B$2:$B$105</c:f>
              <c:numCache>
                <c:formatCode>General</c:formatCode>
                <c:ptCount val="104"/>
                <c:pt idx="0">
                  <c:v>91.2</c:v>
                </c:pt>
                <c:pt idx="1">
                  <c:v>90.7</c:v>
                </c:pt>
                <c:pt idx="2">
                  <c:v>88.7</c:v>
                </c:pt>
                <c:pt idx="3">
                  <c:v>86.6</c:v>
                </c:pt>
                <c:pt idx="4">
                  <c:v>84.5</c:v>
                </c:pt>
                <c:pt idx="5">
                  <c:v>82.5</c:v>
                </c:pt>
                <c:pt idx="6">
                  <c:v>81.5</c:v>
                </c:pt>
                <c:pt idx="7">
                  <c:v>80</c:v>
                </c:pt>
                <c:pt idx="8">
                  <c:v>78.5</c:v>
                </c:pt>
                <c:pt idx="9">
                  <c:v>78.099999999999994</c:v>
                </c:pt>
                <c:pt idx="10">
                  <c:v>77.900000000000006</c:v>
                </c:pt>
                <c:pt idx="11">
                  <c:v>77.2</c:v>
                </c:pt>
                <c:pt idx="12">
                  <c:v>76.7</c:v>
                </c:pt>
                <c:pt idx="13">
                  <c:v>74.599999999999994</c:v>
                </c:pt>
                <c:pt idx="14">
                  <c:v>73.400000000000006</c:v>
                </c:pt>
                <c:pt idx="15">
                  <c:v>72.099999999999994</c:v>
                </c:pt>
                <c:pt idx="16">
                  <c:v>71.3</c:v>
                </c:pt>
                <c:pt idx="17">
                  <c:v>70.900000000000006</c:v>
                </c:pt>
                <c:pt idx="18">
                  <c:v>70.099999999999994</c:v>
                </c:pt>
                <c:pt idx="19">
                  <c:v>69.5</c:v>
                </c:pt>
                <c:pt idx="20">
                  <c:v>69</c:v>
                </c:pt>
                <c:pt idx="21">
                  <c:v>68.599999999999994</c:v>
                </c:pt>
                <c:pt idx="22">
                  <c:v>68</c:v>
                </c:pt>
                <c:pt idx="23">
                  <c:v>68.099999999999994</c:v>
                </c:pt>
                <c:pt idx="24">
                  <c:v>68</c:v>
                </c:pt>
                <c:pt idx="25">
                  <c:v>68</c:v>
                </c:pt>
                <c:pt idx="26">
                  <c:v>67.8</c:v>
                </c:pt>
                <c:pt idx="27">
                  <c:v>67.599999999999994</c:v>
                </c:pt>
                <c:pt idx="28">
                  <c:v>67.3</c:v>
                </c:pt>
                <c:pt idx="29">
                  <c:v>66.7</c:v>
                </c:pt>
                <c:pt idx="30">
                  <c:v>66.5</c:v>
                </c:pt>
                <c:pt idx="31">
                  <c:v>66.5</c:v>
                </c:pt>
                <c:pt idx="32">
                  <c:v>66.2</c:v>
                </c:pt>
                <c:pt idx="33">
                  <c:v>66</c:v>
                </c:pt>
                <c:pt idx="34">
                  <c:v>65.900000000000006</c:v>
                </c:pt>
                <c:pt idx="35">
                  <c:v>65.8</c:v>
                </c:pt>
                <c:pt idx="36">
                  <c:v>65.599999999999994</c:v>
                </c:pt>
                <c:pt idx="37">
                  <c:v>65.5</c:v>
                </c:pt>
                <c:pt idx="38">
                  <c:v>65.3</c:v>
                </c:pt>
                <c:pt idx="39">
                  <c:v>65.3</c:v>
                </c:pt>
                <c:pt idx="40">
                  <c:v>65</c:v>
                </c:pt>
                <c:pt idx="41">
                  <c:v>64.900000000000006</c:v>
                </c:pt>
                <c:pt idx="42">
                  <c:v>64.7</c:v>
                </c:pt>
                <c:pt idx="43">
                  <c:v>64.5</c:v>
                </c:pt>
                <c:pt idx="44">
                  <c:v>64.400000000000006</c:v>
                </c:pt>
                <c:pt idx="45">
                  <c:v>64.3</c:v>
                </c:pt>
                <c:pt idx="46">
                  <c:v>64.2</c:v>
                </c:pt>
                <c:pt idx="47">
                  <c:v>64.099999999999994</c:v>
                </c:pt>
                <c:pt idx="48">
                  <c:v>63.9</c:v>
                </c:pt>
                <c:pt idx="49">
                  <c:v>63.8</c:v>
                </c:pt>
                <c:pt idx="50">
                  <c:v>63.6</c:v>
                </c:pt>
                <c:pt idx="51">
                  <c:v>63.5</c:v>
                </c:pt>
                <c:pt idx="52">
                  <c:v>63.3</c:v>
                </c:pt>
                <c:pt idx="53">
                  <c:v>63.2</c:v>
                </c:pt>
                <c:pt idx="54">
                  <c:v>63.1</c:v>
                </c:pt>
                <c:pt idx="55">
                  <c:v>62.9</c:v>
                </c:pt>
                <c:pt idx="56">
                  <c:v>62.7</c:v>
                </c:pt>
                <c:pt idx="57">
                  <c:v>62.6</c:v>
                </c:pt>
                <c:pt idx="58">
                  <c:v>62.5</c:v>
                </c:pt>
                <c:pt idx="59">
                  <c:v>62.3</c:v>
                </c:pt>
                <c:pt idx="60">
                  <c:v>62.3</c:v>
                </c:pt>
                <c:pt idx="61">
                  <c:v>62.2</c:v>
                </c:pt>
                <c:pt idx="62">
                  <c:v>62.1</c:v>
                </c:pt>
                <c:pt idx="63">
                  <c:v>62</c:v>
                </c:pt>
                <c:pt idx="64">
                  <c:v>61.9</c:v>
                </c:pt>
                <c:pt idx="65">
                  <c:v>61.8</c:v>
                </c:pt>
                <c:pt idx="66">
                  <c:v>61.6</c:v>
                </c:pt>
                <c:pt idx="67">
                  <c:v>61.5</c:v>
                </c:pt>
                <c:pt idx="68">
                  <c:v>61.4</c:v>
                </c:pt>
                <c:pt idx="69">
                  <c:v>61.2</c:v>
                </c:pt>
                <c:pt idx="70">
                  <c:v>61.1</c:v>
                </c:pt>
                <c:pt idx="71">
                  <c:v>61</c:v>
                </c:pt>
                <c:pt idx="72">
                  <c:v>60.9</c:v>
                </c:pt>
                <c:pt idx="73">
                  <c:v>60.7</c:v>
                </c:pt>
                <c:pt idx="74">
                  <c:v>60.5</c:v>
                </c:pt>
                <c:pt idx="75">
                  <c:v>60.3</c:v>
                </c:pt>
                <c:pt idx="76">
                  <c:v>60.1</c:v>
                </c:pt>
                <c:pt idx="77">
                  <c:v>60</c:v>
                </c:pt>
                <c:pt idx="78">
                  <c:v>59.8</c:v>
                </c:pt>
                <c:pt idx="79">
                  <c:v>59.6</c:v>
                </c:pt>
                <c:pt idx="80">
                  <c:v>59.5</c:v>
                </c:pt>
                <c:pt idx="81">
                  <c:v>59.3</c:v>
                </c:pt>
                <c:pt idx="82">
                  <c:v>59.1</c:v>
                </c:pt>
                <c:pt idx="83">
                  <c:v>58.9</c:v>
                </c:pt>
                <c:pt idx="84">
                  <c:v>58.7</c:v>
                </c:pt>
                <c:pt idx="85">
                  <c:v>58.6</c:v>
                </c:pt>
                <c:pt idx="86">
                  <c:v>58.5</c:v>
                </c:pt>
                <c:pt idx="87">
                  <c:v>58.3</c:v>
                </c:pt>
                <c:pt idx="88">
                  <c:v>58.1</c:v>
                </c:pt>
                <c:pt idx="89">
                  <c:v>57.9</c:v>
                </c:pt>
                <c:pt idx="90">
                  <c:v>57.8</c:v>
                </c:pt>
                <c:pt idx="91">
                  <c:v>57.6</c:v>
                </c:pt>
                <c:pt idx="92">
                  <c:v>57.5</c:v>
                </c:pt>
                <c:pt idx="93">
                  <c:v>57.3</c:v>
                </c:pt>
                <c:pt idx="94">
                  <c:v>57.2</c:v>
                </c:pt>
                <c:pt idx="95">
                  <c:v>57</c:v>
                </c:pt>
                <c:pt idx="96">
                  <c:v>56.9</c:v>
                </c:pt>
                <c:pt idx="97">
                  <c:v>56.8</c:v>
                </c:pt>
                <c:pt idx="98">
                  <c:v>56.6</c:v>
                </c:pt>
                <c:pt idx="99">
                  <c:v>56.5</c:v>
                </c:pt>
                <c:pt idx="100">
                  <c:v>56.4</c:v>
                </c:pt>
                <c:pt idx="101">
                  <c:v>56.3</c:v>
                </c:pt>
                <c:pt idx="102">
                  <c:v>56.1</c:v>
                </c:pt>
                <c:pt idx="103">
                  <c:v>56</c:v>
                </c:pt>
              </c:numCache>
            </c:numRef>
          </c:val>
          <c:smooth val="0"/>
          <c:extLst>
            <c:ext xmlns:c16="http://schemas.microsoft.com/office/drawing/2014/chart" uri="{C3380CC4-5D6E-409C-BE32-E72D297353CC}">
              <c16:uniqueId val="{00000000-64F3-46E1-A56F-687567B0F52D}"/>
            </c:ext>
          </c:extLst>
        </c:ser>
        <c:dLbls>
          <c:showLegendKey val="0"/>
          <c:showVal val="0"/>
          <c:showCatName val="0"/>
          <c:showSerName val="0"/>
          <c:showPercent val="0"/>
          <c:showBubbleSize val="0"/>
        </c:dLbls>
        <c:smooth val="0"/>
        <c:axId val="420314688"/>
        <c:axId val="420082896"/>
      </c:lineChart>
      <c:catAx>
        <c:axId val="42031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82896"/>
        <c:crosses val="autoZero"/>
        <c:auto val="1"/>
        <c:lblAlgn val="ctr"/>
        <c:lblOffset val="100"/>
        <c:noMultiLvlLbl val="1"/>
      </c:catAx>
      <c:valAx>
        <c:axId val="420082896"/>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(Celsius)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314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1830555555555554"/>
                  <c:y val="-0.286766550014581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'Trial 4 '!$A$2:$A$105</c:f>
              <c:numCache>
                <c:formatCode>General</c:formatCode>
                <c:ptCount val="104"/>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numCache>
            </c:numRef>
          </c:xVal>
          <c:yVal>
            <c:numRef>
              <c:f>'Trial 4 '!$B$2:$B$105</c:f>
              <c:numCache>
                <c:formatCode>General</c:formatCode>
                <c:ptCount val="104"/>
                <c:pt idx="0">
                  <c:v>91.2</c:v>
                </c:pt>
                <c:pt idx="1">
                  <c:v>90.7</c:v>
                </c:pt>
                <c:pt idx="2">
                  <c:v>88.7</c:v>
                </c:pt>
                <c:pt idx="3">
                  <c:v>86.6</c:v>
                </c:pt>
                <c:pt idx="4">
                  <c:v>84.5</c:v>
                </c:pt>
                <c:pt idx="5">
                  <c:v>82.5</c:v>
                </c:pt>
                <c:pt idx="6">
                  <c:v>81.5</c:v>
                </c:pt>
                <c:pt idx="7">
                  <c:v>80</c:v>
                </c:pt>
                <c:pt idx="8">
                  <c:v>78.5</c:v>
                </c:pt>
                <c:pt idx="9">
                  <c:v>78.099999999999994</c:v>
                </c:pt>
                <c:pt idx="10">
                  <c:v>77.900000000000006</c:v>
                </c:pt>
                <c:pt idx="11">
                  <c:v>77.2</c:v>
                </c:pt>
                <c:pt idx="12">
                  <c:v>76.7</c:v>
                </c:pt>
                <c:pt idx="13">
                  <c:v>74.599999999999994</c:v>
                </c:pt>
                <c:pt idx="14">
                  <c:v>73.400000000000006</c:v>
                </c:pt>
                <c:pt idx="15">
                  <c:v>72.099999999999994</c:v>
                </c:pt>
                <c:pt idx="16">
                  <c:v>71.3</c:v>
                </c:pt>
                <c:pt idx="17">
                  <c:v>70.900000000000006</c:v>
                </c:pt>
              </c:numCache>
            </c:numRef>
          </c:yVal>
          <c:smooth val="0"/>
          <c:extLst>
            <c:ext xmlns:c16="http://schemas.microsoft.com/office/drawing/2014/chart" uri="{C3380CC4-5D6E-409C-BE32-E72D297353CC}">
              <c16:uniqueId val="{00000001-2CAA-49B2-A482-F83F12C4E32F}"/>
            </c:ext>
          </c:extLst>
        </c:ser>
        <c: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8219444444444444"/>
                  <c:y val="-1.824803149606299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'Trial 4 '!$A$2:$A$105</c:f>
              <c:numCache>
                <c:formatCode>General</c:formatCode>
                <c:ptCount val="104"/>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numCache>
            </c:numRef>
          </c:xVal>
          <c:yVal>
            <c:numRef>
              <c:f>'Trial 4 '!$C$2:$C$105</c:f>
              <c:numCache>
                <c:formatCode>General</c:formatCode>
                <c:ptCount val="104"/>
                <c:pt idx="29">
                  <c:v>66.7</c:v>
                </c:pt>
                <c:pt idx="30">
                  <c:v>66.5</c:v>
                </c:pt>
                <c:pt idx="31">
                  <c:v>66.5</c:v>
                </c:pt>
                <c:pt idx="32">
                  <c:v>66.2</c:v>
                </c:pt>
                <c:pt idx="33">
                  <c:v>66</c:v>
                </c:pt>
                <c:pt idx="34">
                  <c:v>65.900000000000006</c:v>
                </c:pt>
                <c:pt idx="35">
                  <c:v>65.8</c:v>
                </c:pt>
                <c:pt idx="36">
                  <c:v>65.599999999999994</c:v>
                </c:pt>
                <c:pt idx="37">
                  <c:v>65.5</c:v>
                </c:pt>
                <c:pt idx="38">
                  <c:v>65.3</c:v>
                </c:pt>
                <c:pt idx="39">
                  <c:v>65.3</c:v>
                </c:pt>
                <c:pt idx="40">
                  <c:v>65</c:v>
                </c:pt>
                <c:pt idx="41">
                  <c:v>64.900000000000006</c:v>
                </c:pt>
                <c:pt idx="42">
                  <c:v>64.7</c:v>
                </c:pt>
                <c:pt idx="43">
                  <c:v>64.5</c:v>
                </c:pt>
                <c:pt idx="44">
                  <c:v>64.400000000000006</c:v>
                </c:pt>
                <c:pt idx="45">
                  <c:v>64.3</c:v>
                </c:pt>
                <c:pt idx="46">
                  <c:v>64.2</c:v>
                </c:pt>
                <c:pt idx="47">
                  <c:v>64.099999999999994</c:v>
                </c:pt>
                <c:pt idx="48">
                  <c:v>63.9</c:v>
                </c:pt>
                <c:pt idx="49">
                  <c:v>63.8</c:v>
                </c:pt>
                <c:pt idx="50">
                  <c:v>63.6</c:v>
                </c:pt>
                <c:pt idx="51">
                  <c:v>63.5</c:v>
                </c:pt>
                <c:pt idx="52">
                  <c:v>63.3</c:v>
                </c:pt>
                <c:pt idx="53">
                  <c:v>63.2</c:v>
                </c:pt>
                <c:pt idx="54">
                  <c:v>63.1</c:v>
                </c:pt>
                <c:pt idx="55">
                  <c:v>62.9</c:v>
                </c:pt>
                <c:pt idx="56">
                  <c:v>62.7</c:v>
                </c:pt>
                <c:pt idx="57">
                  <c:v>62.6</c:v>
                </c:pt>
                <c:pt idx="58">
                  <c:v>62.5</c:v>
                </c:pt>
                <c:pt idx="59">
                  <c:v>62.3</c:v>
                </c:pt>
                <c:pt idx="60">
                  <c:v>62.3</c:v>
                </c:pt>
                <c:pt idx="61">
                  <c:v>62.2</c:v>
                </c:pt>
                <c:pt idx="62">
                  <c:v>62.1</c:v>
                </c:pt>
                <c:pt idx="63">
                  <c:v>62</c:v>
                </c:pt>
                <c:pt idx="64">
                  <c:v>61.9</c:v>
                </c:pt>
                <c:pt idx="65">
                  <c:v>61.8</c:v>
                </c:pt>
                <c:pt idx="66">
                  <c:v>61.6</c:v>
                </c:pt>
                <c:pt idx="67">
                  <c:v>61.5</c:v>
                </c:pt>
                <c:pt idx="68">
                  <c:v>61.4</c:v>
                </c:pt>
                <c:pt idx="69">
                  <c:v>61.2</c:v>
                </c:pt>
                <c:pt idx="70">
                  <c:v>61.1</c:v>
                </c:pt>
                <c:pt idx="71">
                  <c:v>61</c:v>
                </c:pt>
                <c:pt idx="72">
                  <c:v>60.9</c:v>
                </c:pt>
                <c:pt idx="73">
                  <c:v>60.7</c:v>
                </c:pt>
                <c:pt idx="74">
                  <c:v>60.5</c:v>
                </c:pt>
                <c:pt idx="75">
                  <c:v>60.3</c:v>
                </c:pt>
                <c:pt idx="76">
                  <c:v>60.1</c:v>
                </c:pt>
                <c:pt idx="77">
                  <c:v>60</c:v>
                </c:pt>
                <c:pt idx="78">
                  <c:v>59.8</c:v>
                </c:pt>
                <c:pt idx="79">
                  <c:v>59.6</c:v>
                </c:pt>
                <c:pt idx="80">
                  <c:v>59.5</c:v>
                </c:pt>
                <c:pt idx="81">
                  <c:v>59.3</c:v>
                </c:pt>
                <c:pt idx="82">
                  <c:v>59.1</c:v>
                </c:pt>
                <c:pt idx="83">
                  <c:v>58.9</c:v>
                </c:pt>
                <c:pt idx="84">
                  <c:v>58.7</c:v>
                </c:pt>
                <c:pt idx="85">
                  <c:v>58.6</c:v>
                </c:pt>
                <c:pt idx="86">
                  <c:v>58.5</c:v>
                </c:pt>
                <c:pt idx="87">
                  <c:v>58.3</c:v>
                </c:pt>
                <c:pt idx="88">
                  <c:v>58.1</c:v>
                </c:pt>
                <c:pt idx="89">
                  <c:v>57.9</c:v>
                </c:pt>
                <c:pt idx="90">
                  <c:v>57.8</c:v>
                </c:pt>
                <c:pt idx="91">
                  <c:v>57.6</c:v>
                </c:pt>
                <c:pt idx="92">
                  <c:v>57.5</c:v>
                </c:pt>
                <c:pt idx="93">
                  <c:v>57.3</c:v>
                </c:pt>
                <c:pt idx="94">
                  <c:v>57.2</c:v>
                </c:pt>
                <c:pt idx="95">
                  <c:v>57</c:v>
                </c:pt>
                <c:pt idx="96">
                  <c:v>56.9</c:v>
                </c:pt>
                <c:pt idx="97">
                  <c:v>56.8</c:v>
                </c:pt>
                <c:pt idx="98">
                  <c:v>56.6</c:v>
                </c:pt>
                <c:pt idx="99">
                  <c:v>56.5</c:v>
                </c:pt>
                <c:pt idx="100">
                  <c:v>56.4</c:v>
                </c:pt>
                <c:pt idx="101">
                  <c:v>56.3</c:v>
                </c:pt>
                <c:pt idx="102">
                  <c:v>56.1</c:v>
                </c:pt>
                <c:pt idx="103">
                  <c:v>56</c:v>
                </c:pt>
              </c:numCache>
            </c:numRef>
          </c:yVal>
          <c:smooth val="0"/>
          <c:extLst>
            <c:ext xmlns:c16="http://schemas.microsoft.com/office/drawing/2014/chart" uri="{C3380CC4-5D6E-409C-BE32-E72D297353CC}">
              <c16:uniqueId val="{00000003-2CAA-49B2-A482-F83F12C4E32F}"/>
            </c:ext>
          </c:extLst>
        </c:ser>
        <c:dLbls>
          <c:showLegendKey val="0"/>
          <c:showVal val="0"/>
          <c:showCatName val="0"/>
          <c:showSerName val="0"/>
          <c:showPercent val="0"/>
          <c:showBubbleSize val="0"/>
        </c:dLbls>
        <c:axId val="460871015"/>
        <c:axId val="2116592232"/>
      </c:scatterChart>
      <c:valAx>
        <c:axId val="4608710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592232"/>
        <c:crosses val="autoZero"/>
        <c:crossBetween val="midCat"/>
      </c:valAx>
      <c:valAx>
        <c:axId val="2116592232"/>
        <c:scaling>
          <c:orientation val="minMax"/>
          <c:max val="90"/>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(Celsius)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871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06317175299533"/>
          <c:y val="5.5592627192787354E-2"/>
          <c:w val="0.85621558746247273"/>
          <c:h val="0.72913904829692899"/>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4126473544173487"/>
                  <c:y val="-0.239578284277402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Sheet1!$A$7:$A$27</c:f>
              <c:numCache>
                <c:formatCode>General</c:formatCode>
                <c:ptCount val="21"/>
                <c:pt idx="0">
                  <c:v>12</c:v>
                </c:pt>
                <c:pt idx="1">
                  <c:v>14</c:v>
                </c:pt>
                <c:pt idx="2">
                  <c:v>16</c:v>
                </c:pt>
                <c:pt idx="3">
                  <c:v>18</c:v>
                </c:pt>
                <c:pt idx="4">
                  <c:v>20</c:v>
                </c:pt>
                <c:pt idx="5">
                  <c:v>22</c:v>
                </c:pt>
                <c:pt idx="6">
                  <c:v>24</c:v>
                </c:pt>
                <c:pt idx="7">
                  <c:v>26</c:v>
                </c:pt>
                <c:pt idx="8">
                  <c:v>28</c:v>
                </c:pt>
                <c:pt idx="9">
                  <c:v>30</c:v>
                </c:pt>
                <c:pt idx="10">
                  <c:v>32</c:v>
                </c:pt>
                <c:pt idx="11">
                  <c:v>34</c:v>
                </c:pt>
                <c:pt idx="12">
                  <c:v>36</c:v>
                </c:pt>
                <c:pt idx="13">
                  <c:v>38</c:v>
                </c:pt>
                <c:pt idx="14">
                  <c:v>40</c:v>
                </c:pt>
                <c:pt idx="15">
                  <c:v>42</c:v>
                </c:pt>
                <c:pt idx="16">
                  <c:v>44</c:v>
                </c:pt>
                <c:pt idx="17">
                  <c:v>46</c:v>
                </c:pt>
                <c:pt idx="18">
                  <c:v>48</c:v>
                </c:pt>
                <c:pt idx="19">
                  <c:v>50</c:v>
                </c:pt>
                <c:pt idx="20">
                  <c:v>52</c:v>
                </c:pt>
              </c:numCache>
            </c:numRef>
          </c:xVal>
          <c:yVal>
            <c:numRef>
              <c:f>Sheet1!$B$7:$B$27</c:f>
              <c:numCache>
                <c:formatCode>General</c:formatCode>
                <c:ptCount val="21"/>
                <c:pt idx="0">
                  <c:v>82.5</c:v>
                </c:pt>
                <c:pt idx="1">
                  <c:v>81.5</c:v>
                </c:pt>
                <c:pt idx="2">
                  <c:v>80</c:v>
                </c:pt>
                <c:pt idx="3">
                  <c:v>78.5</c:v>
                </c:pt>
                <c:pt idx="4">
                  <c:v>78.099999999999994</c:v>
                </c:pt>
                <c:pt idx="5">
                  <c:v>77.900000000000006</c:v>
                </c:pt>
                <c:pt idx="6">
                  <c:v>77.2</c:v>
                </c:pt>
                <c:pt idx="7">
                  <c:v>76.7</c:v>
                </c:pt>
                <c:pt idx="8">
                  <c:v>74.599999999999994</c:v>
                </c:pt>
                <c:pt idx="9">
                  <c:v>73.400000000000006</c:v>
                </c:pt>
                <c:pt idx="10">
                  <c:v>72.099999999999994</c:v>
                </c:pt>
                <c:pt idx="11">
                  <c:v>71.3</c:v>
                </c:pt>
                <c:pt idx="12">
                  <c:v>70.900000000000006</c:v>
                </c:pt>
                <c:pt idx="13">
                  <c:v>70.099999999999994</c:v>
                </c:pt>
                <c:pt idx="14">
                  <c:v>69.5</c:v>
                </c:pt>
                <c:pt idx="15">
                  <c:v>69</c:v>
                </c:pt>
                <c:pt idx="16">
                  <c:v>68.599999999999994</c:v>
                </c:pt>
                <c:pt idx="17">
                  <c:v>68</c:v>
                </c:pt>
                <c:pt idx="18">
                  <c:v>68.099999999999994</c:v>
                </c:pt>
                <c:pt idx="19">
                  <c:v>68</c:v>
                </c:pt>
                <c:pt idx="20">
                  <c:v>68</c:v>
                </c:pt>
              </c:numCache>
            </c:numRef>
          </c:yVal>
          <c:smooth val="0"/>
          <c:extLst>
            <c:ext xmlns:c16="http://schemas.microsoft.com/office/drawing/2014/chart" uri="{C3380CC4-5D6E-409C-BE32-E72D297353CC}">
              <c16:uniqueId val="{00000001-93A5-47D9-9725-33C9AC2D3FA8}"/>
            </c:ext>
          </c:extLst>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8700153105861766"/>
                  <c:y val="-0.19174285505978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Sheet1!$A$2:$A$105</c:f>
              <c:numCache>
                <c:formatCode>General</c:formatCode>
                <c:ptCount val="104"/>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156</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numCache>
            </c:numRef>
          </c:xVal>
          <c:yVal>
            <c:numRef>
              <c:f>Sheet1!$C$2:$C$78</c:f>
              <c:numCache>
                <c:formatCode>General</c:formatCode>
                <c:ptCount val="77"/>
                <c:pt idx="26">
                  <c:v>67.8</c:v>
                </c:pt>
                <c:pt idx="27">
                  <c:v>67.599999999999994</c:v>
                </c:pt>
                <c:pt idx="28">
                  <c:v>67.3</c:v>
                </c:pt>
                <c:pt idx="29">
                  <c:v>66.7</c:v>
                </c:pt>
                <c:pt idx="30">
                  <c:v>66.5</c:v>
                </c:pt>
                <c:pt idx="31">
                  <c:v>66.5</c:v>
                </c:pt>
                <c:pt idx="32">
                  <c:v>66.2</c:v>
                </c:pt>
                <c:pt idx="33">
                  <c:v>66</c:v>
                </c:pt>
                <c:pt idx="34">
                  <c:v>65.900000000000006</c:v>
                </c:pt>
                <c:pt idx="35">
                  <c:v>65.8</c:v>
                </c:pt>
                <c:pt idx="36">
                  <c:v>65.599999999999994</c:v>
                </c:pt>
                <c:pt idx="37">
                  <c:v>65.5</c:v>
                </c:pt>
                <c:pt idx="38">
                  <c:v>65.3</c:v>
                </c:pt>
                <c:pt idx="39">
                  <c:v>65.3</c:v>
                </c:pt>
                <c:pt idx="40">
                  <c:v>65</c:v>
                </c:pt>
                <c:pt idx="41">
                  <c:v>64.900000000000006</c:v>
                </c:pt>
                <c:pt idx="42">
                  <c:v>64.7</c:v>
                </c:pt>
                <c:pt idx="43">
                  <c:v>64.5</c:v>
                </c:pt>
                <c:pt idx="44">
                  <c:v>64.400000000000006</c:v>
                </c:pt>
                <c:pt idx="45">
                  <c:v>64.3</c:v>
                </c:pt>
                <c:pt idx="46">
                  <c:v>64.2</c:v>
                </c:pt>
                <c:pt idx="47">
                  <c:v>64.099999999999994</c:v>
                </c:pt>
                <c:pt idx="48">
                  <c:v>63.9</c:v>
                </c:pt>
                <c:pt idx="49">
                  <c:v>63.8</c:v>
                </c:pt>
                <c:pt idx="50">
                  <c:v>63.6</c:v>
                </c:pt>
                <c:pt idx="51">
                  <c:v>63.5</c:v>
                </c:pt>
                <c:pt idx="52">
                  <c:v>63.3</c:v>
                </c:pt>
                <c:pt idx="53">
                  <c:v>63.2</c:v>
                </c:pt>
                <c:pt idx="54">
                  <c:v>63.1</c:v>
                </c:pt>
                <c:pt idx="55">
                  <c:v>62.9</c:v>
                </c:pt>
                <c:pt idx="56">
                  <c:v>62.7</c:v>
                </c:pt>
                <c:pt idx="57">
                  <c:v>62.6</c:v>
                </c:pt>
                <c:pt idx="58">
                  <c:v>62.5</c:v>
                </c:pt>
                <c:pt idx="59">
                  <c:v>62.3</c:v>
                </c:pt>
                <c:pt idx="60">
                  <c:v>62.3</c:v>
                </c:pt>
                <c:pt idx="61">
                  <c:v>62.2</c:v>
                </c:pt>
                <c:pt idx="62">
                  <c:v>62.1</c:v>
                </c:pt>
                <c:pt idx="63">
                  <c:v>62</c:v>
                </c:pt>
                <c:pt idx="64">
                  <c:v>61.9</c:v>
                </c:pt>
                <c:pt idx="65">
                  <c:v>61.8</c:v>
                </c:pt>
                <c:pt idx="66">
                  <c:v>61.6</c:v>
                </c:pt>
                <c:pt idx="67">
                  <c:v>61.5</c:v>
                </c:pt>
                <c:pt idx="68">
                  <c:v>61.4</c:v>
                </c:pt>
                <c:pt idx="69">
                  <c:v>61.2</c:v>
                </c:pt>
                <c:pt idx="70">
                  <c:v>61.1</c:v>
                </c:pt>
                <c:pt idx="71">
                  <c:v>61</c:v>
                </c:pt>
                <c:pt idx="72">
                  <c:v>60.9</c:v>
                </c:pt>
                <c:pt idx="73">
                  <c:v>60.7</c:v>
                </c:pt>
                <c:pt idx="74">
                  <c:v>60.5</c:v>
                </c:pt>
                <c:pt idx="75">
                  <c:v>60.3</c:v>
                </c:pt>
                <c:pt idx="76">
                  <c:v>60.1</c:v>
                </c:pt>
              </c:numCache>
            </c:numRef>
          </c:yVal>
          <c:smooth val="0"/>
          <c:extLst>
            <c:ext xmlns:c16="http://schemas.microsoft.com/office/drawing/2014/chart" uri="{C3380CC4-5D6E-409C-BE32-E72D297353CC}">
              <c16:uniqueId val="{00000003-93A5-47D9-9725-33C9AC2D3FA8}"/>
            </c:ext>
          </c:extLst>
        </c:ser>
        <c:dLbls>
          <c:showLegendKey val="0"/>
          <c:showVal val="0"/>
          <c:showCatName val="0"/>
          <c:showSerName val="0"/>
          <c:showPercent val="0"/>
          <c:showBubbleSize val="0"/>
        </c:dLbls>
        <c:axId val="1997263424"/>
        <c:axId val="1997265088"/>
      </c:scatterChart>
      <c:valAx>
        <c:axId val="1997263424"/>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265088"/>
        <c:crosses val="autoZero"/>
        <c:crossBetween val="midCat"/>
      </c:valAx>
      <c:valAx>
        <c:axId val="1997265088"/>
        <c:scaling>
          <c:orientation val="minMax"/>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(Celsius)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26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723A1-E288-4C0C-B593-1DD474F1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8</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61</cp:revision>
  <cp:lastPrinted>2022-10-29T04:53:00Z</cp:lastPrinted>
  <dcterms:created xsi:type="dcterms:W3CDTF">2022-10-28T20:44:00Z</dcterms:created>
  <dcterms:modified xsi:type="dcterms:W3CDTF">2022-10-29T04:54:00Z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id="v3mKvoC3"/&gt;&lt;style id="http://www.zotero.org/styles/american-chemical-society" hasBibliography="1" bibliographyStyleHasBeenSet="1"/&gt;&lt;prefs&gt;&lt;pref name="fieldType" value="Field"/&gt;&lt;/prefs&gt;&lt;/data&gt;</vt:lpwstr>
  </property>
</Properties>
</file>